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iagrams/data1.xml" ContentType="application/vnd.openxmlformats-officedocument.drawingml.diagramData+xml"/>
  <Override PartName="/word/diagrams/data3.xml" ContentType="application/vnd.openxmlformats-officedocument.drawingml.diagramData+xml"/>
  <Override PartName="/word/diagrams/data2.xml" ContentType="application/vnd.openxmlformats-officedocument.drawingml.diagramData+xml"/>
  <Override PartName="/word/drawings/drawing1.xml" ContentType="application/vnd.openxmlformats-officedocument.drawingml.chartshapes+xml"/>
  <Override PartName="/word/document.xml" ContentType="application/vnd.openxmlformats-officedocument.wordprocessingml.document.main+xml"/>
  <Override PartName="/word/footnotes.xml" ContentType="application/vnd.openxmlformats-officedocument.wordprocessingml.footnotes+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charts/chart26.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3.xml" ContentType="application/vnd.openxmlformats-officedocument.drawingml.chart+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layout3.xml" ContentType="application/vnd.openxmlformats-officedocument.drawingml.diagramLayout+xml"/>
  <Override PartName="/word/diagrams/quickStyle3.xml" ContentType="application/vnd.openxmlformats-officedocument.drawingml.diagramStyle+xml"/>
  <Override PartName="/word/charts/chart16.xml" ContentType="application/vnd.openxmlformats-officedocument.drawingml.chart+xml"/>
  <Override PartName="/word/charts/chart2.xml" ContentType="application/vnd.openxmlformats-officedocument.drawingml.chart+xml"/>
  <Override PartName="/word/charts/chart1.xml" ContentType="application/vnd.openxmlformats-officedocument.drawingml.chart+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3.xml" ContentType="application/vnd.ms-office.drawingml.diagramDrawing+xml"/>
  <Override PartName="/word/diagrams/colors3.xml" ContentType="application/vnd.openxmlformats-officedocument.drawingml.diagramColors+xml"/>
  <Override PartName="/word/charts/chart5.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4.xml" ContentType="application/vnd.openxmlformats-officedocument.drawingml.chart+xml"/>
  <Override PartName="/word/charts/chart6.xml" ContentType="application/vnd.openxmlformats-officedocument.drawingml.chart+xml"/>
  <Override PartName="/word/settings.xml" ContentType="application/vnd.openxmlformats-officedocument.wordprocessingml.settings+xml"/>
  <Override PartName="/customXml/itemProps1.xml" ContentType="application/vnd.openxmlformats-officedocument.customXmlProperties+xml"/>
  <Override PartName="/word/stylesWithEffects.xml" ContentType="application/vnd.ms-word.stylesWithEffects+xml"/>
  <Override PartName="/word/numbering.xml" ContentType="application/vnd.openxmlformats-officedocument.wordprocessingml.numbering+xml"/>
  <Override PartName="/docProps/app.xml" ContentType="application/vnd.openxmlformats-officedocument.extended-propertie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F5B" w:rsidRPr="00074660" w:rsidRDefault="004112D2" w:rsidP="0043286B">
      <w:pPr>
        <w:spacing w:after="120" w:line="240" w:lineRule="auto"/>
        <w:ind w:left="1416" w:hanging="1416"/>
        <w:rPr>
          <w:rFonts w:ascii="Adobe Caslon Pro" w:hAnsi="Adobe Caslon Pro" w:cs="Arial"/>
          <w:color w:val="000000"/>
        </w:rPr>
      </w:pPr>
      <w:r>
        <w:rPr>
          <w:rFonts w:ascii="Adobe Caslon Pro" w:hAnsi="Adobe Caslon Pro" w:cs="Arial"/>
          <w:noProof/>
          <w:lang w:eastAsia="es-MX"/>
        </w:rPr>
        <mc:AlternateContent>
          <mc:Choice Requires="wps">
            <w:drawing>
              <wp:anchor distT="0" distB="0" distL="114300" distR="114300" simplePos="0" relativeHeight="251691008" behindDoc="0" locked="0" layoutInCell="1" allowOverlap="1">
                <wp:simplePos x="0" y="0"/>
                <wp:positionH relativeFrom="column">
                  <wp:posOffset>-960755</wp:posOffset>
                </wp:positionH>
                <wp:positionV relativeFrom="paragraph">
                  <wp:posOffset>4968875</wp:posOffset>
                </wp:positionV>
                <wp:extent cx="7792720" cy="1682115"/>
                <wp:effectExtent l="0" t="0" r="0" b="0"/>
                <wp:wrapSquare wrapText="bothSides"/>
                <wp:docPr id="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92720" cy="1682115"/>
                        </a:xfrm>
                        <a:prstGeom prst="rect">
                          <a:avLst/>
                        </a:prstGeom>
                        <a:noFill/>
                        <a:ln>
                          <a:noFill/>
                        </a:ln>
                        <a:effectLst/>
                        <a:extLst/>
                      </wps:spPr>
                      <wps:txbx>
                        <w:txbxContent>
                          <w:p w:rsidR="001E4613" w:rsidRPr="00BE0231" w:rsidRDefault="001E4613" w:rsidP="00D25F5B">
                            <w:pPr>
                              <w:jc w:val="center"/>
                              <w:rPr>
                                <w:rFonts w:ascii="Trajan Pro" w:hAnsi="Trajan Pro"/>
                                <w:b/>
                                <w:color w:val="808080"/>
                                <w:sz w:val="52"/>
                                <w:szCs w:val="52"/>
                              </w:rPr>
                            </w:pPr>
                            <w:r w:rsidRPr="00BE0231">
                              <w:rPr>
                                <w:rFonts w:ascii="Trajan Pro" w:hAnsi="Trajan Pro"/>
                                <w:b/>
                                <w:color w:val="808080"/>
                                <w:sz w:val="52"/>
                                <w:szCs w:val="52"/>
                              </w:rPr>
                              <w:t>Diagnóstico</w:t>
                            </w:r>
                            <w:r>
                              <w:rPr>
                                <w:rFonts w:ascii="Trajan Pro" w:hAnsi="Trajan Pro"/>
                                <w:b/>
                                <w:color w:val="808080"/>
                                <w:sz w:val="52"/>
                                <w:szCs w:val="52"/>
                              </w:rPr>
                              <w:t xml:space="preserve"> y Propuesta de Atención</w:t>
                            </w:r>
                          </w:p>
                          <w:p w:rsidR="001E4613" w:rsidRDefault="001E4613" w:rsidP="00D25F5B">
                            <w:pPr>
                              <w:jc w:val="center"/>
                              <w:rPr>
                                <w:rFonts w:ascii="Trajan Pro" w:hAnsi="Trajan Pro"/>
                                <w:b/>
                                <w:color w:val="808080"/>
                                <w:sz w:val="52"/>
                                <w:szCs w:val="52"/>
                              </w:rPr>
                            </w:pPr>
                            <w:r w:rsidRPr="008045AA">
                              <w:rPr>
                                <w:rFonts w:ascii="Trajan Pro" w:hAnsi="Trajan Pro"/>
                                <w:b/>
                                <w:color w:val="808080"/>
                                <w:sz w:val="52"/>
                                <w:szCs w:val="52"/>
                              </w:rPr>
                              <w:t>Programa de Coinversión Social</w:t>
                            </w:r>
                          </w:p>
                          <w:p w:rsidR="001E4613" w:rsidRPr="008045AA" w:rsidRDefault="001E4613" w:rsidP="00D25F5B">
                            <w:pPr>
                              <w:jc w:val="center"/>
                              <w:rPr>
                                <w:rFonts w:ascii="Trajan Pro" w:hAnsi="Trajan Pro"/>
                                <w:b/>
                                <w:color w:val="808080"/>
                                <w:sz w:val="52"/>
                                <w:szCs w:val="52"/>
                              </w:rPr>
                            </w:pPr>
                            <w:r>
                              <w:rPr>
                                <w:rFonts w:ascii="Trajan Pro" w:hAnsi="Trajan Pro"/>
                                <w:b/>
                                <w:color w:val="808080"/>
                                <w:sz w:val="52"/>
                                <w:szCs w:val="52"/>
                              </w:rPr>
                              <w:t>(PCS)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75.65pt;margin-top:391.25pt;width:613.6pt;height:132.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" filled="f" stroked="f">
                <v:path arrowok="t"/>
                <v:textbox>
                  <w:txbxContent>
                    <w:p w:rsidR="001E4613" w:rsidRPr="00BE0231" w:rsidRDefault="001E4613" w:rsidP="00D25F5B">
                      <w:pPr>
                        <w:jc w:val="center"/>
                        <w:rPr>
                          <w:rFonts w:ascii="Trajan Pro" w:hAnsi="Trajan Pro"/>
                          <w:b/>
                          <w:color w:val="808080"/>
                          <w:sz w:val="52"/>
                          <w:szCs w:val="52"/>
                        </w:rPr>
                      </w:pPr>
                      <w:r w:rsidRPr="00BE0231">
                        <w:rPr>
                          <w:rFonts w:ascii="Trajan Pro" w:hAnsi="Trajan Pro"/>
                          <w:b/>
                          <w:color w:val="808080"/>
                          <w:sz w:val="52"/>
                          <w:szCs w:val="52"/>
                        </w:rPr>
                        <w:t>Diagnóstico</w:t>
                      </w:r>
                      <w:r>
                        <w:rPr>
                          <w:rFonts w:ascii="Trajan Pro" w:hAnsi="Trajan Pro"/>
                          <w:b/>
                          <w:color w:val="808080"/>
                          <w:sz w:val="52"/>
                          <w:szCs w:val="52"/>
                        </w:rPr>
                        <w:t xml:space="preserve"> y Propuesta de Atención</w:t>
                      </w:r>
                    </w:p>
                    <w:p w:rsidR="001E4613" w:rsidRDefault="001E4613" w:rsidP="00D25F5B">
                      <w:pPr>
                        <w:jc w:val="center"/>
                        <w:rPr>
                          <w:rFonts w:ascii="Trajan Pro" w:hAnsi="Trajan Pro"/>
                          <w:b/>
                          <w:color w:val="808080"/>
                          <w:sz w:val="52"/>
                          <w:szCs w:val="52"/>
                        </w:rPr>
                      </w:pPr>
                      <w:r w:rsidRPr="008045AA">
                        <w:rPr>
                          <w:rFonts w:ascii="Trajan Pro" w:hAnsi="Trajan Pro"/>
                          <w:b/>
                          <w:color w:val="808080"/>
                          <w:sz w:val="52"/>
                          <w:szCs w:val="52"/>
                        </w:rPr>
                        <w:t>Programa de Coinversión Social</w:t>
                      </w:r>
                    </w:p>
                    <w:p w:rsidR="001E4613" w:rsidRPr="008045AA" w:rsidRDefault="001E4613" w:rsidP="00D25F5B">
                      <w:pPr>
                        <w:jc w:val="center"/>
                        <w:rPr>
                          <w:rFonts w:ascii="Trajan Pro" w:hAnsi="Trajan Pro"/>
                          <w:b/>
                          <w:color w:val="808080"/>
                          <w:sz w:val="52"/>
                          <w:szCs w:val="52"/>
                        </w:rPr>
                      </w:pPr>
                      <w:r>
                        <w:rPr>
                          <w:rFonts w:ascii="Trajan Pro" w:hAnsi="Trajan Pro"/>
                          <w:b/>
                          <w:color w:val="808080"/>
                          <w:sz w:val="52"/>
                          <w:szCs w:val="52"/>
                        </w:rPr>
                        <w:t>(PCS)</w:t>
                      </w:r>
                    </w:p>
                  </w:txbxContent>
                </v:textbox>
                <w10:wrap type="square"/>
              </v:shape>
            </w:pict>
          </mc:Fallback>
        </mc:AlternateContent>
      </w:r>
      <w:r>
        <w:rPr>
          <w:rFonts w:ascii="Adobe Caslon Pro" w:hAnsi="Adobe Caslon Pro" w:cs="Arial"/>
          <w:noProof/>
          <w:lang w:eastAsia="es-MX"/>
        </w:rPr>
        <mc:AlternateContent>
          <mc:Choice Requires="wps">
            <w:drawing>
              <wp:anchor distT="0" distB="0" distL="114300" distR="114300" simplePos="0" relativeHeight="251693056" behindDoc="0" locked="0" layoutInCell="1" allowOverlap="1">
                <wp:simplePos x="0" y="0"/>
                <wp:positionH relativeFrom="column">
                  <wp:posOffset>-808990</wp:posOffset>
                </wp:positionH>
                <wp:positionV relativeFrom="paragraph">
                  <wp:posOffset>8564880</wp:posOffset>
                </wp:positionV>
                <wp:extent cx="7792720" cy="342900"/>
                <wp:effectExtent l="0" t="0" r="0" b="0"/>
                <wp:wrapSquare wrapText="bothSides"/>
                <wp:docPr id="84"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92720" cy="342900"/>
                        </a:xfrm>
                        <a:prstGeom prst="rect">
                          <a:avLst/>
                        </a:prstGeom>
                        <a:noFill/>
                        <a:ln>
                          <a:noFill/>
                        </a:ln>
                        <a:effectLst/>
                        <a:extLst/>
                      </wps:spPr>
                      <wps:txbx>
                        <w:txbxContent>
                          <w:p w:rsidR="001E4613" w:rsidRPr="00C44DA3" w:rsidRDefault="001E4613" w:rsidP="00D25F5B">
                            <w:pPr>
                              <w:jc w:val="center"/>
                              <w:rPr>
                                <w:rFonts w:ascii="Soberana Sans" w:hAnsi="Soberana Sans"/>
                                <w:color w:val="FFFFFF"/>
                                <w:sz w:val="36"/>
                                <w:szCs w:val="36"/>
                              </w:rPr>
                            </w:pPr>
                            <w:r>
                              <w:rPr>
                                <w:rFonts w:ascii="Soberana Sans" w:hAnsi="Soberana Sans"/>
                                <w:color w:val="FFFFFF"/>
                                <w:sz w:val="36"/>
                                <w:szCs w:val="36"/>
                              </w:rPr>
                              <w:t>Junio</w:t>
                            </w:r>
                            <w:r w:rsidRPr="00C44DA3">
                              <w:rPr>
                                <w:rFonts w:ascii="Soberana Sans" w:hAnsi="Soberana Sans"/>
                                <w:color w:val="FFFFFF"/>
                                <w:sz w:val="36"/>
                                <w:szCs w:val="36"/>
                              </w:rPr>
                              <w:t xml:space="preserve"> de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 o:spid="_x0000_s1027" type="#_x0000_t202" style="position:absolute;left:0;text-align:left;margin-left:-63.7pt;margin-top:674.4pt;width:613.6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" filled="f" stroked="f">
                <v:path arrowok="t"/>
                <v:textbox>
                  <w:txbxContent>
                    <w:p w:rsidR="001E4613" w:rsidRPr="00C44DA3" w:rsidRDefault="001E4613" w:rsidP="00D25F5B">
                      <w:pPr>
                        <w:jc w:val="center"/>
                        <w:rPr>
                          <w:rFonts w:ascii="Soberana Sans" w:hAnsi="Soberana Sans"/>
                          <w:color w:val="FFFFFF"/>
                          <w:sz w:val="36"/>
                          <w:szCs w:val="36"/>
                        </w:rPr>
                      </w:pPr>
                      <w:r>
                        <w:rPr>
                          <w:rFonts w:ascii="Soberana Sans" w:hAnsi="Soberana Sans"/>
                          <w:color w:val="FFFFFF"/>
                          <w:sz w:val="36"/>
                          <w:szCs w:val="36"/>
                        </w:rPr>
                        <w:t>Junio</w:t>
                      </w:r>
                      <w:r w:rsidRPr="00C44DA3">
                        <w:rPr>
                          <w:rFonts w:ascii="Soberana Sans" w:hAnsi="Soberana Sans"/>
                          <w:color w:val="FFFFFF"/>
                          <w:sz w:val="36"/>
                          <w:szCs w:val="36"/>
                        </w:rPr>
                        <w:t xml:space="preserve"> de 2014</w:t>
                      </w:r>
                    </w:p>
                  </w:txbxContent>
                </v:textbox>
                <w10:wrap type="square"/>
              </v:shape>
            </w:pict>
          </mc:Fallback>
        </mc:AlternateContent>
      </w:r>
      <w:r w:rsidR="00D25F5B" w:rsidRPr="00074660">
        <w:rPr>
          <w:rFonts w:ascii="Adobe Caslon Pro" w:hAnsi="Adobe Caslon Pro" w:cs="Arial"/>
          <w:noProof/>
          <w:lang w:eastAsia="es-MX"/>
        </w:rPr>
        <w:drawing>
          <wp:anchor distT="0" distB="0" distL="114300" distR="114300" simplePos="0" relativeHeight="251689984" behindDoc="1" locked="0" layoutInCell="1" allowOverlap="1">
            <wp:simplePos x="0" y="0"/>
            <wp:positionH relativeFrom="column">
              <wp:posOffset>-1041087</wp:posOffset>
            </wp:positionH>
            <wp:positionV relativeFrom="paragraph">
              <wp:posOffset>-818515</wp:posOffset>
            </wp:positionV>
            <wp:extent cx="7853680" cy="10172700"/>
            <wp:effectExtent l="0" t="0" r="0" b="0"/>
            <wp:wrapNone/>
            <wp:docPr id="1" name="Imagen 1" descr="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ond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53680" cy="10172700"/>
                    </a:xfrm>
                    <a:prstGeom prst="rect">
                      <a:avLst/>
                    </a:prstGeom>
                    <a:noFill/>
                    <a:ln>
                      <a:noFill/>
                    </a:ln>
                  </pic:spPr>
                </pic:pic>
              </a:graphicData>
            </a:graphic>
          </wp:anchor>
        </w:drawing>
      </w:r>
      <w:r w:rsidR="00D25F5B" w:rsidRPr="00074660">
        <w:rPr>
          <w:rFonts w:ascii="Adobe Caslon Pro" w:hAnsi="Adobe Caslon Pro" w:cs="Arial"/>
        </w:rPr>
        <w:br w:type="page"/>
      </w:r>
    </w:p>
    <w:p w:rsidR="004D5D2F" w:rsidRPr="00AD0FD2" w:rsidRDefault="004D5D2F" w:rsidP="0043286B">
      <w:pPr>
        <w:pStyle w:val="Ttulo2"/>
        <w:spacing w:before="0" w:after="120" w:line="240" w:lineRule="auto"/>
      </w:pPr>
      <w:bookmarkStart w:id="0" w:name="_Toc390076202"/>
      <w:bookmarkStart w:id="1" w:name="_Toc263896830"/>
      <w:bookmarkStart w:id="2" w:name="_Toc391925209"/>
      <w:r>
        <w:lastRenderedPageBreak/>
        <w:t>Siglas y Acrónimos</w:t>
      </w:r>
      <w:bookmarkEnd w:id="0"/>
      <w:bookmarkEnd w:id="2"/>
    </w:p>
    <w:p w:rsidR="004D5D2F" w:rsidRPr="00AD0FD2" w:rsidRDefault="004D5D2F" w:rsidP="0043286B">
      <w:pPr>
        <w:spacing w:after="0" w:line="240" w:lineRule="auto"/>
        <w:rPr>
          <w:rFonts w:ascii="Adobe Caslon Pro" w:hAnsi="Adobe Caslon Pro"/>
          <w:b/>
        </w:rPr>
      </w:pPr>
    </w:p>
    <w:p w:rsidR="00AE47BB" w:rsidRDefault="00AE47BB" w:rsidP="0043286B">
      <w:pPr>
        <w:spacing w:after="0" w:line="240" w:lineRule="auto"/>
        <w:rPr>
          <w:rFonts w:ascii="Adobe Caslon Pro" w:hAnsi="Adobe Caslon Pro"/>
          <w:b/>
        </w:rPr>
      </w:pPr>
      <w:r>
        <w:rPr>
          <w:rFonts w:ascii="Adobe Caslon Pro" w:hAnsi="Adobe Caslon Pro"/>
          <w:b/>
        </w:rPr>
        <w:t xml:space="preserve">ABP.- </w:t>
      </w:r>
      <w:r w:rsidRPr="000907D3">
        <w:rPr>
          <w:rFonts w:ascii="Adobe Caslon Pro" w:hAnsi="Adobe Caslon Pro" w:cs="Arial"/>
        </w:rPr>
        <w:t>Asociaciones de Beneficencia Privada</w:t>
      </w:r>
      <w:r>
        <w:rPr>
          <w:rFonts w:ascii="Adobe Caslon Pro" w:hAnsi="Adobe Caslon Pro" w:cs="Arial"/>
        </w:rPr>
        <w:t>.</w:t>
      </w:r>
    </w:p>
    <w:p w:rsidR="004D5D2F" w:rsidRPr="00AD0FD2" w:rsidRDefault="004D5D2F" w:rsidP="0043286B">
      <w:pPr>
        <w:spacing w:after="0" w:line="240" w:lineRule="auto"/>
        <w:rPr>
          <w:rFonts w:ascii="Adobe Caslon Pro" w:hAnsi="Adobe Caslon Pro"/>
          <w:b/>
        </w:rPr>
      </w:pPr>
      <w:r w:rsidRPr="00AD0FD2">
        <w:rPr>
          <w:rFonts w:ascii="Adobe Caslon Pro" w:hAnsi="Adobe Caslon Pro"/>
          <w:b/>
        </w:rPr>
        <w:t>AC.-</w:t>
      </w:r>
      <w:r w:rsidRPr="00AD0FD2">
        <w:rPr>
          <w:rFonts w:ascii="Adobe Caslon Pro" w:hAnsi="Adobe Caslon Pro"/>
        </w:rPr>
        <w:t xml:space="preserve"> Asociaciones </w:t>
      </w:r>
      <w:r w:rsidRPr="00AD0FD2">
        <w:rPr>
          <w:rFonts w:ascii="Adobe Caslon Pro" w:hAnsi="Adobe Caslon Pro"/>
          <w:color w:val="000000"/>
        </w:rPr>
        <w:t>C</w:t>
      </w:r>
      <w:r w:rsidRPr="00AD0FD2">
        <w:rPr>
          <w:rFonts w:ascii="Adobe Caslon Pro" w:hAnsi="Adobe Caslon Pro"/>
        </w:rPr>
        <w:t>iviles.</w:t>
      </w:r>
    </w:p>
    <w:p w:rsidR="004D5D2F" w:rsidRPr="00AD0FD2" w:rsidRDefault="004D5D2F" w:rsidP="0043286B">
      <w:pPr>
        <w:spacing w:after="0" w:line="240" w:lineRule="auto"/>
        <w:rPr>
          <w:rFonts w:ascii="Adobe Caslon Pro" w:hAnsi="Adobe Caslon Pro" w:cs="Arial"/>
        </w:rPr>
      </w:pPr>
      <w:r w:rsidRPr="00AD0FD2">
        <w:rPr>
          <w:rFonts w:ascii="Adobe Caslon Pro" w:hAnsi="Adobe Caslon Pro" w:cs="Arial"/>
          <w:b/>
        </w:rPr>
        <w:t>APF.-</w:t>
      </w:r>
      <w:r w:rsidRPr="00AD0FD2">
        <w:rPr>
          <w:rFonts w:ascii="Adobe Caslon Pro" w:hAnsi="Adobe Caslon Pro" w:cs="Arial"/>
        </w:rPr>
        <w:t xml:space="preserve"> Administración Pública Federal</w:t>
      </w:r>
      <w:r w:rsidR="0043286B">
        <w:rPr>
          <w:rFonts w:ascii="Adobe Caslon Pro" w:hAnsi="Adobe Caslon Pro" w:cs="Arial"/>
        </w:rPr>
        <w:t>.</w:t>
      </w:r>
    </w:p>
    <w:p w:rsidR="004D5D2F" w:rsidRPr="00AD0FD2" w:rsidRDefault="004D5D2F" w:rsidP="0043286B">
      <w:pPr>
        <w:spacing w:after="0" w:line="240" w:lineRule="auto"/>
        <w:rPr>
          <w:rFonts w:ascii="Adobe Caslon Pro" w:hAnsi="Adobe Caslon Pro"/>
          <w:b/>
        </w:rPr>
      </w:pPr>
      <w:r w:rsidRPr="00AD0FD2">
        <w:rPr>
          <w:rFonts w:ascii="Adobe Caslon Pro" w:eastAsia="Times New Roman" w:hAnsi="Adobe Caslon Pro" w:cs="Arial"/>
          <w:b/>
          <w:color w:val="000000"/>
          <w:lang w:eastAsia="es-MX"/>
        </w:rPr>
        <w:t>AREP.-</w:t>
      </w:r>
      <w:r w:rsidRPr="008D03D1">
        <w:rPr>
          <w:rFonts w:ascii="Adobe Caslon Pro" w:eastAsia="Times New Roman" w:hAnsi="Adobe Caslon Pro" w:cs="Arial"/>
          <w:color w:val="000000"/>
          <w:lang w:eastAsia="es-MX"/>
        </w:rPr>
        <w:t xml:space="preserve">Agentes Responsables de la Ejecución </w:t>
      </w:r>
      <w:r w:rsidRPr="00AD0FD2">
        <w:rPr>
          <w:rFonts w:ascii="Adobe Caslon Pro" w:eastAsia="Times New Roman" w:hAnsi="Adobe Caslon Pro" w:cs="Arial"/>
          <w:color w:val="000000"/>
          <w:lang w:eastAsia="es-MX"/>
        </w:rPr>
        <w:t>de los Proyectos.</w:t>
      </w:r>
    </w:p>
    <w:p w:rsidR="008D03D1" w:rsidRDefault="008D03D1" w:rsidP="0043286B">
      <w:pPr>
        <w:spacing w:after="0" w:line="240" w:lineRule="auto"/>
        <w:rPr>
          <w:rFonts w:ascii="Adobe Caslon Pro" w:hAnsi="Adobe Caslon Pro" w:cs="Arial"/>
        </w:rPr>
      </w:pPr>
      <w:r>
        <w:rPr>
          <w:rFonts w:ascii="Adobe Caslon Pro" w:hAnsi="Adobe Caslon Pro" w:cs="Arial"/>
          <w:b/>
        </w:rPr>
        <w:t xml:space="preserve">BID.- </w:t>
      </w:r>
      <w:r>
        <w:rPr>
          <w:rFonts w:ascii="Adobe Caslon Pro" w:hAnsi="Adobe Caslon Pro" w:cs="Arial"/>
        </w:rPr>
        <w:t>Banco Interamericano  de Desarrollo.</w:t>
      </w:r>
    </w:p>
    <w:p w:rsidR="008D03D1" w:rsidRPr="008D03D1" w:rsidRDefault="008D03D1" w:rsidP="0043286B">
      <w:pPr>
        <w:spacing w:after="0" w:line="240" w:lineRule="auto"/>
        <w:rPr>
          <w:rFonts w:ascii="Adobe Caslon Pro" w:hAnsi="Adobe Caslon Pro" w:cs="Arial"/>
        </w:rPr>
      </w:pPr>
      <w:r>
        <w:rPr>
          <w:rFonts w:ascii="Adobe Caslon Pro" w:hAnsi="Adobe Caslon Pro" w:cs="Arial"/>
          <w:b/>
        </w:rPr>
        <w:t xml:space="preserve">BM.- </w:t>
      </w:r>
      <w:r>
        <w:rPr>
          <w:rFonts w:ascii="Adobe Caslon Pro" w:hAnsi="Adobe Caslon Pro" w:cs="Arial"/>
        </w:rPr>
        <w:t>Banco Mundial.</w:t>
      </w:r>
    </w:p>
    <w:p w:rsidR="004D5D2F" w:rsidRPr="00AD0FD2" w:rsidRDefault="004D5D2F" w:rsidP="0043286B">
      <w:pPr>
        <w:spacing w:after="0" w:line="240" w:lineRule="auto"/>
        <w:rPr>
          <w:rFonts w:ascii="Adobe Caslon Pro" w:hAnsi="Adobe Caslon Pro" w:cs="Arial"/>
        </w:rPr>
      </w:pPr>
      <w:r w:rsidRPr="00AD0FD2">
        <w:rPr>
          <w:rFonts w:ascii="Adobe Caslon Pro" w:hAnsi="Adobe Caslon Pro" w:cs="Arial"/>
          <w:b/>
        </w:rPr>
        <w:t>CEMEFI.-</w:t>
      </w:r>
      <w:r w:rsidRPr="00AD0FD2">
        <w:rPr>
          <w:rFonts w:ascii="Adobe Caslon Pro" w:hAnsi="Adobe Caslon Pro" w:cs="Arial"/>
        </w:rPr>
        <w:t xml:space="preserve"> Centro Mexicano para la Filantropía.</w:t>
      </w:r>
    </w:p>
    <w:p w:rsidR="004D5D2F" w:rsidRPr="00AD0FD2" w:rsidRDefault="004D5D2F" w:rsidP="0043286B">
      <w:pPr>
        <w:spacing w:after="0" w:line="240" w:lineRule="auto"/>
        <w:rPr>
          <w:rFonts w:ascii="Adobe Caslon Pro" w:hAnsi="Adobe Caslon Pro" w:cs="Arial"/>
        </w:rPr>
      </w:pPr>
      <w:r w:rsidRPr="00AD0FD2">
        <w:rPr>
          <w:rFonts w:ascii="Adobe Caslon Pro" w:hAnsi="Adobe Caslon Pro" w:cs="Arial"/>
          <w:b/>
        </w:rPr>
        <w:t>CEPAL.-</w:t>
      </w:r>
      <w:r w:rsidRPr="00AD0FD2">
        <w:rPr>
          <w:rFonts w:ascii="Adobe Caslon Pro" w:hAnsi="Adobe Caslon Pro" w:cs="Arial"/>
        </w:rPr>
        <w:t xml:space="preserve"> Comisión Económica para América Latina y el Caribe.</w:t>
      </w:r>
    </w:p>
    <w:p w:rsidR="004D5D2F" w:rsidRPr="00AD0FD2" w:rsidRDefault="004D5D2F" w:rsidP="0043286B">
      <w:pPr>
        <w:spacing w:after="0" w:line="240" w:lineRule="auto"/>
        <w:rPr>
          <w:rFonts w:ascii="Adobe Caslon Pro" w:hAnsi="Adobe Caslon Pro" w:cs="Arial"/>
        </w:rPr>
      </w:pPr>
      <w:r w:rsidRPr="00AD0FD2">
        <w:rPr>
          <w:rFonts w:ascii="Adobe Caslon Pro" w:hAnsi="Adobe Caslon Pro" w:cs="Arial"/>
          <w:b/>
        </w:rPr>
        <w:t xml:space="preserve">CI.- </w:t>
      </w:r>
      <w:r w:rsidRPr="00AD0FD2">
        <w:rPr>
          <w:rFonts w:ascii="Adobe Caslon Pro" w:hAnsi="Adobe Caslon Pro" w:cs="Arial"/>
        </w:rPr>
        <w:t>Centros de Investigación</w:t>
      </w:r>
      <w:r w:rsidR="0043286B">
        <w:rPr>
          <w:rFonts w:ascii="Adobe Caslon Pro" w:hAnsi="Adobe Caslon Pro" w:cs="Arial"/>
        </w:rPr>
        <w:t>.</w:t>
      </w:r>
    </w:p>
    <w:p w:rsidR="004E5CC0" w:rsidRPr="004E5CC0" w:rsidRDefault="004E5CC0" w:rsidP="0043286B">
      <w:pPr>
        <w:spacing w:after="0" w:line="240" w:lineRule="auto"/>
        <w:rPr>
          <w:rFonts w:ascii="Adobe Caslon Pro" w:hAnsi="Adobe Caslon Pro" w:cs="Arial"/>
        </w:rPr>
      </w:pPr>
      <w:r>
        <w:rPr>
          <w:rFonts w:ascii="Adobe Caslon Pro" w:hAnsi="Adobe Caslon Pro" w:cs="Arial"/>
          <w:b/>
        </w:rPr>
        <w:t xml:space="preserve">CIC-PC.- </w:t>
      </w:r>
      <w:r>
        <w:rPr>
          <w:rFonts w:ascii="Adobe Caslon Pro" w:hAnsi="Adobe Caslon Pro" w:cs="Arial"/>
        </w:rPr>
        <w:t>Centro de Investigación y Capacitación Propuesta Cívica.</w:t>
      </w:r>
    </w:p>
    <w:p w:rsidR="005C79FF" w:rsidRPr="005C79FF" w:rsidRDefault="005C79FF" w:rsidP="0043286B">
      <w:pPr>
        <w:spacing w:after="0" w:line="240" w:lineRule="auto"/>
        <w:rPr>
          <w:rFonts w:ascii="Adobe Caslon Pro" w:hAnsi="Adobe Caslon Pro" w:cs="Arial"/>
          <w:b/>
        </w:rPr>
      </w:pPr>
      <w:r w:rsidRPr="005C79FF">
        <w:rPr>
          <w:rFonts w:ascii="Adobe Caslon Pro" w:hAnsi="Adobe Caslon Pro" w:cs="Arial"/>
          <w:b/>
        </w:rPr>
        <w:t xml:space="preserve">CIVICUS.- </w:t>
      </w:r>
      <w:r w:rsidRPr="005C79FF">
        <w:rPr>
          <w:rFonts w:ascii="Adobe Caslon Pro" w:hAnsi="Adobe Caslon Pro" w:cs="Arial"/>
        </w:rPr>
        <w:t>Alianza Global para la Participación Ciudadana.</w:t>
      </w:r>
    </w:p>
    <w:p w:rsidR="004D5D2F" w:rsidRPr="00AD0FD2" w:rsidRDefault="004D5D2F" w:rsidP="0043286B">
      <w:pPr>
        <w:spacing w:after="0" w:line="240" w:lineRule="auto"/>
        <w:rPr>
          <w:rFonts w:ascii="Adobe Caslon Pro" w:hAnsi="Adobe Caslon Pro"/>
          <w:b/>
        </w:rPr>
      </w:pPr>
      <w:r w:rsidRPr="00CC2FCE">
        <w:rPr>
          <w:rFonts w:ascii="Adobe Caslon Pro" w:hAnsi="Adobe Caslon Pro" w:cs="Arial"/>
          <w:b/>
        </w:rPr>
        <w:t>CLUNI.-</w:t>
      </w:r>
      <w:r w:rsidRPr="00CC2FCE">
        <w:rPr>
          <w:rFonts w:ascii="Adobe Caslon Pro" w:hAnsi="Adobe Caslon Pro" w:cs="Arial"/>
        </w:rPr>
        <w:t xml:space="preserve"> </w:t>
      </w:r>
      <w:r w:rsidRPr="00AD0FD2">
        <w:rPr>
          <w:rFonts w:ascii="Adobe Caslon Pro" w:hAnsi="Adobe Caslon Pro" w:cs="Arial"/>
        </w:rPr>
        <w:t>Clave Única de Inscripción al Registro Federal de las Organizaciones de la Sociedad Civil.</w:t>
      </w:r>
    </w:p>
    <w:p w:rsidR="004D5D2F" w:rsidRPr="00AD0FD2" w:rsidRDefault="002F714E" w:rsidP="0043286B">
      <w:pPr>
        <w:spacing w:after="0" w:line="240" w:lineRule="auto"/>
        <w:rPr>
          <w:rFonts w:ascii="Adobe Caslon Pro" w:hAnsi="Adobe Caslon Pro"/>
          <w:b/>
        </w:rPr>
      </w:pPr>
      <w:r>
        <w:rPr>
          <w:rFonts w:ascii="Adobe Caslon Pro" w:hAnsi="Adobe Caslon Pro" w:cs="Arial"/>
          <w:b/>
          <w:bCs/>
        </w:rPr>
        <w:t>CNcH</w:t>
      </w:r>
      <w:r w:rsidR="00592A12">
        <w:rPr>
          <w:rFonts w:ascii="Adobe Caslon Pro" w:hAnsi="Adobe Caslon Pro" w:cs="Arial"/>
          <w:b/>
          <w:bCs/>
        </w:rPr>
        <w:t xml:space="preserve"> </w:t>
      </w:r>
      <w:r w:rsidR="009D14B9">
        <w:rPr>
          <w:rFonts w:ascii="Adobe Caslon Pro" w:hAnsi="Adobe Caslon Pro" w:cs="Arial"/>
          <w:b/>
          <w:bCs/>
        </w:rPr>
        <w:t xml:space="preserve"> </w:t>
      </w:r>
      <w:r w:rsidR="00592A12">
        <w:rPr>
          <w:rFonts w:ascii="Adobe Caslon Pro" w:hAnsi="Adobe Caslon Pro" w:cs="Arial"/>
          <w:b/>
          <w:bCs/>
        </w:rPr>
        <w:t>o</w:t>
      </w:r>
      <w:r w:rsidR="009D14B9">
        <w:rPr>
          <w:rFonts w:ascii="Adobe Caslon Pro" w:hAnsi="Adobe Caslon Pro" w:cs="Arial"/>
          <w:b/>
          <w:bCs/>
        </w:rPr>
        <w:t xml:space="preserve"> </w:t>
      </w:r>
      <w:r w:rsidR="00592A12">
        <w:rPr>
          <w:rFonts w:ascii="Adobe Caslon Pro" w:hAnsi="Adobe Caslon Pro" w:cs="Arial"/>
          <w:b/>
          <w:bCs/>
        </w:rPr>
        <w:t xml:space="preserve"> Cruzada</w:t>
      </w:r>
      <w:r w:rsidR="004D5D2F" w:rsidRPr="00AD0FD2">
        <w:rPr>
          <w:rFonts w:ascii="Adobe Caslon Pro" w:hAnsi="Adobe Caslon Pro" w:cs="Arial"/>
          <w:b/>
          <w:bCs/>
        </w:rPr>
        <w:t xml:space="preserve">.- </w:t>
      </w:r>
      <w:r w:rsidR="004D5D2F" w:rsidRPr="00AD0FD2">
        <w:rPr>
          <w:rFonts w:ascii="Adobe Caslon Pro" w:hAnsi="Adobe Caslon Pro" w:cs="Arial"/>
          <w:bCs/>
        </w:rPr>
        <w:t>Cruzada Nacional Contra el Hambre.</w:t>
      </w:r>
    </w:p>
    <w:p w:rsidR="004D5D2F" w:rsidRPr="00AD0FD2" w:rsidRDefault="004D5D2F" w:rsidP="0043286B">
      <w:pPr>
        <w:spacing w:after="0" w:line="240" w:lineRule="auto"/>
        <w:rPr>
          <w:rFonts w:ascii="Adobe Caslon Pro" w:hAnsi="Adobe Caslon Pro" w:cs="Arial"/>
          <w:bCs/>
        </w:rPr>
      </w:pPr>
      <w:r w:rsidRPr="00AD0FD2">
        <w:rPr>
          <w:rFonts w:ascii="Adobe Caslon Pro" w:hAnsi="Adobe Caslon Pro" w:cs="Arial"/>
          <w:b/>
          <w:bCs/>
        </w:rPr>
        <w:t>CONEVAL.-</w:t>
      </w:r>
      <w:r w:rsidRPr="00AD0FD2">
        <w:rPr>
          <w:rFonts w:ascii="Adobe Caslon Pro" w:hAnsi="Adobe Caslon Pro" w:cs="Arial"/>
          <w:bCs/>
        </w:rPr>
        <w:t xml:space="preserve"> Consejo Nacional de Evaluación de la Política de Desarrollo Social.</w:t>
      </w:r>
    </w:p>
    <w:p w:rsidR="00592A12" w:rsidRPr="00592A12" w:rsidRDefault="00592A12" w:rsidP="0043286B">
      <w:pPr>
        <w:spacing w:after="0" w:line="240" w:lineRule="auto"/>
        <w:rPr>
          <w:rFonts w:ascii="Adobe Caslon Pro" w:hAnsi="Adobe Caslon Pro"/>
        </w:rPr>
      </w:pPr>
      <w:r>
        <w:rPr>
          <w:rFonts w:ascii="Adobe Caslon Pro" w:hAnsi="Adobe Caslon Pro"/>
          <w:b/>
        </w:rPr>
        <w:t xml:space="preserve">CURP.- </w:t>
      </w:r>
      <w:r>
        <w:rPr>
          <w:rFonts w:ascii="Adobe Caslon Pro" w:hAnsi="Adobe Caslon Pro"/>
        </w:rPr>
        <w:t>Clave Única de Registro de Población.</w:t>
      </w:r>
    </w:p>
    <w:p w:rsidR="004D5D2F" w:rsidRPr="00AD0FD2" w:rsidRDefault="004D5D2F" w:rsidP="0043286B">
      <w:pPr>
        <w:spacing w:after="0" w:line="240" w:lineRule="auto"/>
        <w:rPr>
          <w:rFonts w:ascii="Adobe Caslon Pro" w:eastAsiaTheme="minorEastAsia" w:hAnsi="Adobe Caslon Pro" w:cs="Arial"/>
          <w:color w:val="000000" w:themeColor="text1"/>
          <w:lang w:eastAsia="es-MX"/>
        </w:rPr>
      </w:pPr>
      <w:r w:rsidRPr="00AD0FD2">
        <w:rPr>
          <w:rFonts w:ascii="Adobe Caslon Pro" w:hAnsi="Adobe Caslon Pro"/>
          <w:b/>
        </w:rPr>
        <w:t>DIF.-</w:t>
      </w:r>
      <w:r w:rsidRPr="00AD0FD2">
        <w:rPr>
          <w:rFonts w:ascii="Adobe Caslon Pro" w:hAnsi="Adobe Caslon Pro"/>
        </w:rPr>
        <w:t xml:space="preserve"> Desarrollo Integral de la Familia.</w:t>
      </w:r>
      <w:r w:rsidRPr="00AD0FD2">
        <w:rPr>
          <w:rFonts w:ascii="Adobe Caslon Pro" w:hAnsi="Adobe Caslon Pro" w:cs="Arial"/>
          <w:bCs/>
        </w:rPr>
        <w:br/>
      </w:r>
      <w:r w:rsidRPr="00AD0FD2">
        <w:rPr>
          <w:rFonts w:ascii="Adobe Caslon Pro" w:eastAsiaTheme="minorEastAsia" w:hAnsi="Adobe Caslon Pro" w:cs="Arial"/>
          <w:b/>
          <w:color w:val="000000" w:themeColor="text1"/>
          <w:lang w:eastAsia="es-MX"/>
        </w:rPr>
        <w:t>DOF.-</w:t>
      </w:r>
      <w:r w:rsidRPr="00AD0FD2">
        <w:rPr>
          <w:rFonts w:ascii="Adobe Caslon Pro" w:eastAsiaTheme="minorEastAsia" w:hAnsi="Adobe Caslon Pro" w:cs="Arial"/>
          <w:color w:val="000000" w:themeColor="text1"/>
          <w:lang w:eastAsia="es-MX"/>
        </w:rPr>
        <w:t xml:space="preserve"> Diario Oficial de la Federación.</w:t>
      </w:r>
    </w:p>
    <w:p w:rsidR="004D5D2F" w:rsidRPr="00AD0FD2" w:rsidRDefault="004D5D2F" w:rsidP="0043286B">
      <w:pPr>
        <w:spacing w:after="0" w:line="240" w:lineRule="auto"/>
        <w:rPr>
          <w:rFonts w:ascii="Adobe Caslon Pro" w:hAnsi="Adobe Caslon Pro" w:cs="Arial"/>
        </w:rPr>
      </w:pPr>
      <w:r w:rsidRPr="00AD0FD2">
        <w:rPr>
          <w:rFonts w:ascii="Adobe Caslon Pro" w:hAnsi="Adobe Caslon Pro" w:cs="Arial"/>
          <w:b/>
        </w:rPr>
        <w:t>ENCUP.-</w:t>
      </w:r>
      <w:r w:rsidRPr="00AD0FD2">
        <w:rPr>
          <w:rFonts w:ascii="Adobe Caslon Pro" w:hAnsi="Adobe Caslon Pro" w:cs="Arial"/>
        </w:rPr>
        <w:t xml:space="preserve"> Encuesta Nacional sobre Cultura Política y Prácticas Ciudadanas.</w:t>
      </w:r>
    </w:p>
    <w:p w:rsidR="004D5D2F" w:rsidRPr="00AD0FD2" w:rsidRDefault="004D5D2F" w:rsidP="0043286B">
      <w:pPr>
        <w:spacing w:after="0" w:line="240" w:lineRule="auto"/>
        <w:rPr>
          <w:rFonts w:ascii="Adobe Caslon Pro" w:hAnsi="Adobe Caslon Pro"/>
        </w:rPr>
      </w:pPr>
      <w:r w:rsidRPr="00AD0FD2">
        <w:rPr>
          <w:rFonts w:ascii="Adobe Caslon Pro" w:hAnsi="Adobe Caslon Pro"/>
          <w:b/>
        </w:rPr>
        <w:t>IAP.-</w:t>
      </w:r>
      <w:r w:rsidRPr="00AD0FD2">
        <w:rPr>
          <w:rFonts w:ascii="Adobe Caslon Pro" w:hAnsi="Adobe Caslon Pro"/>
        </w:rPr>
        <w:t xml:space="preserve"> Instituciones de Asistencia Privada.</w:t>
      </w:r>
    </w:p>
    <w:p w:rsidR="004D5D2F" w:rsidRPr="00AD0FD2" w:rsidRDefault="004D5D2F" w:rsidP="0043286B">
      <w:pPr>
        <w:spacing w:after="0" w:line="240" w:lineRule="auto"/>
        <w:rPr>
          <w:rFonts w:ascii="Adobe Caslon Pro" w:hAnsi="Adobe Caslon Pro" w:cs="Arial"/>
        </w:rPr>
      </w:pPr>
      <w:r w:rsidRPr="00AD0FD2">
        <w:rPr>
          <w:rFonts w:ascii="Adobe Caslon Pro" w:hAnsi="Adobe Caslon Pro"/>
          <w:b/>
          <w:color w:val="211D1E"/>
        </w:rPr>
        <w:t>IBP.-</w:t>
      </w:r>
      <w:r w:rsidRPr="00AD0FD2">
        <w:rPr>
          <w:rFonts w:ascii="Adobe Caslon Pro" w:hAnsi="Adobe Caslon Pro"/>
          <w:color w:val="211D1E"/>
        </w:rPr>
        <w:t xml:space="preserve"> Institución de Beneficencia Privada.</w:t>
      </w:r>
    </w:p>
    <w:p w:rsidR="004D5D2F" w:rsidRPr="00AD0FD2" w:rsidRDefault="004D5D2F" w:rsidP="0043286B">
      <w:pPr>
        <w:spacing w:after="0" w:line="240" w:lineRule="auto"/>
        <w:rPr>
          <w:rFonts w:ascii="Adobe Caslon Pro" w:hAnsi="Adobe Caslon Pro" w:cs="Arial"/>
        </w:rPr>
      </w:pPr>
      <w:r w:rsidRPr="00AD0FD2">
        <w:rPr>
          <w:rFonts w:ascii="Adobe Caslon Pro" w:hAnsi="Adobe Caslon Pro" w:cs="Arial"/>
          <w:b/>
        </w:rPr>
        <w:t>IDH.-</w:t>
      </w:r>
      <w:r w:rsidRPr="00AD0FD2">
        <w:rPr>
          <w:rFonts w:ascii="Adobe Caslon Pro" w:hAnsi="Adobe Caslon Pro" w:cs="Arial"/>
        </w:rPr>
        <w:t xml:space="preserve"> Índice de Desarrollo Humano.</w:t>
      </w:r>
    </w:p>
    <w:p w:rsidR="004D5D2F" w:rsidRPr="00AD0FD2" w:rsidRDefault="004D5D2F" w:rsidP="0043286B">
      <w:pPr>
        <w:spacing w:after="0" w:line="240" w:lineRule="auto"/>
        <w:rPr>
          <w:rFonts w:ascii="Adobe Caslon Pro" w:eastAsiaTheme="minorEastAsia" w:hAnsi="Adobe Caslon Pro" w:cs="Arial"/>
          <w:color w:val="000000" w:themeColor="text1"/>
          <w:lang w:eastAsia="es-MX"/>
        </w:rPr>
      </w:pPr>
      <w:r w:rsidRPr="00AD0FD2">
        <w:rPr>
          <w:rFonts w:ascii="Adobe Caslon Pro" w:hAnsi="Adobe Caslon Pro" w:cs="Arial"/>
          <w:b/>
        </w:rPr>
        <w:t>IES.-</w:t>
      </w:r>
      <w:r w:rsidRPr="00AD0FD2">
        <w:rPr>
          <w:rFonts w:ascii="Adobe Caslon Pro" w:hAnsi="Adobe Caslon Pro" w:cs="Arial"/>
        </w:rPr>
        <w:t xml:space="preserve"> Instituciones de Educación Superior.</w:t>
      </w:r>
    </w:p>
    <w:p w:rsidR="004D5D2F" w:rsidRPr="00AD0FD2" w:rsidRDefault="004D5D2F" w:rsidP="0043286B">
      <w:pPr>
        <w:spacing w:after="0" w:line="240" w:lineRule="auto"/>
        <w:rPr>
          <w:rFonts w:ascii="Adobe Caslon Pro" w:eastAsiaTheme="minorEastAsia" w:hAnsi="Adobe Caslon Pro" w:cs="Arial"/>
          <w:color w:val="000000" w:themeColor="text1"/>
          <w:lang w:eastAsia="es-MX"/>
        </w:rPr>
      </w:pPr>
      <w:r w:rsidRPr="00AD0FD2">
        <w:rPr>
          <w:rFonts w:ascii="Adobe Caslon Pro" w:hAnsi="Adobe Caslon Pro" w:cs="Arial"/>
          <w:b/>
        </w:rPr>
        <w:t>IFAI.-</w:t>
      </w:r>
      <w:r w:rsidRPr="00AD0FD2">
        <w:rPr>
          <w:rFonts w:ascii="Adobe Caslon Pro" w:hAnsi="Adobe Caslon Pro" w:cs="Arial"/>
        </w:rPr>
        <w:t xml:space="preserve"> Instituto Federal de Acceso a la Información y Protección de Datos.</w:t>
      </w:r>
    </w:p>
    <w:p w:rsidR="004D5D2F" w:rsidRPr="00AD0FD2" w:rsidRDefault="004D5D2F" w:rsidP="0043286B">
      <w:pPr>
        <w:spacing w:after="0" w:line="240" w:lineRule="auto"/>
        <w:rPr>
          <w:rFonts w:ascii="Adobe Caslon Pro" w:eastAsiaTheme="minorEastAsia" w:hAnsi="Adobe Caslon Pro" w:cs="Arial"/>
          <w:b/>
          <w:color w:val="000000" w:themeColor="text1"/>
          <w:lang w:eastAsia="es-MX"/>
        </w:rPr>
      </w:pPr>
      <w:r w:rsidRPr="00AD0FD2">
        <w:rPr>
          <w:rFonts w:ascii="Adobe Caslon Pro" w:hAnsi="Adobe Caslon Pro" w:cs="Arial"/>
          <w:b/>
          <w:bCs/>
        </w:rPr>
        <w:t>INDESOL.-</w:t>
      </w:r>
      <w:r w:rsidRPr="00AD0FD2">
        <w:rPr>
          <w:rFonts w:ascii="Adobe Caslon Pro" w:hAnsi="Adobe Caslon Pro" w:cs="Arial"/>
          <w:bCs/>
        </w:rPr>
        <w:t xml:space="preserve"> Instituto Nacional de Desarrollo Social.</w:t>
      </w:r>
    </w:p>
    <w:p w:rsidR="004D5D2F" w:rsidRPr="00AD0FD2" w:rsidRDefault="004D5D2F" w:rsidP="0043286B">
      <w:pPr>
        <w:spacing w:after="0" w:line="240" w:lineRule="auto"/>
        <w:rPr>
          <w:rFonts w:ascii="Adobe Caslon Pro" w:hAnsi="Adobe Caslon Pro" w:cs="Arial"/>
          <w:bCs/>
        </w:rPr>
      </w:pPr>
      <w:r w:rsidRPr="00AD0FD2">
        <w:rPr>
          <w:rFonts w:ascii="Adobe Caslon Pro" w:hAnsi="Adobe Caslon Pro" w:cs="Arial"/>
          <w:b/>
          <w:bCs/>
        </w:rPr>
        <w:t>INEGI.-</w:t>
      </w:r>
      <w:r w:rsidRPr="00AD0FD2">
        <w:rPr>
          <w:rFonts w:ascii="Adobe Caslon Pro" w:hAnsi="Adobe Caslon Pro"/>
        </w:rPr>
        <w:t xml:space="preserve"> Instituto</w:t>
      </w:r>
      <w:r w:rsidRPr="00AD0FD2">
        <w:rPr>
          <w:rFonts w:ascii="Adobe Caslon Pro" w:hAnsi="Adobe Caslon Pro" w:cs="Arial"/>
          <w:bCs/>
        </w:rPr>
        <w:t xml:space="preserve"> Nacional de Estadística y Geografía.</w:t>
      </w:r>
    </w:p>
    <w:p w:rsidR="004D5D2F" w:rsidRPr="00AD0FD2" w:rsidRDefault="004D5D2F" w:rsidP="0043286B">
      <w:pPr>
        <w:spacing w:after="0" w:line="240" w:lineRule="auto"/>
        <w:rPr>
          <w:rFonts w:ascii="Adobe Caslon Pro" w:hAnsi="Adobe Caslon Pro" w:cs="Arial"/>
          <w:bCs/>
        </w:rPr>
      </w:pPr>
      <w:r w:rsidRPr="00AD0FD2">
        <w:rPr>
          <w:rFonts w:ascii="Adobe Caslon Pro" w:hAnsi="Adobe Caslon Pro" w:cs="Arial"/>
          <w:b/>
        </w:rPr>
        <w:t>ISFL.-</w:t>
      </w:r>
      <w:r w:rsidRPr="00AD0FD2">
        <w:rPr>
          <w:rFonts w:ascii="Adobe Caslon Pro" w:hAnsi="Adobe Caslon Pro" w:cs="Arial"/>
        </w:rPr>
        <w:t xml:space="preserve"> Instituciones Sin Fines de Lucro.</w:t>
      </w:r>
    </w:p>
    <w:p w:rsidR="004D5D2F" w:rsidRPr="00AD0FD2" w:rsidRDefault="004D5D2F" w:rsidP="0043286B">
      <w:pPr>
        <w:spacing w:after="0" w:line="240" w:lineRule="auto"/>
        <w:rPr>
          <w:rFonts w:ascii="Adobe Caslon Pro" w:hAnsi="Adobe Caslon Pro"/>
        </w:rPr>
      </w:pPr>
      <w:r w:rsidRPr="00AD0FD2">
        <w:rPr>
          <w:rFonts w:ascii="Adobe Caslon Pro" w:hAnsi="Adobe Caslon Pro"/>
          <w:b/>
        </w:rPr>
        <w:t>ISR.-</w:t>
      </w:r>
      <w:r w:rsidRPr="00AD0FD2">
        <w:rPr>
          <w:rFonts w:ascii="Adobe Caslon Pro" w:hAnsi="Adobe Caslon Pro"/>
        </w:rPr>
        <w:t xml:space="preserve"> Impuesto Sobre la Renta.</w:t>
      </w:r>
    </w:p>
    <w:p w:rsidR="004D5D2F" w:rsidRPr="00AD0FD2" w:rsidRDefault="004D5D2F" w:rsidP="0043286B">
      <w:pPr>
        <w:spacing w:after="0" w:line="240" w:lineRule="auto"/>
        <w:rPr>
          <w:rFonts w:ascii="Adobe Caslon Pro" w:hAnsi="Adobe Caslon Pro" w:cs="Arial"/>
          <w:bCs/>
        </w:rPr>
      </w:pPr>
      <w:r w:rsidRPr="00AD0FD2">
        <w:rPr>
          <w:rFonts w:ascii="Adobe Caslon Pro" w:hAnsi="Adobe Caslon Pro" w:cs="Arial"/>
          <w:b/>
          <w:bCs/>
        </w:rPr>
        <w:t>LFFAROSC.-</w:t>
      </w:r>
      <w:r w:rsidRPr="00AD0FD2">
        <w:rPr>
          <w:rFonts w:ascii="Adobe Caslon Pro" w:hAnsi="Adobe Caslon Pro" w:cs="Arial"/>
          <w:bCs/>
        </w:rPr>
        <w:t xml:space="preserve"> Ley Federal de Fomento a las Actividades Realizadas por</w:t>
      </w:r>
      <w:r w:rsidR="0043286B">
        <w:rPr>
          <w:rFonts w:ascii="Adobe Caslon Pro" w:hAnsi="Adobe Caslon Pro" w:cs="Arial"/>
          <w:bCs/>
        </w:rPr>
        <w:t xml:space="preserve"> </w:t>
      </w:r>
      <w:r w:rsidRPr="00AD0FD2">
        <w:rPr>
          <w:rFonts w:ascii="Adobe Caslon Pro" w:hAnsi="Adobe Caslon Pro" w:cs="Arial"/>
          <w:bCs/>
        </w:rPr>
        <w:t>Organizaciones de la Sociedad Civil.</w:t>
      </w:r>
    </w:p>
    <w:p w:rsidR="00AE5A03" w:rsidRDefault="004D5D2F" w:rsidP="0043286B">
      <w:pPr>
        <w:spacing w:after="0" w:line="240" w:lineRule="auto"/>
        <w:rPr>
          <w:rFonts w:ascii="Adobe Caslon Pro" w:hAnsi="Adobe Caslon Pro" w:cs="Arial"/>
          <w:color w:val="000000"/>
        </w:rPr>
      </w:pPr>
      <w:r w:rsidRPr="00AD0FD2">
        <w:rPr>
          <w:rFonts w:ascii="Adobe Caslon Pro" w:hAnsi="Adobe Caslon Pro" w:cs="Arial"/>
          <w:b/>
          <w:color w:val="000000"/>
        </w:rPr>
        <w:t>LFTAIPG.-</w:t>
      </w:r>
      <w:r w:rsidRPr="00AD0FD2">
        <w:rPr>
          <w:rFonts w:ascii="Adobe Caslon Pro" w:hAnsi="Adobe Caslon Pro" w:cs="Arial"/>
          <w:color w:val="000000"/>
        </w:rPr>
        <w:t xml:space="preserve"> Ley Federal de Transparencia y Acceso a la Información Pública Gubernamental.</w:t>
      </w:r>
    </w:p>
    <w:p w:rsidR="004D5D2F" w:rsidRPr="00AD0FD2" w:rsidRDefault="004D5D2F" w:rsidP="0043286B">
      <w:pPr>
        <w:spacing w:after="0" w:line="240" w:lineRule="auto"/>
        <w:rPr>
          <w:rFonts w:ascii="Adobe Caslon Pro" w:eastAsiaTheme="minorEastAsia" w:hAnsi="Adobe Caslon Pro" w:cs="Arial"/>
          <w:b/>
          <w:color w:val="000000" w:themeColor="text1"/>
          <w:lang w:eastAsia="es-MX"/>
        </w:rPr>
      </w:pPr>
      <w:r w:rsidRPr="00AD0FD2">
        <w:rPr>
          <w:rFonts w:ascii="Adobe Caslon Pro" w:hAnsi="Adobe Caslon Pro" w:cs="Arial"/>
          <w:b/>
          <w:color w:val="000000"/>
        </w:rPr>
        <w:t xml:space="preserve">LGDS.- </w:t>
      </w:r>
      <w:r w:rsidRPr="00AD0FD2">
        <w:rPr>
          <w:rFonts w:ascii="Adobe Caslon Pro" w:hAnsi="Adobe Caslon Pro" w:cs="Arial"/>
          <w:color w:val="000000"/>
        </w:rPr>
        <w:t>Ley General de Desarrollo Social.</w:t>
      </w:r>
    </w:p>
    <w:p w:rsidR="004D5D2F" w:rsidRPr="00AD0FD2" w:rsidRDefault="004D5D2F" w:rsidP="0043286B">
      <w:pPr>
        <w:spacing w:after="0" w:line="240" w:lineRule="auto"/>
        <w:rPr>
          <w:rFonts w:ascii="Adobe Caslon Pro" w:hAnsi="Adobe Caslon Pro" w:cs="Arial"/>
          <w:bCs/>
        </w:rPr>
      </w:pPr>
      <w:r w:rsidRPr="00AD0FD2">
        <w:rPr>
          <w:rFonts w:ascii="Adobe Caslon Pro" w:hAnsi="Adobe Caslon Pro" w:cs="Arial"/>
          <w:b/>
          <w:bCs/>
        </w:rPr>
        <w:t xml:space="preserve">LISR.- </w:t>
      </w:r>
      <w:r w:rsidRPr="00AD0FD2">
        <w:rPr>
          <w:rFonts w:ascii="Adobe Caslon Pro" w:hAnsi="Adobe Caslon Pro" w:cs="Arial"/>
          <w:bCs/>
        </w:rPr>
        <w:t>Ley del Impuesto sobre la Renta.</w:t>
      </w:r>
    </w:p>
    <w:p w:rsidR="004D5D2F" w:rsidRPr="00AD0FD2" w:rsidRDefault="004D5D2F" w:rsidP="0043286B">
      <w:pPr>
        <w:spacing w:after="0" w:line="240" w:lineRule="auto"/>
        <w:rPr>
          <w:rFonts w:ascii="Adobe Caslon Pro" w:hAnsi="Adobe Caslon Pro" w:cs="Arial"/>
          <w:bCs/>
        </w:rPr>
      </w:pPr>
      <w:r w:rsidRPr="00AD0FD2">
        <w:rPr>
          <w:rFonts w:ascii="Adobe Caslon Pro" w:hAnsi="Adobe Caslon Pro" w:cs="Arial"/>
          <w:b/>
        </w:rPr>
        <w:lastRenderedPageBreak/>
        <w:t>MIR.-</w:t>
      </w:r>
      <w:r w:rsidRPr="00AD0FD2">
        <w:rPr>
          <w:rFonts w:ascii="Adobe Caslon Pro" w:hAnsi="Adobe Caslon Pro" w:cs="Arial"/>
        </w:rPr>
        <w:t xml:space="preserve"> Matriz de Indicadores de Resultados</w:t>
      </w:r>
      <w:r w:rsidR="0043286B">
        <w:rPr>
          <w:rFonts w:ascii="Adobe Caslon Pro" w:hAnsi="Adobe Caslon Pro" w:cs="Arial"/>
        </w:rPr>
        <w:t>.</w:t>
      </w:r>
    </w:p>
    <w:p w:rsidR="004D5D2F" w:rsidRPr="00AD0FD2" w:rsidRDefault="004D5D2F" w:rsidP="0043286B">
      <w:pPr>
        <w:spacing w:after="0" w:line="240" w:lineRule="auto"/>
        <w:rPr>
          <w:rFonts w:ascii="Adobe Caslon Pro" w:hAnsi="Adobe Caslon Pro" w:cs="Arial"/>
          <w:bCs/>
        </w:rPr>
      </w:pPr>
      <w:r w:rsidRPr="00AD0FD2">
        <w:rPr>
          <w:rFonts w:ascii="Adobe Caslon Pro" w:hAnsi="Adobe Caslon Pro" w:cs="Arial"/>
          <w:b/>
          <w:bCs/>
        </w:rPr>
        <w:t>ONG</w:t>
      </w:r>
      <w:r w:rsidRPr="00AD0FD2">
        <w:rPr>
          <w:rFonts w:ascii="Adobe Caslon Pro" w:hAnsi="Adobe Caslon Pro" w:cs="Arial"/>
          <w:bCs/>
        </w:rPr>
        <w:t>.-Organización no gubernamental.</w:t>
      </w:r>
    </w:p>
    <w:p w:rsidR="004E5CC0" w:rsidRPr="004E5CC0" w:rsidRDefault="004E5CC0" w:rsidP="0043286B">
      <w:pPr>
        <w:spacing w:after="0" w:line="240" w:lineRule="auto"/>
        <w:rPr>
          <w:rFonts w:ascii="Adobe Caslon Pro" w:hAnsi="Adobe Caslon Pro" w:cs="Arial"/>
          <w:bCs/>
        </w:rPr>
      </w:pPr>
      <w:r>
        <w:rPr>
          <w:rFonts w:ascii="Adobe Caslon Pro" w:hAnsi="Adobe Caslon Pro" w:cs="Arial"/>
          <w:b/>
          <w:bCs/>
        </w:rPr>
        <w:t xml:space="preserve">ONU.- </w:t>
      </w:r>
      <w:r>
        <w:rPr>
          <w:rFonts w:ascii="Adobe Caslon Pro" w:hAnsi="Adobe Caslon Pro" w:cs="Arial"/>
          <w:bCs/>
        </w:rPr>
        <w:t xml:space="preserve">Organización de las Naciones Unidas. </w:t>
      </w:r>
    </w:p>
    <w:p w:rsidR="004D5D2F" w:rsidRPr="00AD0FD2" w:rsidRDefault="004D5D2F" w:rsidP="0043286B">
      <w:pPr>
        <w:spacing w:after="0" w:line="240" w:lineRule="auto"/>
        <w:rPr>
          <w:rFonts w:ascii="Adobe Caslon Pro" w:hAnsi="Adobe Caslon Pro" w:cs="Arial"/>
          <w:bCs/>
        </w:rPr>
      </w:pPr>
      <w:r w:rsidRPr="00AD0FD2">
        <w:rPr>
          <w:rFonts w:ascii="Adobe Caslon Pro" w:hAnsi="Adobe Caslon Pro" w:cs="Arial"/>
          <w:b/>
          <w:bCs/>
        </w:rPr>
        <w:t xml:space="preserve">OSC.- </w:t>
      </w:r>
      <w:r w:rsidRPr="00AD0FD2">
        <w:rPr>
          <w:rFonts w:ascii="Adobe Caslon Pro" w:hAnsi="Adobe Caslon Pro" w:cs="Arial"/>
          <w:bCs/>
        </w:rPr>
        <w:t>Organizaciones de la Sociedad Civil.</w:t>
      </w:r>
    </w:p>
    <w:p w:rsidR="004D5D2F" w:rsidRPr="00AD0FD2" w:rsidRDefault="004D5D2F" w:rsidP="0043286B">
      <w:pPr>
        <w:spacing w:after="0" w:line="240" w:lineRule="auto"/>
        <w:rPr>
          <w:rFonts w:ascii="Adobe Caslon Pro" w:hAnsi="Adobe Caslon Pro" w:cs="Arial"/>
          <w:bCs/>
        </w:rPr>
      </w:pPr>
      <w:r w:rsidRPr="00AD0FD2">
        <w:rPr>
          <w:rFonts w:ascii="Adobe Caslon Pro" w:hAnsi="Adobe Caslon Pro" w:cs="Arial"/>
          <w:b/>
        </w:rPr>
        <w:t>OSCIP.-</w:t>
      </w:r>
      <w:r w:rsidRPr="00AD0FD2">
        <w:rPr>
          <w:rFonts w:ascii="Adobe Caslon Pro" w:hAnsi="Adobe Caslon Pro" w:cs="Arial"/>
        </w:rPr>
        <w:t xml:space="preserve"> Organizaciones de Sociedad Civil de Interés Público.</w:t>
      </w:r>
    </w:p>
    <w:p w:rsidR="004D5D2F" w:rsidRPr="00AD0FD2" w:rsidRDefault="004D5D2F" w:rsidP="0043286B">
      <w:pPr>
        <w:spacing w:after="0" w:line="240" w:lineRule="auto"/>
        <w:rPr>
          <w:rFonts w:ascii="Adobe Caslon Pro" w:hAnsi="Adobe Caslon Pro" w:cs="Arial"/>
          <w:bCs/>
        </w:rPr>
      </w:pPr>
      <w:r w:rsidRPr="00AD0FD2">
        <w:rPr>
          <w:rFonts w:ascii="Adobe Caslon Pro" w:hAnsi="Adobe Caslon Pro"/>
          <w:b/>
        </w:rPr>
        <w:t>PCS.-</w:t>
      </w:r>
      <w:r w:rsidR="00F24615">
        <w:rPr>
          <w:rFonts w:ascii="Adobe Caslon Pro" w:hAnsi="Adobe Caslon Pro" w:cs="Arial"/>
          <w:bCs/>
        </w:rPr>
        <w:t>P</w:t>
      </w:r>
      <w:r w:rsidR="00181790">
        <w:rPr>
          <w:rFonts w:ascii="Adobe Caslon Pro" w:hAnsi="Adobe Caslon Pro" w:cs="Arial"/>
          <w:bCs/>
        </w:rPr>
        <w:t xml:space="preserve">rograma de </w:t>
      </w:r>
      <w:r w:rsidR="00F24615">
        <w:rPr>
          <w:rFonts w:ascii="Adobe Caslon Pro" w:hAnsi="Adobe Caslon Pro" w:cs="Arial"/>
          <w:bCs/>
        </w:rPr>
        <w:t>C</w:t>
      </w:r>
      <w:r w:rsidR="00181790">
        <w:rPr>
          <w:rFonts w:ascii="Adobe Caslon Pro" w:hAnsi="Adobe Caslon Pro" w:cs="Arial"/>
          <w:bCs/>
        </w:rPr>
        <w:t xml:space="preserve">oinversión </w:t>
      </w:r>
      <w:r w:rsidR="00F24615">
        <w:rPr>
          <w:rFonts w:ascii="Adobe Caslon Pro" w:hAnsi="Adobe Caslon Pro" w:cs="Arial"/>
          <w:bCs/>
        </w:rPr>
        <w:t>S</w:t>
      </w:r>
      <w:r w:rsidR="00181790">
        <w:rPr>
          <w:rFonts w:ascii="Adobe Caslon Pro" w:hAnsi="Adobe Caslon Pro" w:cs="Arial"/>
          <w:bCs/>
        </w:rPr>
        <w:t>ocial</w:t>
      </w:r>
      <w:r w:rsidRPr="00AD0FD2">
        <w:rPr>
          <w:rFonts w:ascii="Adobe Caslon Pro" w:hAnsi="Adobe Caslon Pro" w:cs="Arial"/>
          <w:bCs/>
        </w:rPr>
        <w:t>.</w:t>
      </w:r>
    </w:p>
    <w:p w:rsidR="004D5D2F" w:rsidRPr="00AD0FD2" w:rsidRDefault="004D5D2F" w:rsidP="0043286B">
      <w:pPr>
        <w:spacing w:after="0" w:line="240" w:lineRule="auto"/>
        <w:rPr>
          <w:rFonts w:ascii="Adobe Caslon Pro" w:hAnsi="Adobe Caslon Pro" w:cs="Arial"/>
          <w:bCs/>
        </w:rPr>
      </w:pPr>
      <w:r w:rsidRPr="00AD0FD2">
        <w:rPr>
          <w:rFonts w:ascii="Adobe Caslon Pro" w:hAnsi="Adobe Caslon Pro" w:cs="Arial"/>
          <w:b/>
        </w:rPr>
        <w:t>PDHO.-</w:t>
      </w:r>
      <w:r w:rsidRPr="00AD0FD2">
        <w:rPr>
          <w:rFonts w:ascii="Adobe Caslon Pro" w:hAnsi="Adobe Caslon Pro" w:cs="Arial"/>
        </w:rPr>
        <w:t xml:space="preserve"> Programa de Desarrollo Humano Oportunidades</w:t>
      </w:r>
      <w:r w:rsidR="0043286B">
        <w:rPr>
          <w:rFonts w:ascii="Adobe Caslon Pro" w:hAnsi="Adobe Caslon Pro" w:cs="Arial"/>
        </w:rPr>
        <w:t>.</w:t>
      </w:r>
    </w:p>
    <w:p w:rsidR="004D5D2F" w:rsidRPr="00AD0FD2" w:rsidRDefault="004D5D2F" w:rsidP="0043286B">
      <w:pPr>
        <w:spacing w:after="0" w:line="240" w:lineRule="auto"/>
        <w:rPr>
          <w:rFonts w:ascii="Adobe Caslon Pro" w:hAnsi="Adobe Caslon Pro" w:cs="Arial"/>
          <w:bCs/>
        </w:rPr>
      </w:pPr>
      <w:r w:rsidRPr="00AD0FD2">
        <w:rPr>
          <w:rFonts w:ascii="Adobe Caslon Pro" w:hAnsi="Adobe Caslon Pro" w:cs="Arial"/>
          <w:b/>
          <w:bCs/>
        </w:rPr>
        <w:t>PND.-</w:t>
      </w:r>
      <w:r w:rsidRPr="00AD0FD2">
        <w:rPr>
          <w:rFonts w:ascii="Adobe Caslon Pro" w:hAnsi="Adobe Caslon Pro" w:cs="Arial"/>
          <w:bCs/>
        </w:rPr>
        <w:t xml:space="preserve"> Plan Nacional de Desarrollo.</w:t>
      </w:r>
    </w:p>
    <w:p w:rsidR="008D03D1" w:rsidRPr="008D03D1" w:rsidRDefault="008D03D1" w:rsidP="0043286B">
      <w:pPr>
        <w:spacing w:after="0" w:line="240" w:lineRule="auto"/>
        <w:rPr>
          <w:rFonts w:ascii="Adobe Caslon Pro" w:hAnsi="Adobe Caslon Pro" w:cs="Arial"/>
          <w:bCs/>
        </w:rPr>
      </w:pPr>
      <w:r>
        <w:rPr>
          <w:rFonts w:ascii="Adobe Caslon Pro" w:hAnsi="Adobe Caslon Pro" w:cs="Arial"/>
          <w:b/>
          <w:bCs/>
        </w:rPr>
        <w:t xml:space="preserve">PNUD.- </w:t>
      </w:r>
      <w:r>
        <w:rPr>
          <w:rFonts w:ascii="Adobe Caslon Pro" w:hAnsi="Adobe Caslon Pro" w:cs="Arial"/>
          <w:bCs/>
        </w:rPr>
        <w:t>Programa de las Naciones Unidas para el Desarrollo.</w:t>
      </w:r>
    </w:p>
    <w:p w:rsidR="004D5D2F" w:rsidRPr="00AD0FD2" w:rsidRDefault="004D5D2F" w:rsidP="0043286B">
      <w:pPr>
        <w:spacing w:after="0" w:line="240" w:lineRule="auto"/>
        <w:rPr>
          <w:rFonts w:ascii="Adobe Caslon Pro" w:hAnsi="Adobe Caslon Pro" w:cs="Arial"/>
          <w:b/>
          <w:bCs/>
        </w:rPr>
      </w:pPr>
      <w:r w:rsidRPr="00AD0FD2">
        <w:rPr>
          <w:rFonts w:ascii="Adobe Caslon Pro" w:hAnsi="Adobe Caslon Pro" w:cs="Arial"/>
          <w:b/>
          <w:bCs/>
        </w:rPr>
        <w:t xml:space="preserve">PSDS.- </w:t>
      </w:r>
      <w:r w:rsidRPr="00AD0FD2">
        <w:rPr>
          <w:rFonts w:ascii="Adobe Caslon Pro" w:hAnsi="Adobe Caslon Pro" w:cs="Arial"/>
          <w:bCs/>
        </w:rPr>
        <w:t>Programa Sectorial de Desarrollo Social.</w:t>
      </w:r>
    </w:p>
    <w:p w:rsidR="004D5D2F" w:rsidRPr="00AD0FD2" w:rsidRDefault="004D5D2F" w:rsidP="0043286B">
      <w:pPr>
        <w:spacing w:after="0" w:line="240" w:lineRule="auto"/>
        <w:rPr>
          <w:rFonts w:ascii="Adobe Caslon Pro" w:hAnsi="Adobe Caslon Pro" w:cs="Arial"/>
          <w:bCs/>
        </w:rPr>
      </w:pPr>
      <w:r w:rsidRPr="00AD0FD2">
        <w:rPr>
          <w:rFonts w:ascii="Adobe Caslon Pro" w:hAnsi="Adobe Caslon Pro" w:cs="Arial"/>
          <w:b/>
          <w:bCs/>
        </w:rPr>
        <w:t xml:space="preserve">RFOSC.- </w:t>
      </w:r>
      <w:r w:rsidRPr="00AD0FD2">
        <w:rPr>
          <w:rFonts w:ascii="Adobe Caslon Pro" w:hAnsi="Adobe Caslon Pro" w:cs="Arial"/>
          <w:bCs/>
        </w:rPr>
        <w:t>Registro Federal de las O</w:t>
      </w:r>
      <w:r w:rsidR="00940E10">
        <w:rPr>
          <w:rFonts w:ascii="Adobe Caslon Pro" w:hAnsi="Adobe Caslon Pro" w:cs="Arial"/>
          <w:bCs/>
        </w:rPr>
        <w:t xml:space="preserve">rganizaciones de la Sociedad </w:t>
      </w:r>
      <w:r w:rsidRPr="00AD0FD2">
        <w:rPr>
          <w:rFonts w:ascii="Adobe Caslon Pro" w:hAnsi="Adobe Caslon Pro" w:cs="Arial"/>
          <w:bCs/>
        </w:rPr>
        <w:t>C</w:t>
      </w:r>
      <w:r w:rsidR="00940E10">
        <w:rPr>
          <w:rFonts w:ascii="Adobe Caslon Pro" w:hAnsi="Adobe Caslon Pro" w:cs="Arial"/>
          <w:bCs/>
        </w:rPr>
        <w:t>ivil</w:t>
      </w:r>
      <w:r w:rsidRPr="00AD0FD2">
        <w:rPr>
          <w:rFonts w:ascii="Adobe Caslon Pro" w:hAnsi="Adobe Caslon Pro" w:cs="Arial"/>
          <w:bCs/>
        </w:rPr>
        <w:t>.</w:t>
      </w:r>
    </w:p>
    <w:p w:rsidR="006E30C8" w:rsidRPr="006E30C8" w:rsidRDefault="006E30C8" w:rsidP="0043286B">
      <w:pPr>
        <w:spacing w:after="0" w:line="240" w:lineRule="auto"/>
        <w:rPr>
          <w:rFonts w:ascii="Adobe Caslon Pro" w:hAnsi="Adobe Caslon Pro" w:cs="Arial"/>
          <w:bCs/>
        </w:rPr>
      </w:pPr>
      <w:r>
        <w:rPr>
          <w:rFonts w:ascii="Adobe Caslon Pro" w:hAnsi="Adobe Caslon Pro" w:cs="Arial"/>
          <w:b/>
          <w:bCs/>
        </w:rPr>
        <w:t xml:space="preserve">RPP.- </w:t>
      </w:r>
      <w:r>
        <w:rPr>
          <w:rFonts w:ascii="Adobe Caslon Pro" w:hAnsi="Adobe Caslon Pro" w:cs="Arial"/>
          <w:bCs/>
        </w:rPr>
        <w:t>Registro Público de la Propiedad.</w:t>
      </w:r>
    </w:p>
    <w:p w:rsidR="004D5D2F" w:rsidRPr="00AD0FD2" w:rsidRDefault="004D5D2F" w:rsidP="0043286B">
      <w:pPr>
        <w:spacing w:after="0" w:line="240" w:lineRule="auto"/>
        <w:rPr>
          <w:rFonts w:ascii="Adobe Caslon Pro" w:hAnsi="Adobe Caslon Pro" w:cs="Arial"/>
          <w:b/>
          <w:bCs/>
        </w:rPr>
      </w:pPr>
      <w:r w:rsidRPr="00AD0FD2">
        <w:rPr>
          <w:rFonts w:ascii="Adobe Caslon Pro" w:hAnsi="Adobe Caslon Pro" w:cs="Arial"/>
          <w:b/>
          <w:bCs/>
        </w:rPr>
        <w:t xml:space="preserve">SAT.- </w:t>
      </w:r>
      <w:r w:rsidRPr="00AD0FD2">
        <w:rPr>
          <w:rFonts w:ascii="Adobe Caslon Pro" w:hAnsi="Adobe Caslon Pro" w:cs="Arial"/>
          <w:bCs/>
        </w:rPr>
        <w:t>Sistema de Administración Tributaria.</w:t>
      </w:r>
    </w:p>
    <w:p w:rsidR="00A01135" w:rsidRPr="00A01135" w:rsidRDefault="00A01135" w:rsidP="0043286B">
      <w:pPr>
        <w:spacing w:after="0" w:line="240" w:lineRule="auto"/>
        <w:rPr>
          <w:rFonts w:ascii="Adobe Caslon Pro" w:hAnsi="Adobe Caslon Pro" w:cs="Arial"/>
        </w:rPr>
      </w:pPr>
      <w:r>
        <w:rPr>
          <w:rFonts w:ascii="Adobe Caslon Pro" w:hAnsi="Adobe Caslon Pro" w:cs="Arial"/>
          <w:b/>
        </w:rPr>
        <w:t xml:space="preserve">SC.- </w:t>
      </w:r>
      <w:r>
        <w:rPr>
          <w:rFonts w:ascii="Adobe Caslon Pro" w:hAnsi="Adobe Caslon Pro" w:cs="Arial"/>
        </w:rPr>
        <w:t>Sociedad Civil.</w:t>
      </w:r>
    </w:p>
    <w:p w:rsidR="003C797B" w:rsidRDefault="003C797B" w:rsidP="0043286B">
      <w:pPr>
        <w:spacing w:after="0" w:line="240" w:lineRule="auto"/>
        <w:rPr>
          <w:rFonts w:ascii="Adobe Caslon Pro" w:hAnsi="Adobe Caslon Pro" w:cs="Arial"/>
        </w:rPr>
      </w:pPr>
      <w:r w:rsidRPr="003C797B">
        <w:rPr>
          <w:rFonts w:ascii="Adobe Caslon Pro" w:hAnsi="Adobe Caslon Pro" w:cs="Arial"/>
          <w:b/>
        </w:rPr>
        <w:t>SE</w:t>
      </w:r>
      <w:r>
        <w:rPr>
          <w:rFonts w:ascii="Adobe Caslon Pro" w:hAnsi="Adobe Caslon Pro" w:cs="Arial"/>
        </w:rPr>
        <w:t>.- Secretaría de Economía</w:t>
      </w:r>
      <w:r w:rsidR="0043286B">
        <w:rPr>
          <w:rFonts w:ascii="Adobe Caslon Pro" w:hAnsi="Adobe Caslon Pro" w:cs="Arial"/>
        </w:rPr>
        <w:t>.</w:t>
      </w:r>
    </w:p>
    <w:p w:rsidR="004D5D2F" w:rsidRPr="00AD0FD2" w:rsidRDefault="004D5D2F" w:rsidP="0043286B">
      <w:pPr>
        <w:spacing w:after="0" w:line="240" w:lineRule="auto"/>
        <w:rPr>
          <w:rFonts w:ascii="Adobe Caslon Pro" w:hAnsi="Adobe Caslon Pro"/>
        </w:rPr>
      </w:pPr>
      <w:r w:rsidRPr="00AD0FD2">
        <w:rPr>
          <w:rFonts w:ascii="Adobe Caslon Pro" w:hAnsi="Adobe Caslon Pro"/>
          <w:b/>
        </w:rPr>
        <w:t>SEDESOL.-</w:t>
      </w:r>
      <w:r w:rsidRPr="00AD0FD2">
        <w:rPr>
          <w:rFonts w:ascii="Adobe Caslon Pro" w:hAnsi="Adobe Caslon Pro"/>
        </w:rPr>
        <w:t xml:space="preserve"> Secretaria de Desarrollo Social.</w:t>
      </w:r>
    </w:p>
    <w:p w:rsidR="003C797B" w:rsidRPr="003C797B" w:rsidRDefault="003C797B" w:rsidP="0043286B">
      <w:pPr>
        <w:spacing w:after="0" w:line="240" w:lineRule="auto"/>
        <w:rPr>
          <w:rFonts w:ascii="Adobe Caslon Pro" w:hAnsi="Adobe Caslon Pro" w:cs="Arial"/>
        </w:rPr>
      </w:pPr>
      <w:r w:rsidRPr="003C797B">
        <w:rPr>
          <w:rFonts w:ascii="Adobe Caslon Pro" w:hAnsi="Adobe Caslon Pro" w:cs="Arial"/>
          <w:b/>
        </w:rPr>
        <w:t>SHCP</w:t>
      </w:r>
      <w:r>
        <w:rPr>
          <w:rFonts w:ascii="Adobe Caslon Pro" w:hAnsi="Adobe Caslon Pro" w:cs="Arial"/>
        </w:rPr>
        <w:t>.- Secretaría de Hacienda y Crédito Público</w:t>
      </w:r>
      <w:r w:rsidR="0043286B">
        <w:rPr>
          <w:rFonts w:ascii="Adobe Caslon Pro" w:hAnsi="Adobe Caslon Pro" w:cs="Arial"/>
        </w:rPr>
        <w:t>.</w:t>
      </w:r>
    </w:p>
    <w:p w:rsidR="004D5D2F" w:rsidRDefault="004D5D2F" w:rsidP="0043286B">
      <w:pPr>
        <w:spacing w:after="0" w:line="240" w:lineRule="auto"/>
        <w:rPr>
          <w:rFonts w:ascii="Adobe Caslon Pro" w:hAnsi="Adobe Caslon Pro" w:cs="Arial"/>
        </w:rPr>
      </w:pPr>
      <w:r w:rsidRPr="00AD0FD2">
        <w:rPr>
          <w:rFonts w:ascii="Adobe Caslon Pro" w:hAnsi="Adobe Caslon Pro" w:cs="Arial"/>
          <w:b/>
        </w:rPr>
        <w:t>SIGEPPCS.-</w:t>
      </w:r>
      <w:r w:rsidRPr="00AD0FD2">
        <w:rPr>
          <w:rFonts w:ascii="Adobe Caslon Pro" w:hAnsi="Adobe Caslon Pro" w:cs="Arial"/>
        </w:rPr>
        <w:t xml:space="preserve"> Sistema de Gestión de Proyectos del P</w:t>
      </w:r>
      <w:r w:rsidR="00940E10">
        <w:rPr>
          <w:rFonts w:ascii="Adobe Caslon Pro" w:hAnsi="Adobe Caslon Pro" w:cs="Arial"/>
        </w:rPr>
        <w:t xml:space="preserve">rograma de </w:t>
      </w:r>
      <w:r w:rsidRPr="00AD0FD2">
        <w:rPr>
          <w:rFonts w:ascii="Adobe Caslon Pro" w:hAnsi="Adobe Caslon Pro" w:cs="Arial"/>
        </w:rPr>
        <w:t>C</w:t>
      </w:r>
      <w:r w:rsidR="00940E10">
        <w:rPr>
          <w:rFonts w:ascii="Adobe Caslon Pro" w:hAnsi="Adobe Caslon Pro" w:cs="Arial"/>
        </w:rPr>
        <w:t xml:space="preserve">oinversión </w:t>
      </w:r>
      <w:r w:rsidRPr="00AD0FD2">
        <w:rPr>
          <w:rFonts w:ascii="Adobe Caslon Pro" w:hAnsi="Adobe Caslon Pro" w:cs="Arial"/>
        </w:rPr>
        <w:t>S</w:t>
      </w:r>
      <w:r w:rsidR="00940E10">
        <w:rPr>
          <w:rFonts w:ascii="Adobe Caslon Pro" w:hAnsi="Adobe Caslon Pro" w:cs="Arial"/>
        </w:rPr>
        <w:t>ocial</w:t>
      </w:r>
      <w:r w:rsidRPr="00AD0FD2">
        <w:rPr>
          <w:rFonts w:ascii="Adobe Caslon Pro" w:hAnsi="Adobe Caslon Pro" w:cs="Arial"/>
        </w:rPr>
        <w:t>.</w:t>
      </w:r>
    </w:p>
    <w:p w:rsidR="004E5CC0" w:rsidRDefault="004E5CC0" w:rsidP="0043286B">
      <w:pPr>
        <w:spacing w:after="0" w:line="240" w:lineRule="auto"/>
        <w:rPr>
          <w:rFonts w:ascii="Adobe Caslon Pro" w:hAnsi="Adobe Caslon Pro" w:cs="Arial"/>
        </w:rPr>
      </w:pPr>
      <w:r w:rsidRPr="004E5CC0">
        <w:rPr>
          <w:rFonts w:ascii="Adobe Caslon Pro" w:hAnsi="Adobe Caslon Pro" w:cs="Arial"/>
          <w:b/>
        </w:rPr>
        <w:t>SPPE.-</w:t>
      </w:r>
      <w:r>
        <w:rPr>
          <w:rFonts w:ascii="Adobe Caslon Pro" w:hAnsi="Adobe Caslon Pro" w:cs="Arial"/>
        </w:rPr>
        <w:t xml:space="preserve"> Subsecretaría de Prospectiva, Planeación y Evaluación.</w:t>
      </w:r>
    </w:p>
    <w:p w:rsidR="003C797B" w:rsidRDefault="003C797B" w:rsidP="0043286B">
      <w:pPr>
        <w:spacing w:after="0" w:line="240" w:lineRule="auto"/>
        <w:rPr>
          <w:rFonts w:ascii="Adobe Caslon Pro" w:hAnsi="Adobe Caslon Pro" w:cs="Arial"/>
        </w:rPr>
      </w:pPr>
      <w:r w:rsidRPr="003C797B">
        <w:rPr>
          <w:rFonts w:ascii="Adobe Caslon Pro" w:hAnsi="Adobe Caslon Pro" w:cs="Arial"/>
          <w:b/>
        </w:rPr>
        <w:t>SRE</w:t>
      </w:r>
      <w:r>
        <w:rPr>
          <w:rFonts w:ascii="Adobe Caslon Pro" w:hAnsi="Adobe Caslon Pro" w:cs="Arial"/>
        </w:rPr>
        <w:t>.- Secretaría de Relaciones Exteriores</w:t>
      </w:r>
      <w:r w:rsidR="0043286B">
        <w:rPr>
          <w:rFonts w:ascii="Adobe Caslon Pro" w:hAnsi="Adobe Caslon Pro" w:cs="Arial"/>
        </w:rPr>
        <w:t>.</w:t>
      </w:r>
    </w:p>
    <w:p w:rsidR="003C797B" w:rsidRPr="004E5CC0" w:rsidRDefault="004E5CC0" w:rsidP="0043286B">
      <w:pPr>
        <w:spacing w:after="120" w:line="240" w:lineRule="auto"/>
        <w:rPr>
          <w:rFonts w:ascii="Adobe Caslon Pro" w:hAnsi="Adobe Caslon Pro"/>
        </w:rPr>
      </w:pPr>
      <w:r>
        <w:rPr>
          <w:rFonts w:ascii="Adobe Caslon Pro" w:hAnsi="Adobe Caslon Pro"/>
          <w:b/>
        </w:rPr>
        <w:t xml:space="preserve">TDR.- </w:t>
      </w:r>
      <w:r>
        <w:rPr>
          <w:rFonts w:ascii="Adobe Caslon Pro" w:hAnsi="Adobe Caslon Pro"/>
        </w:rPr>
        <w:t xml:space="preserve">Términos de Referencia. </w:t>
      </w:r>
    </w:p>
    <w:p w:rsidR="004D5D2F" w:rsidRDefault="004D5D2F" w:rsidP="0043286B">
      <w:pPr>
        <w:spacing w:after="120" w:line="240" w:lineRule="auto"/>
        <w:rPr>
          <w:rFonts w:ascii="Adobe Caslon Pro" w:eastAsia="Times New Roman" w:hAnsi="Adobe Caslon Pro" w:cs="Arial"/>
          <w:b/>
          <w:bCs/>
        </w:rPr>
      </w:pPr>
      <w:r>
        <w:rPr>
          <w:rFonts w:ascii="Adobe Caslon Pro" w:hAnsi="Adobe Caslon Pro" w:cs="Arial"/>
        </w:rPr>
        <w:br w:type="page"/>
      </w:r>
    </w:p>
    <w:p w:rsidR="004D5D2F" w:rsidRPr="00AD0FD2" w:rsidRDefault="004D5D2F" w:rsidP="0043286B">
      <w:pPr>
        <w:pStyle w:val="Ttulo2"/>
        <w:spacing w:before="0" w:after="120" w:line="240" w:lineRule="auto"/>
      </w:pPr>
      <w:bookmarkStart w:id="3" w:name="_Toc391925210"/>
      <w:r>
        <w:lastRenderedPageBreak/>
        <w:t>Glosario</w:t>
      </w:r>
      <w:bookmarkEnd w:id="3"/>
    </w:p>
    <w:p w:rsidR="004D5D2F" w:rsidRDefault="004D5D2F" w:rsidP="0043286B">
      <w:pPr>
        <w:spacing w:before="240" w:after="120" w:line="240" w:lineRule="auto"/>
        <w:jc w:val="both"/>
        <w:rPr>
          <w:rFonts w:ascii="Adobe Caslon Pro" w:eastAsiaTheme="minorEastAsia" w:hAnsi="Adobe Caslon Pro" w:cs="Arial"/>
          <w:color w:val="000000" w:themeColor="text1"/>
          <w:lang w:eastAsia="es-MX"/>
        </w:rPr>
      </w:pPr>
      <w:r w:rsidRPr="00AD0FD2">
        <w:rPr>
          <w:rFonts w:ascii="Adobe Caslon Pro" w:eastAsiaTheme="minorEastAsia" w:hAnsi="Adobe Caslon Pro" w:cs="Arial"/>
          <w:b/>
          <w:color w:val="000000" w:themeColor="text1"/>
          <w:lang w:eastAsia="es-MX"/>
        </w:rPr>
        <w:t xml:space="preserve">Árbol del problema.- </w:t>
      </w:r>
      <w:r w:rsidRPr="00AD0FD2">
        <w:rPr>
          <w:rFonts w:ascii="Adobe Caslon Pro" w:eastAsiaTheme="minorEastAsia" w:hAnsi="Adobe Caslon Pro" w:cs="Arial"/>
          <w:color w:val="000000" w:themeColor="text1"/>
          <w:lang w:eastAsia="es-MX"/>
        </w:rPr>
        <w:t>Herramienta metodológica que permite identificar el problema principal que un programa público busca resolver, examinar los efectos que provoca el problema e identificar las causas que lo generan.</w:t>
      </w:r>
    </w:p>
    <w:p w:rsidR="00402BA8" w:rsidRDefault="00402BA8" w:rsidP="0043286B">
      <w:pPr>
        <w:spacing w:after="120" w:line="240" w:lineRule="auto"/>
        <w:jc w:val="both"/>
        <w:rPr>
          <w:rFonts w:ascii="Adobe Caslon Pro" w:eastAsiaTheme="minorEastAsia" w:hAnsi="Adobe Caslon Pro" w:cs="Arial"/>
          <w:color w:val="000000" w:themeColor="text1"/>
          <w:lang w:eastAsia="es-MX"/>
        </w:rPr>
      </w:pPr>
      <w:r w:rsidRPr="00402BA8">
        <w:rPr>
          <w:rFonts w:ascii="Adobe Caslon Pro" w:eastAsiaTheme="minorEastAsia" w:hAnsi="Adobe Caslon Pro" w:cs="Arial"/>
          <w:b/>
          <w:color w:val="000000" w:themeColor="text1"/>
          <w:lang w:eastAsia="es-MX"/>
        </w:rPr>
        <w:t>Actores sociales-</w:t>
      </w:r>
      <w:r>
        <w:rPr>
          <w:rFonts w:ascii="Adobe Caslon Pro" w:eastAsiaTheme="minorEastAsia" w:hAnsi="Adobe Caslon Pro" w:cs="Arial"/>
          <w:color w:val="000000" w:themeColor="text1"/>
          <w:lang w:eastAsia="es-MX"/>
        </w:rPr>
        <w:t xml:space="preserve"> Organizaciones de la Sociedad Civil, Centros de Investigación e Instituciones de Educación Superior.  </w:t>
      </w:r>
    </w:p>
    <w:p w:rsidR="004D5D2F" w:rsidRDefault="004D5D2F" w:rsidP="0043286B">
      <w:pPr>
        <w:spacing w:after="120" w:line="240" w:lineRule="auto"/>
        <w:jc w:val="both"/>
        <w:rPr>
          <w:rFonts w:ascii="Adobe Caslon Pro" w:eastAsiaTheme="minorEastAsia" w:hAnsi="Adobe Caslon Pro" w:cs="Arial"/>
          <w:color w:val="000000" w:themeColor="text1"/>
          <w:lang w:eastAsia="es-MX"/>
        </w:rPr>
      </w:pPr>
      <w:r w:rsidRPr="00AD0FD2">
        <w:rPr>
          <w:rFonts w:ascii="Adobe Caslon Pro" w:eastAsiaTheme="minorEastAsia" w:hAnsi="Adobe Caslon Pro" w:cs="Arial"/>
          <w:b/>
          <w:color w:val="000000" w:themeColor="text1"/>
          <w:lang w:eastAsia="es-MX"/>
        </w:rPr>
        <w:t>Canasta alimentaria básica</w:t>
      </w:r>
      <w:r w:rsidRPr="00AD0FD2">
        <w:rPr>
          <w:rFonts w:ascii="Adobe Caslon Pro" w:eastAsiaTheme="minorEastAsia" w:hAnsi="Adobe Caslon Pro" w:cs="Arial"/>
          <w:color w:val="000000" w:themeColor="text1"/>
          <w:lang w:eastAsia="es-MX"/>
        </w:rPr>
        <w:t>.- Conjunto de alimentos cuyo valor sirve para construir la LBM. Éstos se determinan de acuerdo con el patrón de consumo de un grupo de personas representativo que satisfacen con ellos sus requerimientos de energía y nutrientes.</w:t>
      </w:r>
    </w:p>
    <w:p w:rsidR="004D5D2F" w:rsidRDefault="004D5D2F" w:rsidP="0043286B">
      <w:pPr>
        <w:spacing w:after="120" w:line="240" w:lineRule="auto"/>
        <w:jc w:val="both"/>
        <w:rPr>
          <w:rFonts w:ascii="Adobe Caslon Pro" w:eastAsiaTheme="minorEastAsia" w:hAnsi="Adobe Caslon Pro" w:cs="Arial"/>
          <w:color w:val="000000" w:themeColor="text1"/>
          <w:lang w:eastAsia="es-MX"/>
        </w:rPr>
      </w:pPr>
      <w:r w:rsidRPr="00AD0FD2">
        <w:rPr>
          <w:rFonts w:ascii="Adobe Caslon Pro" w:eastAsiaTheme="minorEastAsia" w:hAnsi="Adobe Caslon Pro" w:cs="Arial"/>
          <w:b/>
          <w:color w:val="000000" w:themeColor="text1"/>
          <w:lang w:eastAsia="es-MX"/>
        </w:rPr>
        <w:t>Carencia social</w:t>
      </w:r>
      <w:r w:rsidRPr="00AD0FD2">
        <w:rPr>
          <w:rFonts w:ascii="Adobe Caslon Pro" w:eastAsiaTheme="minorEastAsia" w:hAnsi="Adobe Caslon Pro" w:cs="Arial"/>
          <w:color w:val="000000" w:themeColor="text1"/>
          <w:lang w:eastAsia="es-MX"/>
        </w:rPr>
        <w:t>.- Cada uno de los indicadores asociados al espacio de derechos sociales en la medición multidimensional de la pobreza.</w:t>
      </w:r>
      <w:r w:rsidR="00131A29">
        <w:rPr>
          <w:rFonts w:ascii="Adobe Caslon Pro" w:eastAsiaTheme="minorEastAsia" w:hAnsi="Adobe Caslon Pro" w:cs="Arial"/>
          <w:color w:val="000000" w:themeColor="text1"/>
          <w:lang w:eastAsia="es-MX"/>
        </w:rPr>
        <w:t xml:space="preserve"> </w:t>
      </w:r>
      <w:r w:rsidRPr="00AD0FD2">
        <w:rPr>
          <w:rFonts w:ascii="Adobe Caslon Pro" w:eastAsiaTheme="minorEastAsia" w:hAnsi="Adobe Caslon Pro" w:cs="Arial"/>
          <w:color w:val="000000" w:themeColor="text1"/>
          <w:lang w:eastAsia="es-MX"/>
        </w:rPr>
        <w:t>Estos indicadores identifican a la población que no cuenta con los elementos mínimos esenciales del indicador correspondiente.</w:t>
      </w:r>
    </w:p>
    <w:p w:rsidR="004D5D2F" w:rsidRDefault="004D5D2F" w:rsidP="0043286B">
      <w:pPr>
        <w:spacing w:after="120" w:line="240" w:lineRule="auto"/>
        <w:jc w:val="both"/>
        <w:rPr>
          <w:rFonts w:ascii="Adobe Caslon Pro" w:eastAsiaTheme="minorEastAsia" w:hAnsi="Adobe Caslon Pro"/>
          <w:lang w:eastAsia="es-MX"/>
        </w:rPr>
      </w:pPr>
      <w:r w:rsidRPr="00AD0FD2">
        <w:rPr>
          <w:rFonts w:ascii="Adobe Caslon Pro" w:eastAsiaTheme="minorEastAsia" w:hAnsi="Adobe Caslon Pro"/>
          <w:b/>
          <w:lang w:eastAsia="es-MX"/>
        </w:rPr>
        <w:t>Carencia por acceso a la alimentación</w:t>
      </w:r>
      <w:r w:rsidRPr="00AD0FD2">
        <w:rPr>
          <w:rFonts w:ascii="Adobe Caslon Pro" w:eastAsiaTheme="minorEastAsia" w:hAnsi="Adobe Caslon Pro"/>
          <w:lang w:eastAsia="es-MX"/>
        </w:rPr>
        <w:t>.- Se define a partir de la identificación de cuatro grados de inseguridad alimentaria en la población: inseguridad alimentaria severa, inseguridad alimentaria moderada, inseguridad alimentaria leve y seguridad alimentaria. La metodología de medición de la pobreza identifica a un individuo con carencia de acceso a la alimentación si presenta inseguridad alimentaria severa o moderada.</w:t>
      </w:r>
    </w:p>
    <w:p w:rsidR="004D5D2F" w:rsidRPr="00AD0FD2" w:rsidRDefault="004D5D2F" w:rsidP="0043286B">
      <w:pPr>
        <w:spacing w:after="120" w:line="240" w:lineRule="auto"/>
        <w:jc w:val="both"/>
        <w:rPr>
          <w:rFonts w:ascii="Adobe Caslon Pro" w:eastAsiaTheme="minorEastAsia" w:hAnsi="Adobe Caslon Pro"/>
          <w:lang w:eastAsia="es-MX"/>
        </w:rPr>
      </w:pPr>
      <w:r w:rsidRPr="00AD0FD2">
        <w:rPr>
          <w:rFonts w:ascii="Adobe Caslon Pro" w:eastAsiaTheme="minorEastAsia" w:hAnsi="Adobe Caslon Pro"/>
          <w:b/>
          <w:lang w:eastAsia="es-MX"/>
        </w:rPr>
        <w:t>Carencia por acceso a la seguridad social</w:t>
      </w:r>
      <w:r w:rsidRPr="00AD0FD2">
        <w:rPr>
          <w:rFonts w:ascii="Adobe Caslon Pro" w:eastAsiaTheme="minorEastAsia" w:hAnsi="Adobe Caslon Pro"/>
          <w:lang w:eastAsia="es-MX"/>
        </w:rPr>
        <w:t xml:space="preserve">.- La población con carencia por acceso a la seguridad social se identifica de acuerdo con los siguientes criterios: </w:t>
      </w:r>
    </w:p>
    <w:p w:rsidR="004D5D2F" w:rsidRPr="00AD0FD2" w:rsidRDefault="004D5D2F" w:rsidP="0048606E">
      <w:pPr>
        <w:pStyle w:val="Prrafodelista"/>
        <w:numPr>
          <w:ilvl w:val="0"/>
          <w:numId w:val="39"/>
        </w:numPr>
        <w:spacing w:after="0" w:line="240" w:lineRule="auto"/>
        <w:ind w:left="714" w:hanging="357"/>
        <w:contextualSpacing w:val="0"/>
        <w:jc w:val="both"/>
        <w:rPr>
          <w:rFonts w:ascii="Adobe Caslon Pro" w:eastAsiaTheme="minorEastAsia" w:hAnsi="Adobe Caslon Pro"/>
          <w:lang w:eastAsia="es-MX"/>
        </w:rPr>
      </w:pPr>
      <w:r w:rsidRPr="00AD0FD2">
        <w:rPr>
          <w:rFonts w:ascii="Adobe Caslon Pro" w:eastAsiaTheme="minorEastAsia" w:hAnsi="Adobe Caslon Pro"/>
          <w:lang w:eastAsia="es-MX"/>
        </w:rPr>
        <w:t xml:space="preserve">En cuanto a la PEA, asalariada, se considera que no tiene carencia si disfruta, por parte de su trabajo, de las prestaciones establecidas en el artículo Segundo de la Ley del Seguro Social. </w:t>
      </w:r>
    </w:p>
    <w:p w:rsidR="004D5D2F" w:rsidRPr="00AD0FD2" w:rsidRDefault="004D5D2F" w:rsidP="0048606E">
      <w:pPr>
        <w:pStyle w:val="Prrafodelista"/>
        <w:numPr>
          <w:ilvl w:val="0"/>
          <w:numId w:val="39"/>
        </w:numPr>
        <w:spacing w:after="0" w:line="240" w:lineRule="auto"/>
        <w:ind w:left="714" w:hanging="357"/>
        <w:contextualSpacing w:val="0"/>
        <w:jc w:val="both"/>
        <w:rPr>
          <w:rFonts w:ascii="Adobe Caslon Pro" w:eastAsiaTheme="minorEastAsia" w:hAnsi="Adobe Caslon Pro"/>
          <w:lang w:eastAsia="es-MX"/>
        </w:rPr>
      </w:pPr>
      <w:r w:rsidRPr="00AD0FD2">
        <w:rPr>
          <w:rFonts w:ascii="Adobe Caslon Pro" w:eastAsiaTheme="minorEastAsia" w:hAnsi="Adobe Caslon Pro"/>
          <w:lang w:eastAsia="es-MX"/>
        </w:rPr>
        <w:t xml:space="preserve">En el caso de la población trabajadora no asalariada o independiente se considera que tiene acceso a la seguridad social cuando dispone de servicios médicos como prestación laboral o por contratación voluntaria al régimen obligatorio del IMSS y, además, cuenta con SAR o Afore. </w:t>
      </w:r>
    </w:p>
    <w:p w:rsidR="004D5D2F" w:rsidRPr="00AD0FD2" w:rsidRDefault="004D5D2F" w:rsidP="0048606E">
      <w:pPr>
        <w:pStyle w:val="Prrafodelista"/>
        <w:numPr>
          <w:ilvl w:val="0"/>
          <w:numId w:val="39"/>
        </w:numPr>
        <w:spacing w:after="0" w:line="240" w:lineRule="auto"/>
        <w:ind w:left="714" w:hanging="357"/>
        <w:contextualSpacing w:val="0"/>
        <w:jc w:val="both"/>
        <w:rPr>
          <w:rFonts w:ascii="Adobe Caslon Pro" w:eastAsiaTheme="minorEastAsia" w:hAnsi="Adobe Caslon Pro"/>
          <w:lang w:eastAsia="es-MX"/>
        </w:rPr>
      </w:pPr>
      <w:r w:rsidRPr="00AD0FD2">
        <w:rPr>
          <w:rFonts w:ascii="Adobe Caslon Pro" w:eastAsiaTheme="minorEastAsia" w:hAnsi="Adobe Caslon Pro"/>
          <w:lang w:eastAsia="es-MX"/>
        </w:rPr>
        <w:t>Para la población en general, se considera que tiene acceso cuando goce de alguna jubilación o pensión, o sea familiar de una persona dentro o fuera del hogar con acceso a la seguridad social.</w:t>
      </w:r>
    </w:p>
    <w:p w:rsidR="004D5D2F" w:rsidRDefault="004D5D2F" w:rsidP="0048606E">
      <w:pPr>
        <w:pStyle w:val="Prrafodelista"/>
        <w:numPr>
          <w:ilvl w:val="0"/>
          <w:numId w:val="39"/>
        </w:numPr>
        <w:spacing w:after="0" w:line="240" w:lineRule="auto"/>
        <w:ind w:left="714" w:hanging="357"/>
        <w:contextualSpacing w:val="0"/>
        <w:jc w:val="both"/>
        <w:rPr>
          <w:rFonts w:ascii="Adobe Caslon Pro" w:eastAsiaTheme="minorEastAsia" w:hAnsi="Adobe Caslon Pro"/>
          <w:lang w:eastAsia="es-MX"/>
        </w:rPr>
      </w:pPr>
      <w:r w:rsidRPr="00AD0FD2">
        <w:rPr>
          <w:rFonts w:ascii="Adobe Caslon Pro" w:eastAsiaTheme="minorEastAsia" w:hAnsi="Adobe Caslon Pro"/>
          <w:lang w:eastAsia="es-MX"/>
        </w:rPr>
        <w:t xml:space="preserve">En el caso de la población en edad de jubilación (sesenta y cinco años o más), se considera que tiene acceso a la seguridad social si es beneficiario de algún programa social de pensiones para adultos mayores. </w:t>
      </w:r>
    </w:p>
    <w:p w:rsidR="0056695B" w:rsidRPr="00AD0FD2" w:rsidRDefault="0056695B" w:rsidP="0043286B">
      <w:pPr>
        <w:pStyle w:val="Prrafodelista"/>
        <w:spacing w:after="120" w:line="240" w:lineRule="auto"/>
        <w:ind w:left="714"/>
        <w:contextualSpacing w:val="0"/>
        <w:jc w:val="both"/>
        <w:rPr>
          <w:rFonts w:ascii="Adobe Caslon Pro" w:eastAsiaTheme="minorEastAsia" w:hAnsi="Adobe Caslon Pro"/>
          <w:lang w:eastAsia="es-MX"/>
        </w:rPr>
      </w:pPr>
    </w:p>
    <w:p w:rsidR="004D5D2F" w:rsidRPr="00AD0FD2" w:rsidRDefault="004D5D2F" w:rsidP="0043286B">
      <w:pPr>
        <w:spacing w:after="120" w:line="240" w:lineRule="auto"/>
        <w:jc w:val="both"/>
        <w:rPr>
          <w:rFonts w:ascii="Adobe Caslon Pro" w:eastAsiaTheme="minorEastAsia" w:hAnsi="Adobe Caslon Pro"/>
          <w:lang w:eastAsia="es-MX"/>
        </w:rPr>
      </w:pPr>
      <w:r w:rsidRPr="00AD0FD2">
        <w:rPr>
          <w:rFonts w:ascii="Adobe Caslon Pro" w:eastAsiaTheme="minorEastAsia" w:hAnsi="Adobe Caslon Pro"/>
          <w:b/>
          <w:lang w:eastAsia="es-MX"/>
        </w:rPr>
        <w:lastRenderedPageBreak/>
        <w:t>Carencia por acceso a los servicios básicos de la vivienda</w:t>
      </w:r>
      <w:r w:rsidRPr="00AD0FD2">
        <w:rPr>
          <w:rFonts w:ascii="Adobe Caslon Pro" w:eastAsiaTheme="minorEastAsia" w:hAnsi="Adobe Caslon Pro"/>
          <w:lang w:eastAsia="es-MX"/>
        </w:rPr>
        <w:t xml:space="preserve">.- La población con carencia por servicios básicos en la vivienda es aquella que reside en viviendas que presentan, al menos, una de las siguientes características: </w:t>
      </w:r>
    </w:p>
    <w:p w:rsidR="004D5D2F" w:rsidRPr="00AD0FD2" w:rsidRDefault="004D5D2F" w:rsidP="0048606E">
      <w:pPr>
        <w:pStyle w:val="Prrafodelista"/>
        <w:numPr>
          <w:ilvl w:val="0"/>
          <w:numId w:val="37"/>
        </w:numPr>
        <w:spacing w:after="0" w:line="240" w:lineRule="auto"/>
        <w:ind w:left="714" w:hanging="357"/>
        <w:contextualSpacing w:val="0"/>
        <w:jc w:val="both"/>
        <w:rPr>
          <w:rFonts w:ascii="Adobe Caslon Pro" w:eastAsiaTheme="minorEastAsia" w:hAnsi="Adobe Caslon Pro"/>
          <w:lang w:eastAsia="es-MX"/>
        </w:rPr>
      </w:pPr>
      <w:r w:rsidRPr="00AD0FD2">
        <w:rPr>
          <w:rFonts w:ascii="Adobe Caslon Pro" w:eastAsiaTheme="minorEastAsia" w:hAnsi="Adobe Caslon Pro"/>
          <w:lang w:eastAsia="es-MX"/>
        </w:rPr>
        <w:t xml:space="preserve">El agua se obtiene de un pozo, río, lago, arroyo, pipa; o bien, el agua entubada la obtienen por acarreo de otra vivienda, o de la llave pública o hidrante. </w:t>
      </w:r>
    </w:p>
    <w:p w:rsidR="004D5D2F" w:rsidRPr="00AD0FD2" w:rsidRDefault="004D5D2F" w:rsidP="0048606E">
      <w:pPr>
        <w:pStyle w:val="Prrafodelista"/>
        <w:numPr>
          <w:ilvl w:val="0"/>
          <w:numId w:val="37"/>
        </w:numPr>
        <w:spacing w:after="0" w:line="240" w:lineRule="auto"/>
        <w:ind w:left="714" w:hanging="357"/>
        <w:contextualSpacing w:val="0"/>
        <w:jc w:val="both"/>
        <w:rPr>
          <w:rFonts w:ascii="Adobe Caslon Pro" w:eastAsiaTheme="minorEastAsia" w:hAnsi="Adobe Caslon Pro"/>
          <w:lang w:eastAsia="es-MX"/>
        </w:rPr>
      </w:pPr>
      <w:r w:rsidRPr="00AD0FD2">
        <w:rPr>
          <w:rFonts w:ascii="Adobe Caslon Pro" w:eastAsiaTheme="minorEastAsia" w:hAnsi="Adobe Caslon Pro"/>
          <w:lang w:eastAsia="es-MX"/>
        </w:rPr>
        <w:t xml:space="preserve">No cuentan con servicio de drenaje, o el desagüe tiene conexión a una tubería que va a dar a un río, lago, mar, barranca o grieta. </w:t>
      </w:r>
    </w:p>
    <w:p w:rsidR="004D5D2F" w:rsidRPr="00AD0FD2" w:rsidRDefault="004D5D2F" w:rsidP="0048606E">
      <w:pPr>
        <w:pStyle w:val="Prrafodelista"/>
        <w:numPr>
          <w:ilvl w:val="0"/>
          <w:numId w:val="37"/>
        </w:numPr>
        <w:spacing w:after="0" w:line="240" w:lineRule="auto"/>
        <w:ind w:left="714" w:hanging="357"/>
        <w:contextualSpacing w:val="0"/>
        <w:jc w:val="both"/>
        <w:rPr>
          <w:rFonts w:ascii="Adobe Caslon Pro" w:eastAsiaTheme="minorEastAsia" w:hAnsi="Adobe Caslon Pro"/>
          <w:lang w:eastAsia="es-MX"/>
        </w:rPr>
      </w:pPr>
      <w:r w:rsidRPr="00AD0FD2">
        <w:rPr>
          <w:rFonts w:ascii="Adobe Caslon Pro" w:eastAsiaTheme="minorEastAsia" w:hAnsi="Adobe Caslon Pro"/>
          <w:lang w:eastAsia="es-MX"/>
        </w:rPr>
        <w:t xml:space="preserve">No disponen de energía eléctrica. </w:t>
      </w:r>
    </w:p>
    <w:p w:rsidR="004D5D2F" w:rsidRDefault="004D5D2F" w:rsidP="0048606E">
      <w:pPr>
        <w:pStyle w:val="Prrafodelista"/>
        <w:numPr>
          <w:ilvl w:val="0"/>
          <w:numId w:val="37"/>
        </w:numPr>
        <w:spacing w:after="0" w:line="240" w:lineRule="auto"/>
        <w:ind w:left="714" w:hanging="357"/>
        <w:contextualSpacing w:val="0"/>
        <w:jc w:val="both"/>
        <w:rPr>
          <w:rFonts w:ascii="Adobe Caslon Pro" w:eastAsiaTheme="minorEastAsia" w:hAnsi="Adobe Caslon Pro"/>
          <w:lang w:eastAsia="es-MX"/>
        </w:rPr>
      </w:pPr>
      <w:r w:rsidRPr="00AD0FD2">
        <w:rPr>
          <w:rFonts w:ascii="Adobe Caslon Pro" w:eastAsiaTheme="minorEastAsia" w:hAnsi="Adobe Caslon Pro"/>
          <w:lang w:eastAsia="es-MX"/>
        </w:rPr>
        <w:t xml:space="preserve">El combustible que se usa para cocinar o calentar los alimentos es leña o carbón sin chimenea. </w:t>
      </w:r>
    </w:p>
    <w:p w:rsidR="004D5D2F" w:rsidRDefault="004D5D2F" w:rsidP="0043286B">
      <w:pPr>
        <w:spacing w:after="120" w:line="240" w:lineRule="auto"/>
        <w:jc w:val="both"/>
        <w:rPr>
          <w:rFonts w:ascii="Adobe Caslon Pro" w:eastAsiaTheme="minorEastAsia" w:hAnsi="Adobe Caslon Pro"/>
          <w:lang w:eastAsia="es-MX"/>
        </w:rPr>
      </w:pPr>
      <w:r w:rsidRPr="00AD0FD2">
        <w:rPr>
          <w:rFonts w:ascii="Adobe Caslon Pro" w:eastAsiaTheme="minorEastAsia" w:hAnsi="Adobe Caslon Pro"/>
          <w:b/>
          <w:lang w:eastAsia="es-MX"/>
        </w:rPr>
        <w:t>Carencia por acceso a los servicios de salud</w:t>
      </w:r>
      <w:r w:rsidRPr="00AD0FD2">
        <w:rPr>
          <w:rFonts w:ascii="Adobe Caslon Pro" w:eastAsiaTheme="minorEastAsia" w:hAnsi="Adobe Caslon Pro"/>
          <w:lang w:eastAsia="es-MX"/>
        </w:rPr>
        <w:t xml:space="preserve">.- Se considera que una persona se encuentra en situación de carencia por acceso a los servicios de salud cuando no cuenta con adscripción o derecho a recibir servicios médicos de alguna institución que los presta, incluyendo el Seguro Popular, las instituciones públicas de seguridad social (IMSS, ISSSTE federal o estatal, PEMEX, Ejército o Marina) o los servicios médicos privados. </w:t>
      </w:r>
    </w:p>
    <w:p w:rsidR="004D5D2F" w:rsidRPr="00AD0FD2" w:rsidRDefault="004D5D2F" w:rsidP="0043286B">
      <w:pPr>
        <w:spacing w:after="120" w:line="240" w:lineRule="auto"/>
        <w:jc w:val="both"/>
        <w:rPr>
          <w:rFonts w:ascii="Adobe Caslon Pro" w:eastAsiaTheme="minorEastAsia" w:hAnsi="Adobe Caslon Pro"/>
          <w:lang w:eastAsia="es-MX"/>
        </w:rPr>
      </w:pPr>
      <w:r w:rsidRPr="00AD0FD2">
        <w:rPr>
          <w:rFonts w:ascii="Adobe Caslon Pro" w:eastAsiaTheme="minorEastAsia" w:hAnsi="Adobe Caslon Pro"/>
          <w:b/>
          <w:lang w:eastAsia="es-MX"/>
        </w:rPr>
        <w:t>Carencia por calidad y espacios de la vivienda</w:t>
      </w:r>
      <w:r w:rsidRPr="00AD0FD2">
        <w:rPr>
          <w:rFonts w:ascii="Adobe Caslon Pro" w:eastAsiaTheme="minorEastAsia" w:hAnsi="Adobe Caslon Pro"/>
          <w:lang w:eastAsia="es-MX"/>
        </w:rPr>
        <w:t xml:space="preserve">.- Se considera como población en situación de carencia por calidad y espacios de la vivienda a las personas que residan en viviendas que presenten, al menos, una de las siguientes características: </w:t>
      </w:r>
    </w:p>
    <w:p w:rsidR="004D5D2F" w:rsidRPr="00AD0FD2" w:rsidRDefault="004D5D2F" w:rsidP="0048606E">
      <w:pPr>
        <w:pStyle w:val="Prrafodelista"/>
        <w:numPr>
          <w:ilvl w:val="0"/>
          <w:numId w:val="38"/>
        </w:numPr>
        <w:spacing w:after="0" w:line="240" w:lineRule="auto"/>
        <w:ind w:left="714" w:hanging="357"/>
        <w:contextualSpacing w:val="0"/>
        <w:jc w:val="both"/>
        <w:rPr>
          <w:rFonts w:ascii="Adobe Caslon Pro" w:eastAsiaTheme="minorEastAsia" w:hAnsi="Adobe Caslon Pro"/>
          <w:lang w:eastAsia="es-MX"/>
        </w:rPr>
      </w:pPr>
      <w:r w:rsidRPr="00AD0FD2">
        <w:rPr>
          <w:rFonts w:ascii="Adobe Caslon Pro" w:eastAsiaTheme="minorEastAsia" w:hAnsi="Adobe Caslon Pro"/>
          <w:lang w:eastAsia="es-MX"/>
        </w:rPr>
        <w:t xml:space="preserve">El material de los pisos de la vivienda es de tierra. </w:t>
      </w:r>
    </w:p>
    <w:p w:rsidR="004D5D2F" w:rsidRPr="00AD0FD2" w:rsidRDefault="004D5D2F" w:rsidP="0048606E">
      <w:pPr>
        <w:pStyle w:val="Prrafodelista"/>
        <w:numPr>
          <w:ilvl w:val="0"/>
          <w:numId w:val="38"/>
        </w:numPr>
        <w:spacing w:after="0" w:line="240" w:lineRule="auto"/>
        <w:ind w:left="714" w:hanging="357"/>
        <w:contextualSpacing w:val="0"/>
        <w:jc w:val="both"/>
        <w:rPr>
          <w:rFonts w:ascii="Adobe Caslon Pro" w:eastAsiaTheme="minorEastAsia" w:hAnsi="Adobe Caslon Pro"/>
          <w:lang w:eastAsia="es-MX"/>
        </w:rPr>
      </w:pPr>
      <w:r w:rsidRPr="00AD0FD2">
        <w:rPr>
          <w:rFonts w:ascii="Adobe Caslon Pro" w:eastAsiaTheme="minorEastAsia" w:hAnsi="Adobe Caslon Pro"/>
          <w:lang w:eastAsia="es-MX"/>
        </w:rPr>
        <w:t xml:space="preserve">El material del techo de la vivienda es de lámina de cartón o desechos. </w:t>
      </w:r>
    </w:p>
    <w:p w:rsidR="004D5D2F" w:rsidRPr="00AD0FD2" w:rsidRDefault="004D5D2F" w:rsidP="0048606E">
      <w:pPr>
        <w:pStyle w:val="Prrafodelista"/>
        <w:numPr>
          <w:ilvl w:val="0"/>
          <w:numId w:val="38"/>
        </w:numPr>
        <w:spacing w:after="0" w:line="240" w:lineRule="auto"/>
        <w:ind w:left="714" w:hanging="357"/>
        <w:contextualSpacing w:val="0"/>
        <w:jc w:val="both"/>
        <w:rPr>
          <w:rFonts w:ascii="Adobe Caslon Pro" w:eastAsiaTheme="minorEastAsia" w:hAnsi="Adobe Caslon Pro"/>
          <w:lang w:eastAsia="es-MX"/>
        </w:rPr>
      </w:pPr>
      <w:r w:rsidRPr="00AD0FD2">
        <w:rPr>
          <w:rFonts w:ascii="Adobe Caslon Pro" w:eastAsiaTheme="minorEastAsia" w:hAnsi="Adobe Caslon Pro"/>
          <w:lang w:eastAsia="es-MX"/>
        </w:rPr>
        <w:t xml:space="preserve">El material de los muros de la vivienda es de embarro o bajareque; de carrizo, bambú o palma; de lámina de cartón, metálica o asbesto; o material de desecho. </w:t>
      </w:r>
    </w:p>
    <w:p w:rsidR="004D5D2F" w:rsidRPr="00AD0FD2" w:rsidRDefault="004D5D2F" w:rsidP="0048606E">
      <w:pPr>
        <w:pStyle w:val="Prrafodelista"/>
        <w:numPr>
          <w:ilvl w:val="0"/>
          <w:numId w:val="38"/>
        </w:numPr>
        <w:spacing w:after="0" w:line="240" w:lineRule="auto"/>
        <w:ind w:left="714" w:hanging="357"/>
        <w:contextualSpacing w:val="0"/>
        <w:jc w:val="both"/>
        <w:rPr>
          <w:rFonts w:ascii="Adobe Caslon Pro" w:eastAsiaTheme="minorEastAsia" w:hAnsi="Adobe Caslon Pro"/>
          <w:lang w:eastAsia="es-MX"/>
        </w:rPr>
      </w:pPr>
      <w:r w:rsidRPr="00AD0FD2">
        <w:rPr>
          <w:rFonts w:ascii="Adobe Caslon Pro" w:eastAsiaTheme="minorEastAsia" w:hAnsi="Adobe Caslon Pro"/>
          <w:lang w:eastAsia="es-MX"/>
        </w:rPr>
        <w:t xml:space="preserve">La razón de personas por cuarto (hacinamiento) es mayor que 2.5. </w:t>
      </w:r>
    </w:p>
    <w:p w:rsidR="004D5D2F" w:rsidRPr="00AD0FD2" w:rsidRDefault="004D5D2F" w:rsidP="0043286B">
      <w:pPr>
        <w:spacing w:after="120" w:line="240" w:lineRule="auto"/>
        <w:jc w:val="both"/>
        <w:rPr>
          <w:rFonts w:ascii="Adobe Caslon Pro" w:eastAsiaTheme="minorEastAsia" w:hAnsi="Adobe Caslon Pro"/>
          <w:lang w:eastAsia="es-MX"/>
        </w:rPr>
      </w:pPr>
      <w:r w:rsidRPr="00AD0FD2">
        <w:rPr>
          <w:rFonts w:ascii="Adobe Caslon Pro" w:eastAsiaTheme="minorEastAsia" w:hAnsi="Adobe Caslon Pro"/>
          <w:b/>
          <w:lang w:eastAsia="es-MX"/>
        </w:rPr>
        <w:t>Carencia por rezago educativo</w:t>
      </w:r>
      <w:r w:rsidRPr="00AD0FD2">
        <w:rPr>
          <w:rFonts w:ascii="Adobe Caslon Pro" w:eastAsiaTheme="minorEastAsia" w:hAnsi="Adobe Caslon Pro"/>
          <w:lang w:eastAsia="es-MX"/>
        </w:rPr>
        <w:t>.- La población con carencia por rezago educativo es aquella que cumple alguno de los siguientes criterios:</w:t>
      </w:r>
    </w:p>
    <w:p w:rsidR="004D5D2F" w:rsidRPr="00AD0FD2" w:rsidRDefault="004D5D2F" w:rsidP="0048606E">
      <w:pPr>
        <w:pStyle w:val="Prrafodelista"/>
        <w:numPr>
          <w:ilvl w:val="0"/>
          <w:numId w:val="40"/>
        </w:numPr>
        <w:spacing w:after="0" w:line="240" w:lineRule="auto"/>
        <w:ind w:left="714" w:hanging="357"/>
        <w:contextualSpacing w:val="0"/>
        <w:jc w:val="both"/>
        <w:rPr>
          <w:rFonts w:ascii="Adobe Caslon Pro" w:eastAsiaTheme="minorEastAsia" w:hAnsi="Adobe Caslon Pro"/>
          <w:lang w:eastAsia="es-MX"/>
        </w:rPr>
      </w:pPr>
      <w:r w:rsidRPr="00AD0FD2">
        <w:rPr>
          <w:rFonts w:ascii="Adobe Caslon Pro" w:eastAsiaTheme="minorEastAsia" w:hAnsi="Adobe Caslon Pro"/>
          <w:lang w:eastAsia="es-MX"/>
        </w:rPr>
        <w:t>Tiene de tres a quince años, no cuenta con la educación básica obligatoria y no asiste a un centro de educación formal.</w:t>
      </w:r>
    </w:p>
    <w:p w:rsidR="004D5D2F" w:rsidRPr="00AD0FD2" w:rsidRDefault="004D5D2F" w:rsidP="0048606E">
      <w:pPr>
        <w:pStyle w:val="Prrafodelista"/>
        <w:numPr>
          <w:ilvl w:val="0"/>
          <w:numId w:val="40"/>
        </w:numPr>
        <w:spacing w:after="0" w:line="240" w:lineRule="auto"/>
        <w:ind w:left="714" w:hanging="357"/>
        <w:contextualSpacing w:val="0"/>
        <w:jc w:val="both"/>
        <w:rPr>
          <w:rFonts w:ascii="Adobe Caslon Pro" w:eastAsiaTheme="minorEastAsia" w:hAnsi="Adobe Caslon Pro"/>
          <w:lang w:eastAsia="es-MX"/>
        </w:rPr>
      </w:pPr>
      <w:r w:rsidRPr="00AD0FD2">
        <w:rPr>
          <w:rFonts w:ascii="Adobe Caslon Pro" w:eastAsiaTheme="minorEastAsia" w:hAnsi="Adobe Caslon Pro"/>
          <w:lang w:eastAsia="es-MX"/>
        </w:rPr>
        <w:t xml:space="preserve">Nació antes de 1982 y no cuenta con el nivel de educación obligatoria vigente en el momento en que debía haberla cursado (primaria completa). </w:t>
      </w:r>
    </w:p>
    <w:p w:rsidR="004D5D2F" w:rsidRPr="00AD0FD2" w:rsidRDefault="004D5D2F" w:rsidP="0048606E">
      <w:pPr>
        <w:pStyle w:val="Prrafodelista"/>
        <w:numPr>
          <w:ilvl w:val="0"/>
          <w:numId w:val="40"/>
        </w:numPr>
        <w:spacing w:after="0" w:line="240" w:lineRule="auto"/>
        <w:ind w:left="714" w:hanging="357"/>
        <w:contextualSpacing w:val="0"/>
        <w:jc w:val="both"/>
        <w:rPr>
          <w:rFonts w:ascii="Adobe Caslon Pro" w:eastAsiaTheme="minorEastAsia" w:hAnsi="Adobe Caslon Pro"/>
          <w:lang w:eastAsia="es-MX"/>
        </w:rPr>
      </w:pPr>
      <w:r w:rsidRPr="00AD0FD2">
        <w:rPr>
          <w:rFonts w:ascii="Adobe Caslon Pro" w:eastAsiaTheme="minorEastAsia" w:hAnsi="Adobe Caslon Pro"/>
          <w:lang w:eastAsia="es-MX"/>
        </w:rPr>
        <w:t>Nació a partir de 1982 y no cuenta con el nivel de educación obligatoria (secundaria completa).</w:t>
      </w:r>
    </w:p>
    <w:p w:rsidR="0048606E" w:rsidRDefault="004D5D2F" w:rsidP="0043286B">
      <w:pPr>
        <w:spacing w:after="120" w:line="240" w:lineRule="auto"/>
        <w:jc w:val="both"/>
        <w:rPr>
          <w:rFonts w:ascii="Adobe Caslon Pro" w:eastAsiaTheme="minorEastAsia" w:hAnsi="Adobe Caslon Pro" w:cs="Arial"/>
          <w:color w:val="000000" w:themeColor="text1"/>
          <w:lang w:eastAsia="es-MX"/>
        </w:rPr>
      </w:pPr>
      <w:r w:rsidRPr="00AD0FD2">
        <w:rPr>
          <w:rFonts w:ascii="Adobe Caslon Pro" w:eastAsiaTheme="minorEastAsia" w:hAnsi="Adobe Caslon Pro" w:cs="Arial"/>
          <w:b/>
          <w:color w:val="000000" w:themeColor="text1"/>
          <w:lang w:eastAsia="es-MX"/>
        </w:rPr>
        <w:t xml:space="preserve">Constitución.- </w:t>
      </w:r>
      <w:r w:rsidRPr="00AD0FD2">
        <w:rPr>
          <w:rFonts w:ascii="Adobe Caslon Pro" w:eastAsiaTheme="minorEastAsia" w:hAnsi="Adobe Caslon Pro" w:cs="Arial"/>
          <w:color w:val="000000" w:themeColor="text1"/>
          <w:lang w:eastAsia="es-MX"/>
        </w:rPr>
        <w:t>Constitución Política de los Estados Unidos Mexicanos.</w:t>
      </w:r>
    </w:p>
    <w:p w:rsidR="004D5D2F" w:rsidRPr="00AD0FD2" w:rsidRDefault="004D5D2F" w:rsidP="0043286B">
      <w:pPr>
        <w:spacing w:after="120" w:line="240" w:lineRule="auto"/>
        <w:jc w:val="both"/>
        <w:rPr>
          <w:rFonts w:ascii="Adobe Caslon Pro" w:eastAsiaTheme="minorEastAsia" w:hAnsi="Adobe Caslon Pro" w:cs="Arial"/>
          <w:color w:val="000000" w:themeColor="text1"/>
          <w:lang w:eastAsia="es-MX"/>
        </w:rPr>
      </w:pPr>
      <w:r w:rsidRPr="00AD0FD2">
        <w:rPr>
          <w:rFonts w:ascii="Adobe Caslon Pro" w:eastAsiaTheme="minorEastAsia" w:hAnsi="Adobe Caslon Pro" w:cs="Arial"/>
          <w:b/>
          <w:color w:val="000000" w:themeColor="text1"/>
          <w:lang w:eastAsia="es-MX"/>
        </w:rPr>
        <w:t>Diagnóstico</w:t>
      </w:r>
      <w:r w:rsidRPr="00AD0FD2">
        <w:rPr>
          <w:rFonts w:ascii="Adobe Caslon Pro" w:eastAsiaTheme="minorEastAsia" w:hAnsi="Adobe Caslon Pro" w:cs="Arial"/>
          <w:color w:val="000000" w:themeColor="text1"/>
          <w:lang w:eastAsia="es-MX"/>
        </w:rPr>
        <w:t>.- Documento de análisis que busca identificar el problema que un programa público busca resolver y detallar sus características relevantes. De los resultados del análisis se deriva la propuesta de atención.</w:t>
      </w:r>
    </w:p>
    <w:p w:rsidR="004D5D2F" w:rsidRPr="00AD0FD2" w:rsidRDefault="004D5D2F" w:rsidP="0043286B">
      <w:pPr>
        <w:spacing w:after="120" w:line="240" w:lineRule="auto"/>
        <w:jc w:val="both"/>
        <w:rPr>
          <w:rFonts w:ascii="Adobe Caslon Pro" w:eastAsiaTheme="minorEastAsia" w:hAnsi="Adobe Caslon Pro" w:cs="Arial"/>
          <w:color w:val="000000" w:themeColor="text1"/>
          <w:lang w:eastAsia="es-MX"/>
        </w:rPr>
      </w:pPr>
      <w:r w:rsidRPr="008D03D1">
        <w:rPr>
          <w:rFonts w:ascii="Adobe Caslon Pro" w:eastAsiaTheme="minorEastAsia" w:hAnsi="Adobe Caslon Pro" w:cs="Arial"/>
          <w:b/>
          <w:color w:val="000000" w:themeColor="text1"/>
          <w:lang w:eastAsia="es-MX"/>
        </w:rPr>
        <w:lastRenderedPageBreak/>
        <w:t>Línea de Bienestar</w:t>
      </w:r>
      <w:r w:rsidR="008D03D1">
        <w:rPr>
          <w:rFonts w:ascii="Adobe Caslon Pro" w:eastAsiaTheme="minorEastAsia" w:hAnsi="Adobe Caslon Pro" w:cs="Arial"/>
          <w:b/>
          <w:color w:val="000000" w:themeColor="text1"/>
          <w:lang w:eastAsia="es-MX"/>
        </w:rPr>
        <w:t xml:space="preserve"> o LB</w:t>
      </w:r>
      <w:r w:rsidR="008D03D1" w:rsidRPr="008D03D1">
        <w:rPr>
          <w:rFonts w:ascii="Adobe Caslon Pro" w:eastAsiaTheme="minorEastAsia" w:hAnsi="Adobe Caslon Pro" w:cs="Arial"/>
          <w:b/>
          <w:color w:val="000000" w:themeColor="text1"/>
          <w:lang w:eastAsia="es-MX"/>
        </w:rPr>
        <w:t>.-</w:t>
      </w:r>
      <w:r w:rsidR="008D03D1">
        <w:rPr>
          <w:rFonts w:ascii="Adobe Caslon Pro" w:eastAsiaTheme="minorEastAsia" w:hAnsi="Adobe Caslon Pro" w:cs="Arial"/>
          <w:color w:val="000000" w:themeColor="text1"/>
          <w:lang w:eastAsia="es-MX"/>
        </w:rPr>
        <w:t xml:space="preserve"> Es el</w:t>
      </w:r>
      <w:r w:rsidRPr="00AD0FD2">
        <w:rPr>
          <w:rFonts w:ascii="Adobe Caslon Pro" w:eastAsiaTheme="minorEastAsia" w:hAnsi="Adobe Caslon Pro" w:cs="Arial"/>
          <w:color w:val="000000" w:themeColor="text1"/>
          <w:lang w:eastAsia="es-MX"/>
        </w:rPr>
        <w:t xml:space="preserve"> valor monetario de una canasta de alimentos, bienes y servicios básicos.</w:t>
      </w:r>
    </w:p>
    <w:p w:rsidR="004D5D2F" w:rsidRPr="00AD0FD2" w:rsidRDefault="004D5D2F" w:rsidP="0043286B">
      <w:pPr>
        <w:spacing w:after="120" w:line="240" w:lineRule="auto"/>
        <w:jc w:val="both"/>
        <w:rPr>
          <w:rFonts w:ascii="Adobe Caslon Pro" w:eastAsiaTheme="minorEastAsia" w:hAnsi="Adobe Caslon Pro" w:cs="Arial"/>
          <w:color w:val="000000" w:themeColor="text1"/>
          <w:lang w:eastAsia="es-MX"/>
        </w:rPr>
      </w:pPr>
      <w:r w:rsidRPr="008D03D1">
        <w:rPr>
          <w:rFonts w:ascii="Adobe Caslon Pro" w:eastAsiaTheme="minorEastAsia" w:hAnsi="Adobe Caslon Pro" w:cs="Arial"/>
          <w:b/>
          <w:color w:val="000000" w:themeColor="text1"/>
          <w:lang w:eastAsia="es-MX"/>
        </w:rPr>
        <w:t>Línea de Bienestar Mínimo</w:t>
      </w:r>
      <w:r w:rsidR="008D03D1" w:rsidRPr="008D03D1">
        <w:rPr>
          <w:rFonts w:ascii="Adobe Caslon Pro" w:eastAsiaTheme="minorEastAsia" w:hAnsi="Adobe Caslon Pro" w:cs="Arial"/>
          <w:b/>
          <w:color w:val="000000" w:themeColor="text1"/>
          <w:lang w:eastAsia="es-MX"/>
        </w:rPr>
        <w:t xml:space="preserve"> o LBM.-</w:t>
      </w:r>
      <w:r w:rsidR="008D03D1">
        <w:rPr>
          <w:rFonts w:ascii="Adobe Caslon Pro" w:eastAsiaTheme="minorEastAsia" w:hAnsi="Adobe Caslon Pro" w:cs="Arial"/>
          <w:b/>
          <w:color w:val="000000" w:themeColor="text1"/>
          <w:lang w:eastAsia="es-MX"/>
        </w:rPr>
        <w:t xml:space="preserve"> </w:t>
      </w:r>
      <w:r w:rsidR="008D03D1">
        <w:rPr>
          <w:rFonts w:ascii="Adobe Caslon Pro" w:eastAsiaTheme="minorEastAsia" w:hAnsi="Adobe Caslon Pro" w:cs="Arial"/>
          <w:color w:val="000000" w:themeColor="text1"/>
          <w:lang w:eastAsia="es-MX"/>
        </w:rPr>
        <w:t>Es el v</w:t>
      </w:r>
      <w:r w:rsidRPr="00AD0FD2">
        <w:rPr>
          <w:rFonts w:ascii="Adobe Caslon Pro" w:eastAsiaTheme="minorEastAsia" w:hAnsi="Adobe Caslon Pro" w:cs="Arial"/>
          <w:color w:val="000000" w:themeColor="text1"/>
          <w:lang w:eastAsia="es-MX"/>
        </w:rPr>
        <w:t xml:space="preserve">alor monetario de una canasta alimentaria básica. </w:t>
      </w:r>
    </w:p>
    <w:p w:rsidR="004D5D2F" w:rsidRPr="00AD0FD2" w:rsidRDefault="008D03D1" w:rsidP="0043286B">
      <w:pPr>
        <w:spacing w:after="120" w:line="240" w:lineRule="auto"/>
        <w:jc w:val="both"/>
        <w:rPr>
          <w:rFonts w:ascii="Adobe Caslon Pro" w:eastAsiaTheme="minorEastAsia" w:hAnsi="Adobe Caslon Pro" w:cs="Arial"/>
          <w:color w:val="000000" w:themeColor="text1"/>
          <w:lang w:eastAsia="es-MX"/>
        </w:rPr>
      </w:pPr>
      <w:r>
        <w:rPr>
          <w:rFonts w:ascii="Adobe Caslon Pro" w:eastAsiaTheme="minorEastAsia" w:hAnsi="Adobe Caslon Pro" w:cs="Arial"/>
          <w:b/>
          <w:color w:val="000000" w:themeColor="text1"/>
          <w:lang w:eastAsia="es-MX"/>
        </w:rPr>
        <w:t>Metodología de marco l</w:t>
      </w:r>
      <w:r w:rsidR="004D5D2F" w:rsidRPr="00AD0FD2">
        <w:rPr>
          <w:rFonts w:ascii="Adobe Caslon Pro" w:eastAsiaTheme="minorEastAsia" w:hAnsi="Adobe Caslon Pro" w:cs="Arial"/>
          <w:b/>
          <w:color w:val="000000" w:themeColor="text1"/>
          <w:lang w:eastAsia="es-MX"/>
        </w:rPr>
        <w:t>ógico</w:t>
      </w:r>
      <w:r w:rsidR="004D5D2F" w:rsidRPr="00AD0FD2">
        <w:rPr>
          <w:rFonts w:ascii="Adobe Caslon Pro" w:eastAsiaTheme="minorEastAsia" w:hAnsi="Adobe Caslon Pro" w:cs="Arial"/>
          <w:color w:val="000000" w:themeColor="text1"/>
          <w:lang w:eastAsia="es-MX"/>
        </w:rPr>
        <w:t>.- Metodología mediante la cual se elabora una matriz que describe el fin, propósito, componentes y actividades de un programa público; así como los indicadores, metas, medios de verificación y supuestos correspondientes.</w:t>
      </w:r>
    </w:p>
    <w:p w:rsidR="004D5D2F" w:rsidRPr="00AD0FD2" w:rsidRDefault="004D5D2F" w:rsidP="0043286B">
      <w:pPr>
        <w:spacing w:after="120" w:line="240" w:lineRule="auto"/>
        <w:jc w:val="both"/>
        <w:rPr>
          <w:rFonts w:ascii="Adobe Caslon Pro" w:eastAsiaTheme="minorEastAsia" w:hAnsi="Adobe Caslon Pro"/>
          <w:lang w:eastAsia="es-MX"/>
        </w:rPr>
      </w:pPr>
      <w:r w:rsidRPr="00AD0FD2">
        <w:rPr>
          <w:rFonts w:ascii="Adobe Caslon Pro" w:eastAsiaTheme="minorEastAsia" w:hAnsi="Adobe Caslon Pro"/>
          <w:b/>
          <w:lang w:eastAsia="es-MX"/>
        </w:rPr>
        <w:t>No pobre y no vulnerable</w:t>
      </w:r>
      <w:r w:rsidRPr="00AD0FD2">
        <w:rPr>
          <w:rFonts w:ascii="Adobe Caslon Pro" w:eastAsiaTheme="minorEastAsia" w:hAnsi="Adobe Caslon Pro"/>
          <w:lang w:eastAsia="es-MX"/>
        </w:rPr>
        <w:t>.- Población cuyo ingreso es superior a la línea de bienestar y que no tiene carencia social alguna.</w:t>
      </w:r>
    </w:p>
    <w:p w:rsidR="004D5D2F" w:rsidRPr="00AD0FD2" w:rsidRDefault="004D5D2F" w:rsidP="0043286B">
      <w:pPr>
        <w:spacing w:after="120" w:line="240" w:lineRule="auto"/>
        <w:jc w:val="both"/>
        <w:rPr>
          <w:rFonts w:ascii="Adobe Caslon Pro" w:eastAsiaTheme="minorEastAsia" w:hAnsi="Adobe Caslon Pro" w:cs="Arial"/>
          <w:color w:val="000000" w:themeColor="text1"/>
          <w:lang w:eastAsia="es-MX"/>
        </w:rPr>
      </w:pPr>
      <w:r w:rsidRPr="00AD0FD2">
        <w:rPr>
          <w:rFonts w:ascii="Adobe Caslon Pro" w:eastAsiaTheme="minorEastAsia" w:hAnsi="Adobe Caslon Pro" w:cs="Arial"/>
          <w:b/>
          <w:color w:val="000000" w:themeColor="text1"/>
          <w:lang w:eastAsia="es-MX"/>
        </w:rPr>
        <w:t>Pobreza</w:t>
      </w:r>
      <w:r w:rsidRPr="00AD0FD2">
        <w:rPr>
          <w:rFonts w:ascii="Adobe Caslon Pro" w:eastAsiaTheme="minorEastAsia" w:hAnsi="Adobe Caslon Pro" w:cs="Arial"/>
          <w:color w:val="000000" w:themeColor="text1"/>
          <w:lang w:eastAsia="es-MX"/>
        </w:rPr>
        <w:t xml:space="preserve">.- Una persona se encuentra en situación de pobreza cuando tiene al menos una carencia social (sea ésta rezago educativo, acceso a servicios de salud, acceso a la seguridad social, calidad y espacios de la vivienda, servicios básicos en la vivienda o acceso a la alimentación) y su ingreso es inferior a la LB. </w:t>
      </w:r>
    </w:p>
    <w:p w:rsidR="004D5D2F" w:rsidRPr="00AD0FD2" w:rsidRDefault="004D5D2F" w:rsidP="0043286B">
      <w:pPr>
        <w:spacing w:after="120" w:line="240" w:lineRule="auto"/>
        <w:jc w:val="both"/>
        <w:rPr>
          <w:rFonts w:ascii="Adobe Caslon Pro" w:eastAsiaTheme="minorEastAsia" w:hAnsi="Adobe Caslon Pro" w:cs="Arial"/>
          <w:color w:val="000000" w:themeColor="text1"/>
          <w:lang w:eastAsia="es-MX"/>
        </w:rPr>
      </w:pPr>
      <w:r w:rsidRPr="00AD0FD2">
        <w:rPr>
          <w:rFonts w:ascii="Adobe Caslon Pro" w:eastAsiaTheme="minorEastAsia" w:hAnsi="Adobe Caslon Pro" w:cs="Arial"/>
          <w:b/>
          <w:color w:val="000000" w:themeColor="text1"/>
          <w:lang w:eastAsia="es-MX"/>
        </w:rPr>
        <w:t>Pobreza extrema</w:t>
      </w:r>
      <w:r w:rsidRPr="00AD0FD2">
        <w:rPr>
          <w:rFonts w:ascii="Adobe Caslon Pro" w:eastAsiaTheme="minorEastAsia" w:hAnsi="Adobe Caslon Pro" w:cs="Arial"/>
          <w:color w:val="000000" w:themeColor="text1"/>
          <w:lang w:eastAsia="es-MX"/>
        </w:rPr>
        <w:t xml:space="preserve">.- Una persona se encuentra en situación de pobreza extrema cuando tiene tres o más carencias, de seis posibles y que además se encuentra por debajo de la LBM. Las personas en esta situación disponen de un ingreso tan bajo que, aun si lo dedicasen por completo a la adquisición de alimentos, no podrían adquirir los nutrientes necesarios para tener una vida sana. </w:t>
      </w:r>
    </w:p>
    <w:p w:rsidR="004D5D2F" w:rsidRPr="00AD0FD2" w:rsidRDefault="004D5D2F" w:rsidP="0043286B">
      <w:pPr>
        <w:spacing w:after="120" w:line="240" w:lineRule="auto"/>
        <w:jc w:val="both"/>
        <w:rPr>
          <w:rFonts w:ascii="Adobe Caslon Pro" w:eastAsiaTheme="minorEastAsia" w:hAnsi="Adobe Caslon Pro" w:cs="Arial"/>
          <w:color w:val="000000" w:themeColor="text1"/>
          <w:lang w:eastAsia="es-MX"/>
        </w:rPr>
      </w:pPr>
      <w:r w:rsidRPr="00AD0FD2">
        <w:rPr>
          <w:rFonts w:ascii="Adobe Caslon Pro" w:eastAsiaTheme="minorEastAsia" w:hAnsi="Adobe Caslon Pro" w:cs="Arial"/>
          <w:b/>
          <w:color w:val="000000" w:themeColor="text1"/>
          <w:lang w:eastAsia="es-MX"/>
        </w:rPr>
        <w:t>Pobreza moderada.-</w:t>
      </w:r>
      <w:r w:rsidRPr="00AD0FD2">
        <w:rPr>
          <w:rFonts w:ascii="Adobe Caslon Pro" w:eastAsiaTheme="minorEastAsia" w:hAnsi="Adobe Caslon Pro" w:cs="Arial"/>
          <w:color w:val="000000" w:themeColor="text1"/>
          <w:lang w:eastAsia="es-MX"/>
        </w:rPr>
        <w:t xml:space="preserve"> Es aquella persona que siendo pobre, no es pobre extrema. La incidencia de pobreza moderada se obtiene al calcular la diferencia entre la incidencia de la población en pobreza menos la de la población en pobreza extrema.</w:t>
      </w:r>
    </w:p>
    <w:p w:rsidR="004D5D2F" w:rsidRPr="00AD0FD2" w:rsidRDefault="004D5D2F" w:rsidP="0043286B">
      <w:pPr>
        <w:spacing w:after="120" w:line="240" w:lineRule="auto"/>
        <w:jc w:val="both"/>
        <w:rPr>
          <w:rFonts w:ascii="Adobe Caslon Pro" w:eastAsiaTheme="minorEastAsia" w:hAnsi="Adobe Caslon Pro" w:cs="Arial"/>
          <w:color w:val="000000" w:themeColor="text1"/>
          <w:lang w:eastAsia="es-MX"/>
        </w:rPr>
      </w:pPr>
      <w:r w:rsidRPr="00AD0FD2">
        <w:rPr>
          <w:rFonts w:ascii="Adobe Caslon Pro" w:eastAsiaTheme="minorEastAsia" w:hAnsi="Adobe Caslon Pro" w:cs="Arial"/>
          <w:b/>
          <w:color w:val="000000" w:themeColor="text1"/>
          <w:lang w:eastAsia="es-MX"/>
        </w:rPr>
        <w:t>Propuesta de atención</w:t>
      </w:r>
      <w:r w:rsidRPr="00AD0FD2">
        <w:rPr>
          <w:rFonts w:ascii="Adobe Caslon Pro" w:eastAsiaTheme="minorEastAsia" w:hAnsi="Adobe Caslon Pro" w:cs="Arial"/>
          <w:color w:val="000000" w:themeColor="text1"/>
          <w:lang w:eastAsia="es-MX"/>
        </w:rPr>
        <w:t>.-Documento que, partiendo de los resultados de un diagnóstico, identifica y propone una alternativa viable para la atención de problemas públicos, a través de programas públicos.</w:t>
      </w:r>
    </w:p>
    <w:p w:rsidR="0048606E" w:rsidRDefault="004D5D2F" w:rsidP="0043286B">
      <w:pPr>
        <w:spacing w:after="120" w:line="240" w:lineRule="auto"/>
        <w:jc w:val="both"/>
        <w:rPr>
          <w:rFonts w:ascii="Adobe Caslon Pro" w:eastAsiaTheme="minorEastAsia" w:hAnsi="Adobe Caslon Pro" w:cs="Arial"/>
          <w:color w:val="000000" w:themeColor="text1"/>
          <w:lang w:eastAsia="es-MX"/>
        </w:rPr>
      </w:pPr>
      <w:r w:rsidRPr="00AD0FD2">
        <w:rPr>
          <w:rFonts w:ascii="Adobe Caslon Pro" w:eastAsiaTheme="minorEastAsia" w:hAnsi="Adobe Caslon Pro" w:cs="Arial"/>
          <w:b/>
          <w:color w:val="000000" w:themeColor="text1"/>
          <w:lang w:eastAsia="es-MX"/>
        </w:rPr>
        <w:t>Vulnerables por carencias sociales.-</w:t>
      </w:r>
      <w:r w:rsidRPr="00AD0FD2">
        <w:rPr>
          <w:rFonts w:ascii="Adobe Caslon Pro" w:eastAsiaTheme="minorEastAsia" w:hAnsi="Adobe Caslon Pro" w:cs="Arial"/>
          <w:color w:val="000000" w:themeColor="text1"/>
          <w:lang w:eastAsia="es-MX"/>
        </w:rPr>
        <w:t xml:space="preserve"> Aquella población que presenta una o más carencias sociales, pero cuyo ingreso es superior a la LB.</w:t>
      </w:r>
    </w:p>
    <w:p w:rsidR="0056695B" w:rsidRDefault="004D5D2F" w:rsidP="0048606E">
      <w:pPr>
        <w:spacing w:after="120" w:line="240" w:lineRule="auto"/>
        <w:jc w:val="both"/>
      </w:pPr>
      <w:r w:rsidRPr="00AD0FD2">
        <w:rPr>
          <w:rFonts w:ascii="Adobe Caslon Pro" w:eastAsiaTheme="minorEastAsia" w:hAnsi="Adobe Caslon Pro" w:cs="Arial"/>
          <w:b/>
          <w:color w:val="000000" w:themeColor="text1"/>
          <w:lang w:eastAsia="es-MX"/>
        </w:rPr>
        <w:t>Vulne</w:t>
      </w:r>
      <w:r w:rsidR="008D03D1">
        <w:rPr>
          <w:rFonts w:ascii="Adobe Caslon Pro" w:eastAsiaTheme="minorEastAsia" w:hAnsi="Adobe Caslon Pro" w:cs="Arial"/>
          <w:b/>
          <w:color w:val="000000" w:themeColor="text1"/>
          <w:lang w:eastAsia="es-MX"/>
        </w:rPr>
        <w:t>rable</w:t>
      </w:r>
      <w:r w:rsidR="001E4613">
        <w:rPr>
          <w:rFonts w:ascii="Adobe Caslon Pro" w:eastAsiaTheme="minorEastAsia" w:hAnsi="Adobe Caslon Pro" w:cs="Arial"/>
          <w:b/>
          <w:color w:val="000000" w:themeColor="text1"/>
          <w:lang w:eastAsia="es-MX"/>
        </w:rPr>
        <w:t xml:space="preserve">s por </w:t>
      </w:r>
      <w:r w:rsidR="008D03D1">
        <w:rPr>
          <w:rFonts w:ascii="Adobe Caslon Pro" w:eastAsiaTheme="minorEastAsia" w:hAnsi="Adobe Caslon Pro" w:cs="Arial"/>
          <w:b/>
          <w:color w:val="000000" w:themeColor="text1"/>
          <w:lang w:eastAsia="es-MX"/>
        </w:rPr>
        <w:t>i</w:t>
      </w:r>
      <w:r w:rsidRPr="00AD0FD2">
        <w:rPr>
          <w:rFonts w:ascii="Adobe Caslon Pro" w:eastAsiaTheme="minorEastAsia" w:hAnsi="Adobe Caslon Pro" w:cs="Arial"/>
          <w:b/>
          <w:color w:val="000000" w:themeColor="text1"/>
          <w:lang w:eastAsia="es-MX"/>
        </w:rPr>
        <w:t>ngresos.-</w:t>
      </w:r>
      <w:r w:rsidRPr="00AD0FD2">
        <w:rPr>
          <w:rFonts w:ascii="Adobe Caslon Pro" w:eastAsiaTheme="minorEastAsia" w:hAnsi="Adobe Caslon Pro" w:cs="Arial"/>
          <w:color w:val="000000" w:themeColor="text1"/>
          <w:lang w:eastAsia="es-MX"/>
        </w:rPr>
        <w:t xml:space="preserve"> Aquella población que no presenta carencias sociales pero cuyo ingreso es inferior o igual a la LB.</w:t>
      </w:r>
    </w:p>
    <w:p w:rsidR="0056695B" w:rsidRDefault="0056695B" w:rsidP="0043286B">
      <w:pPr>
        <w:spacing w:after="120"/>
        <w:rPr>
          <w:rFonts w:ascii="Adobe Caslon Pro" w:eastAsia="Times New Roman" w:hAnsi="Adobe Caslon Pro"/>
          <w:b/>
          <w:bCs/>
          <w:color w:val="C00000"/>
          <w:sz w:val="26"/>
          <w:szCs w:val="26"/>
        </w:rPr>
      </w:pPr>
      <w:r>
        <w:br w:type="page"/>
      </w:r>
    </w:p>
    <w:p w:rsidR="004D5D2F" w:rsidRPr="000907D3" w:rsidRDefault="004D5D2F" w:rsidP="0043286B">
      <w:pPr>
        <w:pStyle w:val="Ttulo2"/>
        <w:spacing w:before="0" w:after="120" w:line="240" w:lineRule="auto"/>
      </w:pPr>
      <w:bookmarkStart w:id="4" w:name="_Toc391925211"/>
      <w:r w:rsidRPr="000907D3">
        <w:lastRenderedPageBreak/>
        <w:t>Presentación</w:t>
      </w:r>
      <w:bookmarkEnd w:id="4"/>
    </w:p>
    <w:p w:rsidR="004D5D2F" w:rsidRDefault="004D5D2F" w:rsidP="0043286B">
      <w:pPr>
        <w:spacing w:before="240" w:after="120" w:line="240" w:lineRule="auto"/>
        <w:jc w:val="both"/>
        <w:rPr>
          <w:rFonts w:ascii="Adobe Caslon Pro" w:hAnsi="Adobe Caslon Pro" w:cs="Arial"/>
          <w:bCs/>
        </w:rPr>
      </w:pPr>
      <w:r w:rsidRPr="000907D3">
        <w:rPr>
          <w:rFonts w:ascii="Adobe Caslon Pro" w:hAnsi="Adobe Caslon Pro" w:cs="Arial"/>
          <w:bCs/>
        </w:rPr>
        <w:t>La Secretaría de Desarrollo Social (</w:t>
      </w:r>
      <w:r w:rsidR="002F714E">
        <w:rPr>
          <w:rFonts w:ascii="Adobe Caslon Pro" w:hAnsi="Adobe Caslon Pro" w:cs="Arial"/>
          <w:bCs/>
        </w:rPr>
        <w:t>SEDESOL</w:t>
      </w:r>
      <w:r w:rsidRPr="000907D3">
        <w:rPr>
          <w:rFonts w:ascii="Adobe Caslon Pro" w:hAnsi="Adobe Caslon Pro" w:cs="Arial"/>
          <w:bCs/>
        </w:rPr>
        <w:t>), a través del Instituto Nacional de Desarrollo Social (</w:t>
      </w:r>
      <w:r w:rsidR="002F714E">
        <w:rPr>
          <w:rFonts w:ascii="Adobe Caslon Pro" w:hAnsi="Adobe Caslon Pro" w:cs="Arial"/>
          <w:bCs/>
        </w:rPr>
        <w:t>INDESOL</w:t>
      </w:r>
      <w:r w:rsidRPr="000907D3">
        <w:rPr>
          <w:rFonts w:ascii="Adobe Caslon Pro" w:hAnsi="Adobe Caslon Pro" w:cs="Arial"/>
          <w:bCs/>
        </w:rPr>
        <w:t>) ha implementado el</w:t>
      </w:r>
      <w:r w:rsidR="005D4951">
        <w:rPr>
          <w:rFonts w:ascii="Adobe Caslon Pro" w:hAnsi="Adobe Caslon Pro" w:cs="Arial"/>
          <w:bCs/>
        </w:rPr>
        <w:t xml:space="preserve"> </w:t>
      </w:r>
      <w:r w:rsidR="00E32DDC">
        <w:rPr>
          <w:rFonts w:ascii="Adobe Caslon Pro" w:hAnsi="Adobe Caslon Pro" w:cs="Arial"/>
          <w:bCs/>
        </w:rPr>
        <w:t>Programa de Coinversión Social (</w:t>
      </w:r>
      <w:r w:rsidR="00F24615">
        <w:rPr>
          <w:rFonts w:ascii="Adobe Caslon Pro" w:hAnsi="Adobe Caslon Pro" w:cs="Arial"/>
          <w:bCs/>
        </w:rPr>
        <w:t>PCS</w:t>
      </w:r>
      <w:r w:rsidR="00E32DDC">
        <w:rPr>
          <w:rFonts w:ascii="Adobe Caslon Pro" w:hAnsi="Adobe Caslon Pro" w:cs="Arial"/>
          <w:bCs/>
        </w:rPr>
        <w:t>)</w:t>
      </w:r>
      <w:r w:rsidRPr="000907D3">
        <w:rPr>
          <w:rFonts w:ascii="Adobe Caslon Pro" w:hAnsi="Adobe Caslon Pro" w:cs="Arial"/>
          <w:bCs/>
        </w:rPr>
        <w:t xml:space="preserve"> para promover y fortalecer la participación de las Organizaciones de la Sociedad Civil (OSC) en acciones de desarrollo social que beneficien a personas en situación de pobreza o vulnerabilidad. El PCS se ha consolidado como un programa clave en el mecanismo de interacción entre el gobierno y la sociedad civil, por lo que la actualización del diagnóstico sobre el problema que busca resolver, así como del planteamiento de posibles alternativas de solución son elementos que contribuyen a la toma de decisiones del programa en lo que atañe a la atención a sus beneficiarios, así como a la relación que mantiene con las OSC.</w:t>
      </w:r>
    </w:p>
    <w:p w:rsidR="004D5D2F" w:rsidRDefault="004D5D2F" w:rsidP="0043286B">
      <w:pPr>
        <w:spacing w:after="120" w:line="240" w:lineRule="auto"/>
        <w:jc w:val="both"/>
        <w:rPr>
          <w:rFonts w:ascii="Adobe Caslon Pro" w:hAnsi="Adobe Caslon Pro" w:cs="Arial"/>
          <w:bCs/>
        </w:rPr>
      </w:pPr>
      <w:r w:rsidRPr="000907D3">
        <w:rPr>
          <w:rFonts w:ascii="Adobe Caslon Pro" w:hAnsi="Adobe Caslon Pro" w:cs="Arial"/>
          <w:bCs/>
        </w:rPr>
        <w:t xml:space="preserve">Desde que se inició la elaboración de los diagnósticos y propuestas de atención de los programas sociales que están a cargo de la </w:t>
      </w:r>
      <w:r w:rsidR="002F714E">
        <w:rPr>
          <w:rFonts w:ascii="Adobe Caslon Pro" w:hAnsi="Adobe Caslon Pro" w:cs="Arial"/>
          <w:bCs/>
        </w:rPr>
        <w:t>SEDESOL</w:t>
      </w:r>
      <w:r w:rsidRPr="000907D3">
        <w:rPr>
          <w:rFonts w:ascii="Adobe Caslon Pro" w:hAnsi="Adobe Caslon Pro" w:cs="Arial"/>
          <w:bCs/>
        </w:rPr>
        <w:t xml:space="preserve">, o de alguno de sus organismos sectorizados, se planteó la necesidad de que la creación o la modificación sustantiva de un programa público debe estar sólidamente fundamentada en la identificación, caracterización y cuantificación del problema que éste busca resolver, para lo que se debe procurar utilizar fuentes de información oficial, tales como las que las dependencias y organismos del ejecutivo federal pone regularmente a disposición del público. </w:t>
      </w:r>
    </w:p>
    <w:p w:rsidR="004D5D2F" w:rsidRDefault="008D03D1" w:rsidP="0043286B">
      <w:pPr>
        <w:spacing w:after="120" w:line="240" w:lineRule="auto"/>
        <w:jc w:val="both"/>
        <w:rPr>
          <w:rFonts w:ascii="Adobe Caslon Pro" w:hAnsi="Adobe Caslon Pro" w:cs="Arial"/>
          <w:bCs/>
          <w:i/>
        </w:rPr>
      </w:pPr>
      <w:r>
        <w:rPr>
          <w:rFonts w:ascii="Adobe Caslon Pro" w:hAnsi="Adobe Caslon Pro" w:cs="Arial"/>
          <w:bCs/>
        </w:rPr>
        <w:t>Siguiendo dicho prece</w:t>
      </w:r>
      <w:r w:rsidR="00AE53C4">
        <w:rPr>
          <w:rFonts w:ascii="Adobe Caslon Pro" w:hAnsi="Adobe Caslon Pro" w:cs="Arial"/>
          <w:bCs/>
        </w:rPr>
        <w:t>p</w:t>
      </w:r>
      <w:r>
        <w:rPr>
          <w:rFonts w:ascii="Adobe Caslon Pro" w:hAnsi="Adobe Caslon Pro" w:cs="Arial"/>
          <w:bCs/>
        </w:rPr>
        <w:t>to,</w:t>
      </w:r>
      <w:r w:rsidR="00E32DDC">
        <w:rPr>
          <w:rFonts w:ascii="Adobe Caslon Pro" w:hAnsi="Adobe Caslon Pro" w:cs="Arial"/>
          <w:bCs/>
        </w:rPr>
        <w:t xml:space="preserve"> e</w:t>
      </w:r>
      <w:r w:rsidR="004D5D2F" w:rsidRPr="000907D3">
        <w:rPr>
          <w:rFonts w:ascii="Adobe Caslon Pro" w:hAnsi="Adobe Caslon Pro" w:cs="Arial"/>
          <w:bCs/>
        </w:rPr>
        <w:t xml:space="preserve">l presente documento ofrece, por una parte, el diagnóstico que identifica el problema público que busca resolver el PCS y, por otra parte, la propuesta de atención del programa, con base en los </w:t>
      </w:r>
      <w:r w:rsidR="004D5D2F" w:rsidRPr="000907D3">
        <w:rPr>
          <w:rFonts w:ascii="Adobe Caslon Pro" w:hAnsi="Adobe Caslon Pro" w:cs="Arial"/>
          <w:bCs/>
          <w:i/>
        </w:rPr>
        <w:t>Lineamientos Generales para la Elaboración de Diagnósticos, de cuyos resultados se obtienen Propuestas de Atención de Programas de Desarrollo Social</w:t>
      </w:r>
      <w:r w:rsidR="004D5D2F" w:rsidRPr="000907D3">
        <w:rPr>
          <w:rFonts w:ascii="Adobe Caslon Pro" w:hAnsi="Adobe Caslon Pro" w:cs="Arial"/>
          <w:bCs/>
        </w:rPr>
        <w:t>, publicados en el DOF el 7 de mayo de 2009,</w:t>
      </w:r>
      <w:r w:rsidR="004D5D2F" w:rsidRPr="000907D3">
        <w:rPr>
          <w:rStyle w:val="Refdenotaalpie"/>
          <w:rFonts w:ascii="Adobe Caslon Pro" w:hAnsi="Adobe Caslon Pro" w:cs="Arial"/>
          <w:bCs/>
        </w:rPr>
        <w:footnoteReference w:id="1"/>
      </w:r>
      <w:r w:rsidR="004D5D2F" w:rsidRPr="000907D3">
        <w:rPr>
          <w:rFonts w:ascii="Adobe Caslon Pro" w:hAnsi="Adobe Caslon Pro" w:cs="Arial"/>
          <w:bCs/>
        </w:rPr>
        <w:t xml:space="preserve"> en los que se establecen los elementos mínimos que se deben observar en la elaboración de los diagnósticos y las propuestas de atención de los programas sociales a cargo de la </w:t>
      </w:r>
      <w:r w:rsidR="002F714E">
        <w:rPr>
          <w:rFonts w:ascii="Adobe Caslon Pro" w:hAnsi="Adobe Caslon Pro" w:cs="Arial"/>
          <w:bCs/>
        </w:rPr>
        <w:t>SEDESOL</w:t>
      </w:r>
      <w:r w:rsidR="004D5D2F" w:rsidRPr="000907D3">
        <w:rPr>
          <w:rFonts w:ascii="Adobe Caslon Pro" w:hAnsi="Adobe Caslon Pro" w:cs="Arial"/>
          <w:bCs/>
        </w:rPr>
        <w:t xml:space="preserve"> y de sus organismos sectorizados. Asimismo, el documento se apega a lo dispuesto por el </w:t>
      </w:r>
      <w:r>
        <w:rPr>
          <w:rFonts w:ascii="Adobe Caslon Pro" w:hAnsi="Adobe Caslon Pro" w:cs="Arial"/>
          <w:bCs/>
        </w:rPr>
        <w:t xml:space="preserve">Consejo Nacional de </w:t>
      </w:r>
      <w:r w:rsidR="00AE53C4">
        <w:rPr>
          <w:rFonts w:ascii="Adobe Caslon Pro" w:hAnsi="Adobe Caslon Pro" w:cs="Arial"/>
          <w:bCs/>
        </w:rPr>
        <w:t>Evaluación</w:t>
      </w:r>
      <w:r>
        <w:rPr>
          <w:rFonts w:ascii="Adobe Caslon Pro" w:hAnsi="Adobe Caslon Pro" w:cs="Arial"/>
          <w:bCs/>
        </w:rPr>
        <w:t xml:space="preserve"> de la Política de Desarrollo Social (</w:t>
      </w:r>
      <w:r w:rsidR="00AE5A03">
        <w:rPr>
          <w:rFonts w:ascii="Adobe Caslon Pro" w:hAnsi="Adobe Caslon Pro" w:cs="Arial"/>
          <w:bCs/>
        </w:rPr>
        <w:t>CONEVAL</w:t>
      </w:r>
      <w:r>
        <w:rPr>
          <w:rFonts w:ascii="Adobe Caslon Pro" w:hAnsi="Adobe Caslon Pro" w:cs="Arial"/>
          <w:bCs/>
        </w:rPr>
        <w:t>)</w:t>
      </w:r>
      <w:r w:rsidR="004D5D2F" w:rsidRPr="000907D3">
        <w:rPr>
          <w:rFonts w:ascii="Adobe Caslon Pro" w:hAnsi="Adobe Caslon Pro" w:cs="Arial"/>
          <w:bCs/>
        </w:rPr>
        <w:t xml:space="preserve"> en la guía denominada </w:t>
      </w:r>
      <w:r w:rsidR="004D5D2F" w:rsidRPr="000907D3">
        <w:rPr>
          <w:rFonts w:ascii="Adobe Caslon Pro" w:hAnsi="Adobe Caslon Pro" w:cs="Arial"/>
          <w:bCs/>
          <w:i/>
        </w:rPr>
        <w:t>Elementos mínimos a considerar en la elaboración de diagnósticos de programas nuevos.</w:t>
      </w:r>
      <w:r w:rsidR="004D5D2F" w:rsidRPr="000907D3">
        <w:rPr>
          <w:rStyle w:val="Refdenotaalpie"/>
          <w:rFonts w:ascii="Adobe Caslon Pro" w:hAnsi="Adobe Caslon Pro" w:cs="Arial"/>
          <w:bCs/>
          <w:i/>
        </w:rPr>
        <w:footnoteReference w:id="2"/>
      </w:r>
    </w:p>
    <w:p w:rsidR="004D5D2F" w:rsidRPr="000907D3" w:rsidRDefault="004D5D2F" w:rsidP="0043286B">
      <w:pPr>
        <w:spacing w:after="120" w:line="240" w:lineRule="auto"/>
        <w:jc w:val="both"/>
        <w:rPr>
          <w:rFonts w:ascii="Adobe Caslon Pro" w:hAnsi="Adobe Caslon Pro" w:cs="Arial"/>
          <w:bCs/>
        </w:rPr>
      </w:pPr>
      <w:r w:rsidRPr="000907D3">
        <w:rPr>
          <w:rFonts w:ascii="Adobe Caslon Pro" w:hAnsi="Adobe Caslon Pro" w:cs="Arial"/>
          <w:bCs/>
        </w:rPr>
        <w:t xml:space="preserve">El documento que aquí se presenta contribuye al análisis de la información disponible sobre la interacción entre los actores sociales y el gobierno, para desarrollar políticas públicas que fomenten la construcción del capital social entre los grupos de población y en las regiones que presentan situaciones de vulnerabilidad. Este trabajo es producto de la colaboración entre </w:t>
      </w:r>
      <w:r w:rsidR="008D03D1">
        <w:rPr>
          <w:rFonts w:ascii="Adobe Caslon Pro" w:hAnsi="Adobe Caslon Pro" w:cs="Arial"/>
          <w:bCs/>
        </w:rPr>
        <w:t xml:space="preserve">el personal adscrito a la Dirección General de Análisis y Prospectiva (DGAP), Unidad de Planeación y Relaciones Internacionales (UPRI) </w:t>
      </w:r>
      <w:r w:rsidRPr="000907D3">
        <w:rPr>
          <w:rFonts w:ascii="Adobe Caslon Pro" w:hAnsi="Adobe Caslon Pro" w:cs="Arial"/>
          <w:bCs/>
        </w:rPr>
        <w:t xml:space="preserve">de la </w:t>
      </w:r>
      <w:r w:rsidR="002F714E">
        <w:rPr>
          <w:rFonts w:ascii="Adobe Caslon Pro" w:hAnsi="Adobe Caslon Pro" w:cs="Arial"/>
          <w:bCs/>
        </w:rPr>
        <w:t>SEDESOL</w:t>
      </w:r>
      <w:r w:rsidRPr="000907D3">
        <w:rPr>
          <w:rFonts w:ascii="Adobe Caslon Pro" w:hAnsi="Adobe Caslon Pro" w:cs="Arial"/>
          <w:bCs/>
        </w:rPr>
        <w:t xml:space="preserve">, </w:t>
      </w:r>
      <w:r w:rsidR="00A2098F">
        <w:rPr>
          <w:rFonts w:ascii="Adobe Caslon Pro" w:hAnsi="Adobe Caslon Pro" w:cs="Arial"/>
          <w:bCs/>
        </w:rPr>
        <w:t xml:space="preserve"> así </w:t>
      </w:r>
      <w:r w:rsidR="00A2098F">
        <w:rPr>
          <w:rFonts w:ascii="Adobe Caslon Pro" w:hAnsi="Adobe Caslon Pro" w:cs="Arial"/>
          <w:bCs/>
        </w:rPr>
        <w:lastRenderedPageBreak/>
        <w:t xml:space="preserve">como al </w:t>
      </w:r>
      <w:r w:rsidR="002F714E">
        <w:rPr>
          <w:rFonts w:ascii="Adobe Caslon Pro" w:hAnsi="Adobe Caslon Pro" w:cs="Arial"/>
          <w:bCs/>
        </w:rPr>
        <w:t>INDESOL</w:t>
      </w:r>
      <w:r w:rsidRPr="000907D3">
        <w:rPr>
          <w:rFonts w:ascii="Adobe Caslon Pro" w:hAnsi="Adobe Caslon Pro" w:cs="Arial"/>
          <w:bCs/>
        </w:rPr>
        <w:t>, quienes aportaron dedicación y energía con el fin de contribuir al desarrollo de políticas de atención a la problemática que aquí se presenta. Asimismo, se agradece la contribución de insumos para la preparación del documento por parte de la consultoría Cocoa Services S.C.</w:t>
      </w:r>
    </w:p>
    <w:p w:rsidR="004D5D2F" w:rsidRDefault="004D5D2F" w:rsidP="0043286B">
      <w:pPr>
        <w:spacing w:after="120" w:line="240" w:lineRule="auto"/>
        <w:rPr>
          <w:rFonts w:ascii="Adobe Caslon Pro" w:eastAsia="Times New Roman" w:hAnsi="Adobe Caslon Pro"/>
          <w:b/>
          <w:bCs/>
          <w:color w:val="C00000"/>
          <w:sz w:val="26"/>
          <w:szCs w:val="26"/>
        </w:rPr>
      </w:pPr>
      <w:r>
        <w:br w:type="page"/>
      </w:r>
    </w:p>
    <w:p w:rsidR="004D5D2F" w:rsidRPr="00AE5A03" w:rsidRDefault="004D5D2F" w:rsidP="0043286B">
      <w:pPr>
        <w:pStyle w:val="Ttulo2"/>
        <w:spacing w:before="0" w:after="120" w:line="240" w:lineRule="auto"/>
      </w:pPr>
      <w:bookmarkStart w:id="5" w:name="_Toc391925212"/>
      <w:r w:rsidRPr="00AE5A03">
        <w:lastRenderedPageBreak/>
        <w:t>Índice</w:t>
      </w:r>
      <w:bookmarkEnd w:id="5"/>
    </w:p>
    <w:sdt>
      <w:sdtPr>
        <w:rPr>
          <w:rFonts w:ascii="Adobe Caslon Pro" w:hAnsi="Adobe Caslon Pro"/>
        </w:rPr>
        <w:id w:val="-2094455814"/>
        <w:docPartObj>
          <w:docPartGallery w:val="Table of Contents"/>
          <w:docPartUnique/>
        </w:docPartObj>
      </w:sdtPr>
      <w:sdtEndPr>
        <w:rPr>
          <w:rFonts w:ascii="Calibri" w:hAnsi="Calibri"/>
          <w:b/>
          <w:bCs/>
          <w:lang w:val="es-ES"/>
        </w:rPr>
      </w:sdtEndPr>
      <w:sdtContent>
        <w:p w:rsidR="00994916" w:rsidRPr="00994916" w:rsidRDefault="007A6D2B" w:rsidP="00994916">
          <w:pPr>
            <w:pStyle w:val="TDC2"/>
            <w:tabs>
              <w:tab w:val="right" w:leader="dot" w:pos="9377"/>
            </w:tabs>
            <w:spacing w:after="0" w:line="240" w:lineRule="auto"/>
            <w:rPr>
              <w:rFonts w:ascii="Adobe Caslon Pro" w:eastAsiaTheme="minorEastAsia" w:hAnsi="Adobe Caslon Pro" w:cstheme="minorBidi"/>
              <w:noProof/>
              <w:lang w:eastAsia="es-MX"/>
            </w:rPr>
          </w:pPr>
          <w:r w:rsidRPr="009A7A25">
            <w:rPr>
              <w:rFonts w:ascii="Adobe Caslon Pro" w:hAnsi="Adobe Caslon Pro"/>
            </w:rPr>
            <w:fldChar w:fldCharType="begin"/>
          </w:r>
          <w:r w:rsidR="004D5D2F" w:rsidRPr="009A7A25">
            <w:rPr>
              <w:rFonts w:ascii="Adobe Caslon Pro" w:hAnsi="Adobe Caslon Pro"/>
            </w:rPr>
            <w:instrText xml:space="preserve"> TOC \o "1-3" \h \z \u </w:instrText>
          </w:r>
          <w:r w:rsidRPr="009A7A25">
            <w:rPr>
              <w:rFonts w:ascii="Adobe Caslon Pro" w:hAnsi="Adobe Caslon Pro"/>
            </w:rPr>
            <w:fldChar w:fldCharType="separate"/>
          </w:r>
          <w:bookmarkStart w:id="6" w:name="_GoBack"/>
          <w:r w:rsidR="00994916" w:rsidRPr="00994916">
            <w:rPr>
              <w:rStyle w:val="Hipervnculo"/>
              <w:rFonts w:ascii="Adobe Caslon Pro" w:hAnsi="Adobe Caslon Pro"/>
              <w:noProof/>
            </w:rPr>
            <w:fldChar w:fldCharType="begin"/>
          </w:r>
          <w:r w:rsidR="00994916" w:rsidRPr="00994916">
            <w:rPr>
              <w:rStyle w:val="Hipervnculo"/>
              <w:rFonts w:ascii="Adobe Caslon Pro" w:hAnsi="Adobe Caslon Pro"/>
              <w:noProof/>
            </w:rPr>
            <w:instrText xml:space="preserve"> </w:instrText>
          </w:r>
          <w:r w:rsidR="00994916" w:rsidRPr="00994916">
            <w:rPr>
              <w:rFonts w:ascii="Adobe Caslon Pro" w:hAnsi="Adobe Caslon Pro"/>
              <w:noProof/>
            </w:rPr>
            <w:instrText>HYPERLINK \l "_Toc391925209"</w:instrText>
          </w:r>
          <w:r w:rsidR="00994916" w:rsidRPr="00994916">
            <w:rPr>
              <w:rStyle w:val="Hipervnculo"/>
              <w:rFonts w:ascii="Adobe Caslon Pro" w:hAnsi="Adobe Caslon Pro"/>
              <w:noProof/>
            </w:rPr>
            <w:instrText xml:space="preserve"> </w:instrText>
          </w:r>
          <w:r w:rsidR="00994916" w:rsidRPr="00994916">
            <w:rPr>
              <w:rStyle w:val="Hipervnculo"/>
              <w:rFonts w:ascii="Adobe Caslon Pro" w:hAnsi="Adobe Caslon Pro"/>
              <w:noProof/>
            </w:rPr>
          </w:r>
          <w:r w:rsidR="00994916" w:rsidRPr="00994916">
            <w:rPr>
              <w:rStyle w:val="Hipervnculo"/>
              <w:rFonts w:ascii="Adobe Caslon Pro" w:hAnsi="Adobe Caslon Pro"/>
              <w:noProof/>
            </w:rPr>
            <w:fldChar w:fldCharType="separate"/>
          </w:r>
          <w:r w:rsidR="00994916" w:rsidRPr="00994916">
            <w:rPr>
              <w:rStyle w:val="Hipervnculo"/>
              <w:rFonts w:ascii="Adobe Caslon Pro" w:hAnsi="Adobe Caslon Pro"/>
              <w:noProof/>
            </w:rPr>
            <w:t>Siglas y Acrónimos</w:t>
          </w:r>
          <w:r w:rsidR="00994916" w:rsidRPr="00994916">
            <w:rPr>
              <w:rFonts w:ascii="Adobe Caslon Pro" w:hAnsi="Adobe Caslon Pro"/>
              <w:noProof/>
              <w:webHidden/>
            </w:rPr>
            <w:tab/>
          </w:r>
          <w:r w:rsidR="00994916" w:rsidRPr="00994916">
            <w:rPr>
              <w:rFonts w:ascii="Adobe Caslon Pro" w:hAnsi="Adobe Caslon Pro"/>
              <w:noProof/>
              <w:webHidden/>
            </w:rPr>
            <w:fldChar w:fldCharType="begin"/>
          </w:r>
          <w:r w:rsidR="00994916" w:rsidRPr="00994916">
            <w:rPr>
              <w:rFonts w:ascii="Adobe Caslon Pro" w:hAnsi="Adobe Caslon Pro"/>
              <w:noProof/>
              <w:webHidden/>
            </w:rPr>
            <w:instrText xml:space="preserve"> PAGEREF _Toc391925209 \h </w:instrText>
          </w:r>
          <w:r w:rsidR="00994916" w:rsidRPr="00994916">
            <w:rPr>
              <w:rFonts w:ascii="Adobe Caslon Pro" w:hAnsi="Adobe Caslon Pro"/>
              <w:noProof/>
              <w:webHidden/>
            </w:rPr>
          </w:r>
          <w:r w:rsidR="00994916" w:rsidRPr="00994916">
            <w:rPr>
              <w:rFonts w:ascii="Adobe Caslon Pro" w:hAnsi="Adobe Caslon Pro"/>
              <w:noProof/>
              <w:webHidden/>
            </w:rPr>
            <w:fldChar w:fldCharType="separate"/>
          </w:r>
          <w:r w:rsidR="00994916" w:rsidRPr="00994916">
            <w:rPr>
              <w:rFonts w:ascii="Adobe Caslon Pro" w:hAnsi="Adobe Caslon Pro"/>
              <w:noProof/>
              <w:webHidden/>
            </w:rPr>
            <w:t>2</w:t>
          </w:r>
          <w:r w:rsidR="00994916" w:rsidRPr="00994916">
            <w:rPr>
              <w:rFonts w:ascii="Adobe Caslon Pro" w:hAnsi="Adobe Caslon Pro"/>
              <w:noProof/>
              <w:webHidden/>
            </w:rPr>
            <w:fldChar w:fldCharType="end"/>
          </w:r>
          <w:r w:rsidR="00994916" w:rsidRPr="00994916">
            <w:rPr>
              <w:rStyle w:val="Hipervnculo"/>
              <w:rFonts w:ascii="Adobe Caslon Pro" w:hAnsi="Adobe Caslon Pro"/>
              <w:noProof/>
            </w:rPr>
            <w:fldChar w:fldCharType="end"/>
          </w:r>
        </w:p>
        <w:p w:rsidR="00994916" w:rsidRPr="00994916" w:rsidRDefault="00994916" w:rsidP="00994916">
          <w:pPr>
            <w:pStyle w:val="TDC2"/>
            <w:tabs>
              <w:tab w:val="right" w:leader="dot" w:pos="9377"/>
            </w:tabs>
            <w:spacing w:after="0" w:line="240" w:lineRule="auto"/>
            <w:rPr>
              <w:rFonts w:ascii="Adobe Caslon Pro" w:eastAsiaTheme="minorEastAsia" w:hAnsi="Adobe Caslon Pro" w:cstheme="minorBidi"/>
              <w:noProof/>
              <w:lang w:eastAsia="es-MX"/>
            </w:rPr>
          </w:pPr>
          <w:hyperlink w:anchor="_Toc391925210" w:history="1">
            <w:r w:rsidRPr="00994916">
              <w:rPr>
                <w:rStyle w:val="Hipervnculo"/>
                <w:rFonts w:ascii="Adobe Caslon Pro" w:hAnsi="Adobe Caslon Pro"/>
                <w:noProof/>
              </w:rPr>
              <w:t>Glosario</w:t>
            </w:r>
            <w:r w:rsidRPr="00994916">
              <w:rPr>
                <w:rFonts w:ascii="Adobe Caslon Pro" w:hAnsi="Adobe Caslon Pro"/>
                <w:noProof/>
                <w:webHidden/>
              </w:rPr>
              <w:tab/>
            </w:r>
            <w:r w:rsidRPr="00994916">
              <w:rPr>
                <w:rFonts w:ascii="Adobe Caslon Pro" w:hAnsi="Adobe Caslon Pro"/>
                <w:noProof/>
                <w:webHidden/>
              </w:rPr>
              <w:fldChar w:fldCharType="begin"/>
            </w:r>
            <w:r w:rsidRPr="00994916">
              <w:rPr>
                <w:rFonts w:ascii="Adobe Caslon Pro" w:hAnsi="Adobe Caslon Pro"/>
                <w:noProof/>
                <w:webHidden/>
              </w:rPr>
              <w:instrText xml:space="preserve"> PAGEREF _Toc391925210 \h </w:instrText>
            </w:r>
            <w:r w:rsidRPr="00994916">
              <w:rPr>
                <w:rFonts w:ascii="Adobe Caslon Pro" w:hAnsi="Adobe Caslon Pro"/>
                <w:noProof/>
                <w:webHidden/>
              </w:rPr>
            </w:r>
            <w:r w:rsidRPr="00994916">
              <w:rPr>
                <w:rFonts w:ascii="Adobe Caslon Pro" w:hAnsi="Adobe Caslon Pro"/>
                <w:noProof/>
                <w:webHidden/>
              </w:rPr>
              <w:fldChar w:fldCharType="separate"/>
            </w:r>
            <w:r w:rsidRPr="00994916">
              <w:rPr>
                <w:rFonts w:ascii="Adobe Caslon Pro" w:hAnsi="Adobe Caslon Pro"/>
                <w:noProof/>
                <w:webHidden/>
              </w:rPr>
              <w:t>4</w:t>
            </w:r>
            <w:r w:rsidRPr="00994916">
              <w:rPr>
                <w:rFonts w:ascii="Adobe Caslon Pro" w:hAnsi="Adobe Caslon Pro"/>
                <w:noProof/>
                <w:webHidden/>
              </w:rPr>
              <w:fldChar w:fldCharType="end"/>
            </w:r>
          </w:hyperlink>
        </w:p>
        <w:p w:rsidR="00994916" w:rsidRPr="00994916" w:rsidRDefault="00994916" w:rsidP="00994916">
          <w:pPr>
            <w:pStyle w:val="TDC2"/>
            <w:tabs>
              <w:tab w:val="right" w:leader="dot" w:pos="9377"/>
            </w:tabs>
            <w:spacing w:after="0" w:line="240" w:lineRule="auto"/>
            <w:rPr>
              <w:rFonts w:ascii="Adobe Caslon Pro" w:eastAsiaTheme="minorEastAsia" w:hAnsi="Adobe Caslon Pro" w:cstheme="minorBidi"/>
              <w:noProof/>
              <w:lang w:eastAsia="es-MX"/>
            </w:rPr>
          </w:pPr>
          <w:hyperlink w:anchor="_Toc391925211" w:history="1">
            <w:r w:rsidRPr="00994916">
              <w:rPr>
                <w:rStyle w:val="Hipervnculo"/>
                <w:rFonts w:ascii="Adobe Caslon Pro" w:hAnsi="Adobe Caslon Pro"/>
                <w:noProof/>
              </w:rPr>
              <w:t>Presentación</w:t>
            </w:r>
            <w:r w:rsidRPr="00994916">
              <w:rPr>
                <w:rFonts w:ascii="Adobe Caslon Pro" w:hAnsi="Adobe Caslon Pro"/>
                <w:noProof/>
                <w:webHidden/>
              </w:rPr>
              <w:tab/>
            </w:r>
            <w:r w:rsidRPr="00994916">
              <w:rPr>
                <w:rFonts w:ascii="Adobe Caslon Pro" w:hAnsi="Adobe Caslon Pro"/>
                <w:noProof/>
                <w:webHidden/>
              </w:rPr>
              <w:fldChar w:fldCharType="begin"/>
            </w:r>
            <w:r w:rsidRPr="00994916">
              <w:rPr>
                <w:rFonts w:ascii="Adobe Caslon Pro" w:hAnsi="Adobe Caslon Pro"/>
                <w:noProof/>
                <w:webHidden/>
              </w:rPr>
              <w:instrText xml:space="preserve"> PAGEREF _Toc391925211 \h </w:instrText>
            </w:r>
            <w:r w:rsidRPr="00994916">
              <w:rPr>
                <w:rFonts w:ascii="Adobe Caslon Pro" w:hAnsi="Adobe Caslon Pro"/>
                <w:noProof/>
                <w:webHidden/>
              </w:rPr>
            </w:r>
            <w:r w:rsidRPr="00994916">
              <w:rPr>
                <w:rFonts w:ascii="Adobe Caslon Pro" w:hAnsi="Adobe Caslon Pro"/>
                <w:noProof/>
                <w:webHidden/>
              </w:rPr>
              <w:fldChar w:fldCharType="separate"/>
            </w:r>
            <w:r w:rsidRPr="00994916">
              <w:rPr>
                <w:rFonts w:ascii="Adobe Caslon Pro" w:hAnsi="Adobe Caslon Pro"/>
                <w:noProof/>
                <w:webHidden/>
              </w:rPr>
              <w:t>7</w:t>
            </w:r>
            <w:r w:rsidRPr="00994916">
              <w:rPr>
                <w:rFonts w:ascii="Adobe Caslon Pro" w:hAnsi="Adobe Caslon Pro"/>
                <w:noProof/>
                <w:webHidden/>
              </w:rPr>
              <w:fldChar w:fldCharType="end"/>
            </w:r>
          </w:hyperlink>
        </w:p>
        <w:p w:rsidR="00994916" w:rsidRPr="00994916" w:rsidRDefault="00994916" w:rsidP="00994916">
          <w:pPr>
            <w:pStyle w:val="TDC2"/>
            <w:tabs>
              <w:tab w:val="right" w:leader="dot" w:pos="9377"/>
            </w:tabs>
            <w:spacing w:after="0" w:line="240" w:lineRule="auto"/>
            <w:rPr>
              <w:rFonts w:ascii="Adobe Caslon Pro" w:eastAsiaTheme="minorEastAsia" w:hAnsi="Adobe Caslon Pro" w:cstheme="minorBidi"/>
              <w:noProof/>
              <w:lang w:eastAsia="es-MX"/>
            </w:rPr>
          </w:pPr>
          <w:hyperlink w:anchor="_Toc391925212" w:history="1">
            <w:r w:rsidRPr="00994916">
              <w:rPr>
                <w:rStyle w:val="Hipervnculo"/>
                <w:rFonts w:ascii="Adobe Caslon Pro" w:hAnsi="Adobe Caslon Pro"/>
                <w:noProof/>
              </w:rPr>
              <w:t>Índice</w:t>
            </w:r>
            <w:r w:rsidRPr="00994916">
              <w:rPr>
                <w:rFonts w:ascii="Adobe Caslon Pro" w:hAnsi="Adobe Caslon Pro"/>
                <w:noProof/>
                <w:webHidden/>
              </w:rPr>
              <w:tab/>
            </w:r>
            <w:r w:rsidRPr="00994916">
              <w:rPr>
                <w:rFonts w:ascii="Adobe Caslon Pro" w:hAnsi="Adobe Caslon Pro"/>
                <w:noProof/>
                <w:webHidden/>
              </w:rPr>
              <w:fldChar w:fldCharType="begin"/>
            </w:r>
            <w:r w:rsidRPr="00994916">
              <w:rPr>
                <w:rFonts w:ascii="Adobe Caslon Pro" w:hAnsi="Adobe Caslon Pro"/>
                <w:noProof/>
                <w:webHidden/>
              </w:rPr>
              <w:instrText xml:space="preserve"> PAGEREF _Toc391925212 \h </w:instrText>
            </w:r>
            <w:r w:rsidRPr="00994916">
              <w:rPr>
                <w:rFonts w:ascii="Adobe Caslon Pro" w:hAnsi="Adobe Caslon Pro"/>
                <w:noProof/>
                <w:webHidden/>
              </w:rPr>
            </w:r>
            <w:r w:rsidRPr="00994916">
              <w:rPr>
                <w:rFonts w:ascii="Adobe Caslon Pro" w:hAnsi="Adobe Caslon Pro"/>
                <w:noProof/>
                <w:webHidden/>
              </w:rPr>
              <w:fldChar w:fldCharType="separate"/>
            </w:r>
            <w:r w:rsidRPr="00994916">
              <w:rPr>
                <w:rFonts w:ascii="Adobe Caslon Pro" w:hAnsi="Adobe Caslon Pro"/>
                <w:noProof/>
                <w:webHidden/>
              </w:rPr>
              <w:t>9</w:t>
            </w:r>
            <w:r w:rsidRPr="00994916">
              <w:rPr>
                <w:rFonts w:ascii="Adobe Caslon Pro" w:hAnsi="Adobe Caslon Pro"/>
                <w:noProof/>
                <w:webHidden/>
              </w:rPr>
              <w:fldChar w:fldCharType="end"/>
            </w:r>
          </w:hyperlink>
        </w:p>
        <w:p w:rsidR="00994916" w:rsidRPr="00994916" w:rsidRDefault="00994916" w:rsidP="00994916">
          <w:pPr>
            <w:pStyle w:val="TDC2"/>
            <w:tabs>
              <w:tab w:val="right" w:leader="dot" w:pos="9377"/>
            </w:tabs>
            <w:spacing w:after="0" w:line="240" w:lineRule="auto"/>
            <w:rPr>
              <w:rFonts w:ascii="Adobe Caslon Pro" w:eastAsiaTheme="minorEastAsia" w:hAnsi="Adobe Caslon Pro" w:cstheme="minorBidi"/>
              <w:noProof/>
              <w:lang w:eastAsia="es-MX"/>
            </w:rPr>
          </w:pPr>
          <w:hyperlink w:anchor="_Toc391925213" w:history="1">
            <w:r w:rsidRPr="00994916">
              <w:rPr>
                <w:rStyle w:val="Hipervnculo"/>
                <w:rFonts w:ascii="Adobe Caslon Pro" w:hAnsi="Adobe Caslon Pro"/>
                <w:noProof/>
              </w:rPr>
              <w:t>1. Introducción</w:t>
            </w:r>
            <w:r w:rsidRPr="00994916">
              <w:rPr>
                <w:rFonts w:ascii="Adobe Caslon Pro" w:hAnsi="Adobe Caslon Pro"/>
                <w:noProof/>
                <w:webHidden/>
              </w:rPr>
              <w:tab/>
            </w:r>
            <w:r w:rsidRPr="00994916">
              <w:rPr>
                <w:rFonts w:ascii="Adobe Caslon Pro" w:hAnsi="Adobe Caslon Pro"/>
                <w:noProof/>
                <w:webHidden/>
              </w:rPr>
              <w:fldChar w:fldCharType="begin"/>
            </w:r>
            <w:r w:rsidRPr="00994916">
              <w:rPr>
                <w:rFonts w:ascii="Adobe Caslon Pro" w:hAnsi="Adobe Caslon Pro"/>
                <w:noProof/>
                <w:webHidden/>
              </w:rPr>
              <w:instrText xml:space="preserve"> PAGEREF _Toc391925213 \h </w:instrText>
            </w:r>
            <w:r w:rsidRPr="00994916">
              <w:rPr>
                <w:rFonts w:ascii="Adobe Caslon Pro" w:hAnsi="Adobe Caslon Pro"/>
                <w:noProof/>
                <w:webHidden/>
              </w:rPr>
            </w:r>
            <w:r w:rsidRPr="00994916">
              <w:rPr>
                <w:rFonts w:ascii="Adobe Caslon Pro" w:hAnsi="Adobe Caslon Pro"/>
                <w:noProof/>
                <w:webHidden/>
              </w:rPr>
              <w:fldChar w:fldCharType="separate"/>
            </w:r>
            <w:r w:rsidRPr="00994916">
              <w:rPr>
                <w:rFonts w:ascii="Adobe Caslon Pro" w:hAnsi="Adobe Caslon Pro"/>
                <w:noProof/>
                <w:webHidden/>
              </w:rPr>
              <w:t>11</w:t>
            </w:r>
            <w:r w:rsidRPr="00994916">
              <w:rPr>
                <w:rFonts w:ascii="Adobe Caslon Pro" w:hAnsi="Adobe Caslon Pro"/>
                <w:noProof/>
                <w:webHidden/>
              </w:rPr>
              <w:fldChar w:fldCharType="end"/>
            </w:r>
          </w:hyperlink>
        </w:p>
        <w:p w:rsidR="00994916" w:rsidRPr="00994916" w:rsidRDefault="00994916" w:rsidP="00994916">
          <w:pPr>
            <w:pStyle w:val="TDC1"/>
            <w:tabs>
              <w:tab w:val="right" w:leader="dot" w:pos="9377"/>
            </w:tabs>
            <w:spacing w:after="0" w:line="240" w:lineRule="auto"/>
            <w:rPr>
              <w:rFonts w:ascii="Adobe Caslon Pro" w:eastAsiaTheme="minorEastAsia" w:hAnsi="Adobe Caslon Pro" w:cstheme="minorBidi"/>
              <w:noProof/>
              <w:lang w:eastAsia="es-MX"/>
            </w:rPr>
          </w:pPr>
          <w:hyperlink r:id="rId10" w:anchor="_Toc391925214" w:history="1">
            <w:r w:rsidRPr="00994916">
              <w:rPr>
                <w:rStyle w:val="Hipervnculo"/>
                <w:rFonts w:ascii="Adobe Caslon Pro" w:hAnsi="Adobe Caslon Pro"/>
                <w:noProof/>
              </w:rPr>
              <w:t>2. Diagnóstico</w:t>
            </w:r>
            <w:r w:rsidRPr="00994916">
              <w:rPr>
                <w:rFonts w:ascii="Adobe Caslon Pro" w:hAnsi="Adobe Caslon Pro"/>
                <w:noProof/>
                <w:webHidden/>
              </w:rPr>
              <w:tab/>
            </w:r>
            <w:r w:rsidRPr="00994916">
              <w:rPr>
                <w:rFonts w:ascii="Adobe Caslon Pro" w:hAnsi="Adobe Caslon Pro"/>
                <w:noProof/>
                <w:webHidden/>
              </w:rPr>
              <w:fldChar w:fldCharType="begin"/>
            </w:r>
            <w:r w:rsidRPr="00994916">
              <w:rPr>
                <w:rFonts w:ascii="Adobe Caslon Pro" w:hAnsi="Adobe Caslon Pro"/>
                <w:noProof/>
                <w:webHidden/>
              </w:rPr>
              <w:instrText xml:space="preserve"> PAGEREF _Toc391925214 \h </w:instrText>
            </w:r>
            <w:r w:rsidRPr="00994916">
              <w:rPr>
                <w:rFonts w:ascii="Adobe Caslon Pro" w:hAnsi="Adobe Caslon Pro"/>
                <w:noProof/>
                <w:webHidden/>
              </w:rPr>
            </w:r>
            <w:r w:rsidRPr="00994916">
              <w:rPr>
                <w:rFonts w:ascii="Adobe Caslon Pro" w:hAnsi="Adobe Caslon Pro"/>
                <w:noProof/>
                <w:webHidden/>
              </w:rPr>
              <w:fldChar w:fldCharType="separate"/>
            </w:r>
            <w:r w:rsidRPr="00994916">
              <w:rPr>
                <w:rFonts w:ascii="Adobe Caslon Pro" w:hAnsi="Adobe Caslon Pro"/>
                <w:noProof/>
                <w:webHidden/>
              </w:rPr>
              <w:t>13</w:t>
            </w:r>
            <w:r w:rsidRPr="00994916">
              <w:rPr>
                <w:rFonts w:ascii="Adobe Caslon Pro" w:hAnsi="Adobe Caslon Pro"/>
                <w:noProof/>
                <w:webHidden/>
              </w:rPr>
              <w:fldChar w:fldCharType="end"/>
            </w:r>
          </w:hyperlink>
        </w:p>
        <w:p w:rsidR="00994916" w:rsidRPr="00994916" w:rsidRDefault="00994916" w:rsidP="00994916">
          <w:pPr>
            <w:pStyle w:val="TDC2"/>
            <w:tabs>
              <w:tab w:val="right" w:leader="dot" w:pos="9377"/>
            </w:tabs>
            <w:spacing w:after="0" w:line="240" w:lineRule="auto"/>
            <w:rPr>
              <w:rFonts w:ascii="Adobe Caslon Pro" w:eastAsiaTheme="minorEastAsia" w:hAnsi="Adobe Caslon Pro" w:cstheme="minorBidi"/>
              <w:noProof/>
              <w:lang w:eastAsia="es-MX"/>
            </w:rPr>
          </w:pPr>
          <w:hyperlink w:anchor="_Toc391925215" w:history="1">
            <w:r w:rsidRPr="00994916">
              <w:rPr>
                <w:rStyle w:val="Hipervnculo"/>
                <w:rFonts w:ascii="Adobe Caslon Pro" w:hAnsi="Adobe Caslon Pro"/>
                <w:noProof/>
              </w:rPr>
              <w:t>2.1 Antecedentes</w:t>
            </w:r>
            <w:r w:rsidRPr="00994916">
              <w:rPr>
                <w:rFonts w:ascii="Adobe Caslon Pro" w:hAnsi="Adobe Caslon Pro"/>
                <w:noProof/>
                <w:webHidden/>
              </w:rPr>
              <w:tab/>
            </w:r>
            <w:r w:rsidRPr="00994916">
              <w:rPr>
                <w:rFonts w:ascii="Adobe Caslon Pro" w:hAnsi="Adobe Caslon Pro"/>
                <w:noProof/>
                <w:webHidden/>
              </w:rPr>
              <w:fldChar w:fldCharType="begin"/>
            </w:r>
            <w:r w:rsidRPr="00994916">
              <w:rPr>
                <w:rFonts w:ascii="Adobe Caslon Pro" w:hAnsi="Adobe Caslon Pro"/>
                <w:noProof/>
                <w:webHidden/>
              </w:rPr>
              <w:instrText xml:space="preserve"> PAGEREF _Toc391925215 \h </w:instrText>
            </w:r>
            <w:r w:rsidRPr="00994916">
              <w:rPr>
                <w:rFonts w:ascii="Adobe Caslon Pro" w:hAnsi="Adobe Caslon Pro"/>
                <w:noProof/>
                <w:webHidden/>
              </w:rPr>
            </w:r>
            <w:r w:rsidRPr="00994916">
              <w:rPr>
                <w:rFonts w:ascii="Adobe Caslon Pro" w:hAnsi="Adobe Caslon Pro"/>
                <w:noProof/>
                <w:webHidden/>
              </w:rPr>
              <w:fldChar w:fldCharType="separate"/>
            </w:r>
            <w:r w:rsidRPr="00994916">
              <w:rPr>
                <w:rFonts w:ascii="Adobe Caslon Pro" w:hAnsi="Adobe Caslon Pro"/>
                <w:noProof/>
                <w:webHidden/>
              </w:rPr>
              <w:t>14</w:t>
            </w:r>
            <w:r w:rsidRPr="00994916">
              <w:rPr>
                <w:rFonts w:ascii="Adobe Caslon Pro" w:hAnsi="Adobe Caslon Pro"/>
                <w:noProof/>
                <w:webHidden/>
              </w:rPr>
              <w:fldChar w:fldCharType="end"/>
            </w:r>
          </w:hyperlink>
        </w:p>
        <w:p w:rsidR="00994916" w:rsidRPr="00994916" w:rsidRDefault="00994916" w:rsidP="00994916">
          <w:pPr>
            <w:pStyle w:val="TDC2"/>
            <w:tabs>
              <w:tab w:val="right" w:leader="dot" w:pos="9377"/>
            </w:tabs>
            <w:spacing w:after="0" w:line="240" w:lineRule="auto"/>
            <w:rPr>
              <w:rFonts w:ascii="Adobe Caslon Pro" w:eastAsiaTheme="minorEastAsia" w:hAnsi="Adobe Caslon Pro" w:cstheme="minorBidi"/>
              <w:noProof/>
              <w:lang w:eastAsia="es-MX"/>
            </w:rPr>
          </w:pPr>
          <w:hyperlink w:anchor="_Toc391925216" w:history="1">
            <w:r w:rsidRPr="00994916">
              <w:rPr>
                <w:rStyle w:val="Hipervnculo"/>
                <w:rFonts w:ascii="Adobe Caslon Pro" w:hAnsi="Adobe Caslon Pro"/>
                <w:noProof/>
              </w:rPr>
              <w:t>2.2 Análisis del Problema</w:t>
            </w:r>
            <w:r w:rsidRPr="00994916">
              <w:rPr>
                <w:rFonts w:ascii="Adobe Caslon Pro" w:hAnsi="Adobe Caslon Pro"/>
                <w:noProof/>
                <w:webHidden/>
              </w:rPr>
              <w:tab/>
            </w:r>
            <w:r w:rsidRPr="00994916">
              <w:rPr>
                <w:rFonts w:ascii="Adobe Caslon Pro" w:hAnsi="Adobe Caslon Pro"/>
                <w:noProof/>
                <w:webHidden/>
              </w:rPr>
              <w:fldChar w:fldCharType="begin"/>
            </w:r>
            <w:r w:rsidRPr="00994916">
              <w:rPr>
                <w:rFonts w:ascii="Adobe Caslon Pro" w:hAnsi="Adobe Caslon Pro"/>
                <w:noProof/>
                <w:webHidden/>
              </w:rPr>
              <w:instrText xml:space="preserve"> PAGEREF _Toc391925216 \h </w:instrText>
            </w:r>
            <w:r w:rsidRPr="00994916">
              <w:rPr>
                <w:rFonts w:ascii="Adobe Caslon Pro" w:hAnsi="Adobe Caslon Pro"/>
                <w:noProof/>
                <w:webHidden/>
              </w:rPr>
            </w:r>
            <w:r w:rsidRPr="00994916">
              <w:rPr>
                <w:rFonts w:ascii="Adobe Caslon Pro" w:hAnsi="Adobe Caslon Pro"/>
                <w:noProof/>
                <w:webHidden/>
              </w:rPr>
              <w:fldChar w:fldCharType="separate"/>
            </w:r>
            <w:r w:rsidRPr="00994916">
              <w:rPr>
                <w:rFonts w:ascii="Adobe Caslon Pro" w:hAnsi="Adobe Caslon Pro"/>
                <w:noProof/>
                <w:webHidden/>
              </w:rPr>
              <w:t>17</w:t>
            </w:r>
            <w:r w:rsidRPr="00994916">
              <w:rPr>
                <w:rFonts w:ascii="Adobe Caslon Pro" w:hAnsi="Adobe Caslon Pro"/>
                <w:noProof/>
                <w:webHidden/>
              </w:rPr>
              <w:fldChar w:fldCharType="end"/>
            </w:r>
          </w:hyperlink>
        </w:p>
        <w:p w:rsidR="00994916" w:rsidRPr="00994916" w:rsidRDefault="00994916" w:rsidP="00994916">
          <w:pPr>
            <w:pStyle w:val="TDC3"/>
            <w:tabs>
              <w:tab w:val="right" w:leader="dot" w:pos="9377"/>
            </w:tabs>
            <w:spacing w:after="0" w:line="240" w:lineRule="auto"/>
            <w:rPr>
              <w:rFonts w:ascii="Adobe Caslon Pro" w:eastAsiaTheme="minorEastAsia" w:hAnsi="Adobe Caslon Pro" w:cstheme="minorBidi"/>
              <w:noProof/>
              <w:lang w:eastAsia="es-MX"/>
            </w:rPr>
          </w:pPr>
          <w:hyperlink w:anchor="_Toc391925217" w:history="1">
            <w:r w:rsidRPr="00994916">
              <w:rPr>
                <w:rStyle w:val="Hipervnculo"/>
                <w:rFonts w:ascii="Adobe Caslon Pro" w:hAnsi="Adobe Caslon Pro"/>
                <w:noProof/>
              </w:rPr>
              <w:t>2.2.1 Identificación y descripción del Problema</w:t>
            </w:r>
            <w:r w:rsidRPr="00994916">
              <w:rPr>
                <w:rFonts w:ascii="Adobe Caslon Pro" w:hAnsi="Adobe Caslon Pro"/>
                <w:noProof/>
                <w:webHidden/>
              </w:rPr>
              <w:tab/>
            </w:r>
            <w:r w:rsidRPr="00994916">
              <w:rPr>
                <w:rFonts w:ascii="Adobe Caslon Pro" w:hAnsi="Adobe Caslon Pro"/>
                <w:noProof/>
                <w:webHidden/>
              </w:rPr>
              <w:fldChar w:fldCharType="begin"/>
            </w:r>
            <w:r w:rsidRPr="00994916">
              <w:rPr>
                <w:rFonts w:ascii="Adobe Caslon Pro" w:hAnsi="Adobe Caslon Pro"/>
                <w:noProof/>
                <w:webHidden/>
              </w:rPr>
              <w:instrText xml:space="preserve"> PAGEREF _Toc391925217 \h </w:instrText>
            </w:r>
            <w:r w:rsidRPr="00994916">
              <w:rPr>
                <w:rFonts w:ascii="Adobe Caslon Pro" w:hAnsi="Adobe Caslon Pro"/>
                <w:noProof/>
                <w:webHidden/>
              </w:rPr>
            </w:r>
            <w:r w:rsidRPr="00994916">
              <w:rPr>
                <w:rFonts w:ascii="Adobe Caslon Pro" w:hAnsi="Adobe Caslon Pro"/>
                <w:noProof/>
                <w:webHidden/>
              </w:rPr>
              <w:fldChar w:fldCharType="separate"/>
            </w:r>
            <w:r w:rsidRPr="00994916">
              <w:rPr>
                <w:rFonts w:ascii="Adobe Caslon Pro" w:hAnsi="Adobe Caslon Pro"/>
                <w:noProof/>
                <w:webHidden/>
              </w:rPr>
              <w:t>17</w:t>
            </w:r>
            <w:r w:rsidRPr="00994916">
              <w:rPr>
                <w:rFonts w:ascii="Adobe Caslon Pro" w:hAnsi="Adobe Caslon Pro"/>
                <w:noProof/>
                <w:webHidden/>
              </w:rPr>
              <w:fldChar w:fldCharType="end"/>
            </w:r>
          </w:hyperlink>
        </w:p>
        <w:p w:rsidR="00994916" w:rsidRPr="00994916" w:rsidRDefault="00994916" w:rsidP="00994916">
          <w:pPr>
            <w:pStyle w:val="TDC3"/>
            <w:tabs>
              <w:tab w:val="right" w:leader="dot" w:pos="9377"/>
            </w:tabs>
            <w:spacing w:after="0" w:line="240" w:lineRule="auto"/>
            <w:rPr>
              <w:rFonts w:ascii="Adobe Caslon Pro" w:eastAsiaTheme="minorEastAsia" w:hAnsi="Adobe Caslon Pro" w:cstheme="minorBidi"/>
              <w:noProof/>
              <w:lang w:eastAsia="es-MX"/>
            </w:rPr>
          </w:pPr>
          <w:hyperlink w:anchor="_Toc391925218" w:history="1">
            <w:r w:rsidRPr="00994916">
              <w:rPr>
                <w:rStyle w:val="Hipervnculo"/>
                <w:rFonts w:ascii="Adobe Caslon Pro" w:hAnsi="Adobe Caslon Pro"/>
                <w:noProof/>
              </w:rPr>
              <w:t>2.2.2 Árbol del Problema</w:t>
            </w:r>
            <w:r w:rsidRPr="00994916">
              <w:rPr>
                <w:rFonts w:ascii="Adobe Caslon Pro" w:hAnsi="Adobe Caslon Pro"/>
                <w:noProof/>
                <w:webHidden/>
              </w:rPr>
              <w:tab/>
            </w:r>
            <w:r w:rsidRPr="00994916">
              <w:rPr>
                <w:rFonts w:ascii="Adobe Caslon Pro" w:hAnsi="Adobe Caslon Pro"/>
                <w:noProof/>
                <w:webHidden/>
              </w:rPr>
              <w:fldChar w:fldCharType="begin"/>
            </w:r>
            <w:r w:rsidRPr="00994916">
              <w:rPr>
                <w:rFonts w:ascii="Adobe Caslon Pro" w:hAnsi="Adobe Caslon Pro"/>
                <w:noProof/>
                <w:webHidden/>
              </w:rPr>
              <w:instrText xml:space="preserve"> PAGEREF _Toc391925218 \h </w:instrText>
            </w:r>
            <w:r w:rsidRPr="00994916">
              <w:rPr>
                <w:rFonts w:ascii="Adobe Caslon Pro" w:hAnsi="Adobe Caslon Pro"/>
                <w:noProof/>
                <w:webHidden/>
              </w:rPr>
            </w:r>
            <w:r w:rsidRPr="00994916">
              <w:rPr>
                <w:rFonts w:ascii="Adobe Caslon Pro" w:hAnsi="Adobe Caslon Pro"/>
                <w:noProof/>
                <w:webHidden/>
              </w:rPr>
              <w:fldChar w:fldCharType="separate"/>
            </w:r>
            <w:r w:rsidRPr="00994916">
              <w:rPr>
                <w:rFonts w:ascii="Adobe Caslon Pro" w:hAnsi="Adobe Caslon Pro"/>
                <w:noProof/>
                <w:webHidden/>
              </w:rPr>
              <w:t>19</w:t>
            </w:r>
            <w:r w:rsidRPr="00994916">
              <w:rPr>
                <w:rFonts w:ascii="Adobe Caslon Pro" w:hAnsi="Adobe Caslon Pro"/>
                <w:noProof/>
                <w:webHidden/>
              </w:rPr>
              <w:fldChar w:fldCharType="end"/>
            </w:r>
          </w:hyperlink>
        </w:p>
        <w:p w:rsidR="00994916" w:rsidRPr="00994916" w:rsidRDefault="00994916" w:rsidP="00994916">
          <w:pPr>
            <w:pStyle w:val="TDC3"/>
            <w:tabs>
              <w:tab w:val="right" w:leader="dot" w:pos="9377"/>
            </w:tabs>
            <w:spacing w:after="0" w:line="240" w:lineRule="auto"/>
            <w:rPr>
              <w:rFonts w:ascii="Adobe Caslon Pro" w:eastAsiaTheme="minorEastAsia" w:hAnsi="Adobe Caslon Pro" w:cstheme="minorBidi"/>
              <w:noProof/>
              <w:lang w:eastAsia="es-MX"/>
            </w:rPr>
          </w:pPr>
          <w:hyperlink w:anchor="_Toc391925219" w:history="1">
            <w:r w:rsidRPr="00994916">
              <w:rPr>
                <w:rStyle w:val="Hipervnculo"/>
                <w:rFonts w:ascii="Adobe Caslon Pro" w:hAnsi="Adobe Caslon Pro"/>
                <w:noProof/>
              </w:rPr>
              <w:t>2.2.3 Las causas del problema</w:t>
            </w:r>
            <w:r w:rsidRPr="00994916">
              <w:rPr>
                <w:rFonts w:ascii="Adobe Caslon Pro" w:hAnsi="Adobe Caslon Pro"/>
                <w:noProof/>
                <w:webHidden/>
              </w:rPr>
              <w:tab/>
            </w:r>
            <w:r w:rsidRPr="00994916">
              <w:rPr>
                <w:rFonts w:ascii="Adobe Caslon Pro" w:hAnsi="Adobe Caslon Pro"/>
                <w:noProof/>
                <w:webHidden/>
              </w:rPr>
              <w:fldChar w:fldCharType="begin"/>
            </w:r>
            <w:r w:rsidRPr="00994916">
              <w:rPr>
                <w:rFonts w:ascii="Adobe Caslon Pro" w:hAnsi="Adobe Caslon Pro"/>
                <w:noProof/>
                <w:webHidden/>
              </w:rPr>
              <w:instrText xml:space="preserve"> PAGEREF _Toc391925219 \h </w:instrText>
            </w:r>
            <w:r w:rsidRPr="00994916">
              <w:rPr>
                <w:rFonts w:ascii="Adobe Caslon Pro" w:hAnsi="Adobe Caslon Pro"/>
                <w:noProof/>
                <w:webHidden/>
              </w:rPr>
            </w:r>
            <w:r w:rsidRPr="00994916">
              <w:rPr>
                <w:rFonts w:ascii="Adobe Caslon Pro" w:hAnsi="Adobe Caslon Pro"/>
                <w:noProof/>
                <w:webHidden/>
              </w:rPr>
              <w:fldChar w:fldCharType="separate"/>
            </w:r>
            <w:r w:rsidRPr="00994916">
              <w:rPr>
                <w:rFonts w:ascii="Adobe Caslon Pro" w:hAnsi="Adobe Caslon Pro"/>
                <w:noProof/>
                <w:webHidden/>
              </w:rPr>
              <w:t>22</w:t>
            </w:r>
            <w:r w:rsidRPr="00994916">
              <w:rPr>
                <w:rFonts w:ascii="Adobe Caslon Pro" w:hAnsi="Adobe Caslon Pro"/>
                <w:noProof/>
                <w:webHidden/>
              </w:rPr>
              <w:fldChar w:fldCharType="end"/>
            </w:r>
          </w:hyperlink>
        </w:p>
        <w:p w:rsidR="00994916" w:rsidRPr="00994916" w:rsidRDefault="00994916" w:rsidP="00994916">
          <w:pPr>
            <w:pStyle w:val="TDC3"/>
            <w:tabs>
              <w:tab w:val="right" w:leader="dot" w:pos="9377"/>
            </w:tabs>
            <w:spacing w:after="0" w:line="240" w:lineRule="auto"/>
            <w:rPr>
              <w:rFonts w:ascii="Adobe Caslon Pro" w:eastAsiaTheme="minorEastAsia" w:hAnsi="Adobe Caslon Pro" w:cstheme="minorBidi"/>
              <w:noProof/>
              <w:lang w:eastAsia="es-MX"/>
            </w:rPr>
          </w:pPr>
          <w:hyperlink w:anchor="_Toc391925220" w:history="1">
            <w:r w:rsidRPr="00994916">
              <w:rPr>
                <w:rStyle w:val="Hipervnculo"/>
                <w:rFonts w:ascii="Adobe Caslon Pro" w:hAnsi="Adobe Caslon Pro"/>
                <w:noProof/>
              </w:rPr>
              <w:t>2.2.4 Los efectos del Problema</w:t>
            </w:r>
            <w:r w:rsidRPr="00994916">
              <w:rPr>
                <w:rFonts w:ascii="Adobe Caslon Pro" w:hAnsi="Adobe Caslon Pro"/>
                <w:noProof/>
                <w:webHidden/>
              </w:rPr>
              <w:tab/>
            </w:r>
            <w:r w:rsidRPr="00994916">
              <w:rPr>
                <w:rFonts w:ascii="Adobe Caslon Pro" w:hAnsi="Adobe Caslon Pro"/>
                <w:noProof/>
                <w:webHidden/>
              </w:rPr>
              <w:fldChar w:fldCharType="begin"/>
            </w:r>
            <w:r w:rsidRPr="00994916">
              <w:rPr>
                <w:rFonts w:ascii="Adobe Caslon Pro" w:hAnsi="Adobe Caslon Pro"/>
                <w:noProof/>
                <w:webHidden/>
              </w:rPr>
              <w:instrText xml:space="preserve"> PAGEREF _Toc391925220 \h </w:instrText>
            </w:r>
            <w:r w:rsidRPr="00994916">
              <w:rPr>
                <w:rFonts w:ascii="Adobe Caslon Pro" w:hAnsi="Adobe Caslon Pro"/>
                <w:noProof/>
                <w:webHidden/>
              </w:rPr>
            </w:r>
            <w:r w:rsidRPr="00994916">
              <w:rPr>
                <w:rFonts w:ascii="Adobe Caslon Pro" w:hAnsi="Adobe Caslon Pro"/>
                <w:noProof/>
                <w:webHidden/>
              </w:rPr>
              <w:fldChar w:fldCharType="separate"/>
            </w:r>
            <w:r w:rsidRPr="00994916">
              <w:rPr>
                <w:rFonts w:ascii="Adobe Caslon Pro" w:hAnsi="Adobe Caslon Pro"/>
                <w:noProof/>
                <w:webHidden/>
              </w:rPr>
              <w:t>41</w:t>
            </w:r>
            <w:r w:rsidRPr="00994916">
              <w:rPr>
                <w:rFonts w:ascii="Adobe Caslon Pro" w:hAnsi="Adobe Caslon Pro"/>
                <w:noProof/>
                <w:webHidden/>
              </w:rPr>
              <w:fldChar w:fldCharType="end"/>
            </w:r>
          </w:hyperlink>
        </w:p>
        <w:p w:rsidR="00994916" w:rsidRPr="00994916" w:rsidRDefault="00994916" w:rsidP="00994916">
          <w:pPr>
            <w:pStyle w:val="TDC3"/>
            <w:tabs>
              <w:tab w:val="right" w:leader="dot" w:pos="9377"/>
            </w:tabs>
            <w:spacing w:after="0" w:line="240" w:lineRule="auto"/>
            <w:rPr>
              <w:rFonts w:ascii="Adobe Caslon Pro" w:eastAsiaTheme="minorEastAsia" w:hAnsi="Adobe Caslon Pro" w:cstheme="minorBidi"/>
              <w:noProof/>
              <w:lang w:eastAsia="es-MX"/>
            </w:rPr>
          </w:pPr>
          <w:hyperlink w:anchor="_Toc391925221" w:history="1">
            <w:r w:rsidRPr="00994916">
              <w:rPr>
                <w:rStyle w:val="Hipervnculo"/>
                <w:rFonts w:ascii="Adobe Caslon Pro" w:hAnsi="Adobe Caslon Pro" w:cs="Arial"/>
                <w:noProof/>
              </w:rPr>
              <w:t>2.2.5 Magnitud actual del Problema</w:t>
            </w:r>
            <w:r w:rsidRPr="00994916">
              <w:rPr>
                <w:rFonts w:ascii="Adobe Caslon Pro" w:hAnsi="Adobe Caslon Pro"/>
                <w:noProof/>
                <w:webHidden/>
              </w:rPr>
              <w:tab/>
            </w:r>
            <w:r w:rsidRPr="00994916">
              <w:rPr>
                <w:rFonts w:ascii="Adobe Caslon Pro" w:hAnsi="Adobe Caslon Pro"/>
                <w:noProof/>
                <w:webHidden/>
              </w:rPr>
              <w:fldChar w:fldCharType="begin"/>
            </w:r>
            <w:r w:rsidRPr="00994916">
              <w:rPr>
                <w:rFonts w:ascii="Adobe Caslon Pro" w:hAnsi="Adobe Caslon Pro"/>
                <w:noProof/>
                <w:webHidden/>
              </w:rPr>
              <w:instrText xml:space="preserve"> PAGEREF _Toc391925221 \h </w:instrText>
            </w:r>
            <w:r w:rsidRPr="00994916">
              <w:rPr>
                <w:rFonts w:ascii="Adobe Caslon Pro" w:hAnsi="Adobe Caslon Pro"/>
                <w:noProof/>
                <w:webHidden/>
              </w:rPr>
            </w:r>
            <w:r w:rsidRPr="00994916">
              <w:rPr>
                <w:rFonts w:ascii="Adobe Caslon Pro" w:hAnsi="Adobe Caslon Pro"/>
                <w:noProof/>
                <w:webHidden/>
              </w:rPr>
              <w:fldChar w:fldCharType="separate"/>
            </w:r>
            <w:r w:rsidRPr="00994916">
              <w:rPr>
                <w:rFonts w:ascii="Adobe Caslon Pro" w:hAnsi="Adobe Caslon Pro"/>
                <w:noProof/>
                <w:webHidden/>
              </w:rPr>
              <w:t>51</w:t>
            </w:r>
            <w:r w:rsidRPr="00994916">
              <w:rPr>
                <w:rFonts w:ascii="Adobe Caslon Pro" w:hAnsi="Adobe Caslon Pro"/>
                <w:noProof/>
                <w:webHidden/>
              </w:rPr>
              <w:fldChar w:fldCharType="end"/>
            </w:r>
          </w:hyperlink>
        </w:p>
        <w:p w:rsidR="00994916" w:rsidRPr="00994916" w:rsidRDefault="00994916" w:rsidP="00994916">
          <w:pPr>
            <w:pStyle w:val="TDC2"/>
            <w:tabs>
              <w:tab w:val="right" w:leader="dot" w:pos="9377"/>
            </w:tabs>
            <w:spacing w:after="0" w:line="240" w:lineRule="auto"/>
            <w:rPr>
              <w:rFonts w:ascii="Adobe Caslon Pro" w:eastAsiaTheme="minorEastAsia" w:hAnsi="Adobe Caslon Pro" w:cstheme="minorBidi"/>
              <w:noProof/>
              <w:lang w:eastAsia="es-MX"/>
            </w:rPr>
          </w:pPr>
          <w:hyperlink w:anchor="_Toc391925222" w:history="1">
            <w:r w:rsidRPr="00994916">
              <w:rPr>
                <w:rStyle w:val="Hipervnculo"/>
                <w:rFonts w:ascii="Adobe Caslon Pro" w:hAnsi="Adobe Caslon Pro"/>
                <w:noProof/>
              </w:rPr>
              <w:t>2.3 Definición, identificación, cuantificación y caracterización de la población potencial</w:t>
            </w:r>
            <w:r w:rsidRPr="00994916">
              <w:rPr>
                <w:rFonts w:ascii="Adobe Caslon Pro" w:hAnsi="Adobe Caslon Pro"/>
                <w:noProof/>
                <w:webHidden/>
              </w:rPr>
              <w:tab/>
            </w:r>
            <w:r w:rsidRPr="00994916">
              <w:rPr>
                <w:rFonts w:ascii="Adobe Caslon Pro" w:hAnsi="Adobe Caslon Pro"/>
                <w:noProof/>
                <w:webHidden/>
              </w:rPr>
              <w:fldChar w:fldCharType="begin"/>
            </w:r>
            <w:r w:rsidRPr="00994916">
              <w:rPr>
                <w:rFonts w:ascii="Adobe Caslon Pro" w:hAnsi="Adobe Caslon Pro"/>
                <w:noProof/>
                <w:webHidden/>
              </w:rPr>
              <w:instrText xml:space="preserve"> PAGEREF _Toc391925222 \h </w:instrText>
            </w:r>
            <w:r w:rsidRPr="00994916">
              <w:rPr>
                <w:rFonts w:ascii="Adobe Caslon Pro" w:hAnsi="Adobe Caslon Pro"/>
                <w:noProof/>
                <w:webHidden/>
              </w:rPr>
            </w:r>
            <w:r w:rsidRPr="00994916">
              <w:rPr>
                <w:rFonts w:ascii="Adobe Caslon Pro" w:hAnsi="Adobe Caslon Pro"/>
                <w:noProof/>
                <w:webHidden/>
              </w:rPr>
              <w:fldChar w:fldCharType="separate"/>
            </w:r>
            <w:r w:rsidRPr="00994916">
              <w:rPr>
                <w:rFonts w:ascii="Adobe Caslon Pro" w:hAnsi="Adobe Caslon Pro"/>
                <w:noProof/>
                <w:webHidden/>
              </w:rPr>
              <w:t>53</w:t>
            </w:r>
            <w:r w:rsidRPr="00994916">
              <w:rPr>
                <w:rFonts w:ascii="Adobe Caslon Pro" w:hAnsi="Adobe Caslon Pro"/>
                <w:noProof/>
                <w:webHidden/>
              </w:rPr>
              <w:fldChar w:fldCharType="end"/>
            </w:r>
          </w:hyperlink>
        </w:p>
        <w:p w:rsidR="00994916" w:rsidRPr="00994916" w:rsidRDefault="00994916" w:rsidP="00994916">
          <w:pPr>
            <w:pStyle w:val="TDC2"/>
            <w:tabs>
              <w:tab w:val="right" w:leader="dot" w:pos="9377"/>
            </w:tabs>
            <w:spacing w:after="0" w:line="240" w:lineRule="auto"/>
            <w:rPr>
              <w:rFonts w:ascii="Adobe Caslon Pro" w:eastAsiaTheme="minorEastAsia" w:hAnsi="Adobe Caslon Pro" w:cstheme="minorBidi"/>
              <w:noProof/>
              <w:lang w:eastAsia="es-MX"/>
            </w:rPr>
          </w:pPr>
          <w:hyperlink w:anchor="_Toc391925223" w:history="1">
            <w:r w:rsidRPr="00994916">
              <w:rPr>
                <w:rStyle w:val="Hipervnculo"/>
                <w:rFonts w:ascii="Adobe Caslon Pro" w:hAnsi="Adobe Caslon Pro"/>
                <w:noProof/>
              </w:rPr>
              <w:t>2.4 Definición, identificación, cuantificación y caracterización de la población objetivo</w:t>
            </w:r>
            <w:r w:rsidRPr="00994916">
              <w:rPr>
                <w:rFonts w:ascii="Adobe Caslon Pro" w:hAnsi="Adobe Caslon Pro"/>
                <w:noProof/>
                <w:webHidden/>
              </w:rPr>
              <w:tab/>
            </w:r>
            <w:r w:rsidRPr="00994916">
              <w:rPr>
                <w:rFonts w:ascii="Adobe Caslon Pro" w:hAnsi="Adobe Caslon Pro"/>
                <w:noProof/>
                <w:webHidden/>
              </w:rPr>
              <w:fldChar w:fldCharType="begin"/>
            </w:r>
            <w:r w:rsidRPr="00994916">
              <w:rPr>
                <w:rFonts w:ascii="Adobe Caslon Pro" w:hAnsi="Adobe Caslon Pro"/>
                <w:noProof/>
                <w:webHidden/>
              </w:rPr>
              <w:instrText xml:space="preserve"> PAGEREF _Toc391925223 \h </w:instrText>
            </w:r>
            <w:r w:rsidRPr="00994916">
              <w:rPr>
                <w:rFonts w:ascii="Adobe Caslon Pro" w:hAnsi="Adobe Caslon Pro"/>
                <w:noProof/>
                <w:webHidden/>
              </w:rPr>
            </w:r>
            <w:r w:rsidRPr="00994916">
              <w:rPr>
                <w:rFonts w:ascii="Adobe Caslon Pro" w:hAnsi="Adobe Caslon Pro"/>
                <w:noProof/>
                <w:webHidden/>
              </w:rPr>
              <w:fldChar w:fldCharType="separate"/>
            </w:r>
            <w:r w:rsidRPr="00994916">
              <w:rPr>
                <w:rFonts w:ascii="Adobe Caslon Pro" w:hAnsi="Adobe Caslon Pro"/>
                <w:noProof/>
                <w:webHidden/>
              </w:rPr>
              <w:t>60</w:t>
            </w:r>
            <w:r w:rsidRPr="00994916">
              <w:rPr>
                <w:rFonts w:ascii="Adobe Caslon Pro" w:hAnsi="Adobe Caslon Pro"/>
                <w:noProof/>
                <w:webHidden/>
              </w:rPr>
              <w:fldChar w:fldCharType="end"/>
            </w:r>
          </w:hyperlink>
        </w:p>
        <w:p w:rsidR="00994916" w:rsidRPr="00994916" w:rsidRDefault="00994916" w:rsidP="00994916">
          <w:pPr>
            <w:pStyle w:val="TDC2"/>
            <w:tabs>
              <w:tab w:val="right" w:leader="dot" w:pos="9377"/>
            </w:tabs>
            <w:spacing w:after="0" w:line="240" w:lineRule="auto"/>
            <w:rPr>
              <w:rFonts w:ascii="Adobe Caslon Pro" w:eastAsiaTheme="minorEastAsia" w:hAnsi="Adobe Caslon Pro" w:cstheme="minorBidi"/>
              <w:noProof/>
              <w:lang w:eastAsia="es-MX"/>
            </w:rPr>
          </w:pPr>
          <w:hyperlink w:anchor="_Toc391925224" w:history="1">
            <w:r w:rsidRPr="00994916">
              <w:rPr>
                <w:rStyle w:val="Hipervnculo"/>
                <w:rFonts w:ascii="Adobe Caslon Pro" w:hAnsi="Adobe Caslon Pro"/>
                <w:noProof/>
              </w:rPr>
              <w:t>2.5 Conclusiones del diagnóstico</w:t>
            </w:r>
            <w:r w:rsidRPr="00994916">
              <w:rPr>
                <w:rFonts w:ascii="Adobe Caslon Pro" w:hAnsi="Adobe Caslon Pro"/>
                <w:noProof/>
                <w:webHidden/>
              </w:rPr>
              <w:tab/>
            </w:r>
            <w:r w:rsidRPr="00994916">
              <w:rPr>
                <w:rFonts w:ascii="Adobe Caslon Pro" w:hAnsi="Adobe Caslon Pro"/>
                <w:noProof/>
                <w:webHidden/>
              </w:rPr>
              <w:fldChar w:fldCharType="begin"/>
            </w:r>
            <w:r w:rsidRPr="00994916">
              <w:rPr>
                <w:rFonts w:ascii="Adobe Caslon Pro" w:hAnsi="Adobe Caslon Pro"/>
                <w:noProof/>
                <w:webHidden/>
              </w:rPr>
              <w:instrText xml:space="preserve"> PAGEREF _Toc391925224 \h </w:instrText>
            </w:r>
            <w:r w:rsidRPr="00994916">
              <w:rPr>
                <w:rFonts w:ascii="Adobe Caslon Pro" w:hAnsi="Adobe Caslon Pro"/>
                <w:noProof/>
                <w:webHidden/>
              </w:rPr>
            </w:r>
            <w:r w:rsidRPr="00994916">
              <w:rPr>
                <w:rFonts w:ascii="Adobe Caslon Pro" w:hAnsi="Adobe Caslon Pro"/>
                <w:noProof/>
                <w:webHidden/>
              </w:rPr>
              <w:fldChar w:fldCharType="separate"/>
            </w:r>
            <w:r w:rsidRPr="00994916">
              <w:rPr>
                <w:rFonts w:ascii="Adobe Caslon Pro" w:hAnsi="Adobe Caslon Pro"/>
                <w:noProof/>
                <w:webHidden/>
              </w:rPr>
              <w:t>69</w:t>
            </w:r>
            <w:r w:rsidRPr="00994916">
              <w:rPr>
                <w:rFonts w:ascii="Adobe Caslon Pro" w:hAnsi="Adobe Caslon Pro"/>
                <w:noProof/>
                <w:webHidden/>
              </w:rPr>
              <w:fldChar w:fldCharType="end"/>
            </w:r>
          </w:hyperlink>
        </w:p>
        <w:p w:rsidR="00994916" w:rsidRPr="00994916" w:rsidRDefault="00994916" w:rsidP="00994916">
          <w:pPr>
            <w:pStyle w:val="TDC1"/>
            <w:tabs>
              <w:tab w:val="right" w:leader="dot" w:pos="9377"/>
            </w:tabs>
            <w:spacing w:after="0" w:line="240" w:lineRule="auto"/>
            <w:rPr>
              <w:rFonts w:ascii="Adobe Caslon Pro" w:eastAsiaTheme="minorEastAsia" w:hAnsi="Adobe Caslon Pro" w:cstheme="minorBidi"/>
              <w:noProof/>
              <w:lang w:eastAsia="es-MX"/>
            </w:rPr>
          </w:pPr>
          <w:hyperlink r:id="rId11" w:anchor="_Toc391925225" w:history="1">
            <w:r w:rsidRPr="00994916">
              <w:rPr>
                <w:rStyle w:val="Hipervnculo"/>
                <w:rFonts w:ascii="Adobe Caslon Pro" w:hAnsi="Adobe Caslon Pro"/>
                <w:noProof/>
              </w:rPr>
              <w:t>3. Propuesta de Atención</w:t>
            </w:r>
            <w:r w:rsidRPr="00994916">
              <w:rPr>
                <w:rFonts w:ascii="Adobe Caslon Pro" w:hAnsi="Adobe Caslon Pro"/>
                <w:noProof/>
                <w:webHidden/>
              </w:rPr>
              <w:tab/>
            </w:r>
            <w:r w:rsidRPr="00994916">
              <w:rPr>
                <w:rFonts w:ascii="Adobe Caslon Pro" w:hAnsi="Adobe Caslon Pro"/>
                <w:noProof/>
                <w:webHidden/>
              </w:rPr>
              <w:fldChar w:fldCharType="begin"/>
            </w:r>
            <w:r w:rsidRPr="00994916">
              <w:rPr>
                <w:rFonts w:ascii="Adobe Caslon Pro" w:hAnsi="Adobe Caslon Pro"/>
                <w:noProof/>
                <w:webHidden/>
              </w:rPr>
              <w:instrText xml:space="preserve"> PAGEREF _Toc391925225 \h </w:instrText>
            </w:r>
            <w:r w:rsidRPr="00994916">
              <w:rPr>
                <w:rFonts w:ascii="Adobe Caslon Pro" w:hAnsi="Adobe Caslon Pro"/>
                <w:noProof/>
                <w:webHidden/>
              </w:rPr>
            </w:r>
            <w:r w:rsidRPr="00994916">
              <w:rPr>
                <w:rFonts w:ascii="Adobe Caslon Pro" w:hAnsi="Adobe Caslon Pro"/>
                <w:noProof/>
                <w:webHidden/>
              </w:rPr>
              <w:fldChar w:fldCharType="separate"/>
            </w:r>
            <w:r w:rsidRPr="00994916">
              <w:rPr>
                <w:rFonts w:ascii="Adobe Caslon Pro" w:hAnsi="Adobe Caslon Pro"/>
                <w:noProof/>
                <w:webHidden/>
              </w:rPr>
              <w:t>71</w:t>
            </w:r>
            <w:r w:rsidRPr="00994916">
              <w:rPr>
                <w:rFonts w:ascii="Adobe Caslon Pro" w:hAnsi="Adobe Caslon Pro"/>
                <w:noProof/>
                <w:webHidden/>
              </w:rPr>
              <w:fldChar w:fldCharType="end"/>
            </w:r>
          </w:hyperlink>
        </w:p>
        <w:p w:rsidR="00994916" w:rsidRPr="00994916" w:rsidRDefault="00994916" w:rsidP="00994916">
          <w:pPr>
            <w:pStyle w:val="TDC2"/>
            <w:tabs>
              <w:tab w:val="right" w:leader="dot" w:pos="9377"/>
            </w:tabs>
            <w:spacing w:after="0" w:line="240" w:lineRule="auto"/>
            <w:rPr>
              <w:rFonts w:ascii="Adobe Caslon Pro" w:eastAsiaTheme="minorEastAsia" w:hAnsi="Adobe Caslon Pro" w:cstheme="minorBidi"/>
              <w:noProof/>
              <w:lang w:eastAsia="es-MX"/>
            </w:rPr>
          </w:pPr>
          <w:hyperlink w:anchor="_Toc391925226" w:history="1">
            <w:r w:rsidRPr="00994916">
              <w:rPr>
                <w:rStyle w:val="Hipervnculo"/>
                <w:rFonts w:ascii="Adobe Caslon Pro" w:eastAsiaTheme="minorHAnsi" w:hAnsi="Adobe Caslon Pro"/>
                <w:noProof/>
              </w:rPr>
              <w:t>3.1 Análisis del marco normativo</w:t>
            </w:r>
            <w:r w:rsidRPr="00994916">
              <w:rPr>
                <w:rFonts w:ascii="Adobe Caslon Pro" w:hAnsi="Adobe Caslon Pro"/>
                <w:noProof/>
                <w:webHidden/>
              </w:rPr>
              <w:tab/>
            </w:r>
            <w:r w:rsidRPr="00994916">
              <w:rPr>
                <w:rFonts w:ascii="Adobe Caslon Pro" w:hAnsi="Adobe Caslon Pro"/>
                <w:noProof/>
                <w:webHidden/>
              </w:rPr>
              <w:fldChar w:fldCharType="begin"/>
            </w:r>
            <w:r w:rsidRPr="00994916">
              <w:rPr>
                <w:rFonts w:ascii="Adobe Caslon Pro" w:hAnsi="Adobe Caslon Pro"/>
                <w:noProof/>
                <w:webHidden/>
              </w:rPr>
              <w:instrText xml:space="preserve"> PAGEREF _Toc391925226 \h </w:instrText>
            </w:r>
            <w:r w:rsidRPr="00994916">
              <w:rPr>
                <w:rFonts w:ascii="Adobe Caslon Pro" w:hAnsi="Adobe Caslon Pro"/>
                <w:noProof/>
                <w:webHidden/>
              </w:rPr>
            </w:r>
            <w:r w:rsidRPr="00994916">
              <w:rPr>
                <w:rFonts w:ascii="Adobe Caslon Pro" w:hAnsi="Adobe Caslon Pro"/>
                <w:noProof/>
                <w:webHidden/>
              </w:rPr>
              <w:fldChar w:fldCharType="separate"/>
            </w:r>
            <w:r w:rsidRPr="00994916">
              <w:rPr>
                <w:rFonts w:ascii="Adobe Caslon Pro" w:hAnsi="Adobe Caslon Pro"/>
                <w:noProof/>
                <w:webHidden/>
              </w:rPr>
              <w:t>83</w:t>
            </w:r>
            <w:r w:rsidRPr="00994916">
              <w:rPr>
                <w:rFonts w:ascii="Adobe Caslon Pro" w:hAnsi="Adobe Caslon Pro"/>
                <w:noProof/>
                <w:webHidden/>
              </w:rPr>
              <w:fldChar w:fldCharType="end"/>
            </w:r>
          </w:hyperlink>
        </w:p>
        <w:p w:rsidR="00994916" w:rsidRPr="00994916" w:rsidRDefault="00994916" w:rsidP="00994916">
          <w:pPr>
            <w:pStyle w:val="TDC2"/>
            <w:tabs>
              <w:tab w:val="right" w:leader="dot" w:pos="9377"/>
            </w:tabs>
            <w:spacing w:after="0" w:line="240" w:lineRule="auto"/>
            <w:rPr>
              <w:rFonts w:ascii="Adobe Caslon Pro" w:eastAsiaTheme="minorEastAsia" w:hAnsi="Adobe Caslon Pro" w:cstheme="minorBidi"/>
              <w:noProof/>
              <w:lang w:eastAsia="es-MX"/>
            </w:rPr>
          </w:pPr>
          <w:hyperlink w:anchor="_Toc391925227" w:history="1">
            <w:r w:rsidRPr="00994916">
              <w:rPr>
                <w:rStyle w:val="Hipervnculo"/>
                <w:rFonts w:ascii="Adobe Caslon Pro" w:eastAsiaTheme="minorHAnsi" w:hAnsi="Adobe Caslon Pro"/>
                <w:noProof/>
              </w:rPr>
              <w:t>3.2 Análisis de experiencias exitosas</w:t>
            </w:r>
            <w:r w:rsidRPr="00994916">
              <w:rPr>
                <w:rFonts w:ascii="Adobe Caslon Pro" w:hAnsi="Adobe Caslon Pro"/>
                <w:noProof/>
                <w:webHidden/>
              </w:rPr>
              <w:tab/>
            </w:r>
            <w:r w:rsidRPr="00994916">
              <w:rPr>
                <w:rFonts w:ascii="Adobe Caslon Pro" w:hAnsi="Adobe Caslon Pro"/>
                <w:noProof/>
                <w:webHidden/>
              </w:rPr>
              <w:fldChar w:fldCharType="begin"/>
            </w:r>
            <w:r w:rsidRPr="00994916">
              <w:rPr>
                <w:rFonts w:ascii="Adobe Caslon Pro" w:hAnsi="Adobe Caslon Pro"/>
                <w:noProof/>
                <w:webHidden/>
              </w:rPr>
              <w:instrText xml:space="preserve"> PAGEREF _Toc391925227 \h </w:instrText>
            </w:r>
            <w:r w:rsidRPr="00994916">
              <w:rPr>
                <w:rFonts w:ascii="Adobe Caslon Pro" w:hAnsi="Adobe Caslon Pro"/>
                <w:noProof/>
                <w:webHidden/>
              </w:rPr>
            </w:r>
            <w:r w:rsidRPr="00994916">
              <w:rPr>
                <w:rFonts w:ascii="Adobe Caslon Pro" w:hAnsi="Adobe Caslon Pro"/>
                <w:noProof/>
                <w:webHidden/>
              </w:rPr>
              <w:fldChar w:fldCharType="separate"/>
            </w:r>
            <w:r w:rsidRPr="00994916">
              <w:rPr>
                <w:rFonts w:ascii="Adobe Caslon Pro" w:hAnsi="Adobe Caslon Pro"/>
                <w:noProof/>
                <w:webHidden/>
              </w:rPr>
              <w:t>90</w:t>
            </w:r>
            <w:r w:rsidRPr="00994916">
              <w:rPr>
                <w:rFonts w:ascii="Adobe Caslon Pro" w:hAnsi="Adobe Caslon Pro"/>
                <w:noProof/>
                <w:webHidden/>
              </w:rPr>
              <w:fldChar w:fldCharType="end"/>
            </w:r>
          </w:hyperlink>
        </w:p>
        <w:p w:rsidR="00994916" w:rsidRPr="00994916" w:rsidRDefault="00994916" w:rsidP="00994916">
          <w:pPr>
            <w:pStyle w:val="TDC3"/>
            <w:tabs>
              <w:tab w:val="right" w:leader="dot" w:pos="9377"/>
            </w:tabs>
            <w:spacing w:after="0" w:line="240" w:lineRule="auto"/>
            <w:rPr>
              <w:rFonts w:ascii="Adobe Caslon Pro" w:eastAsiaTheme="minorEastAsia" w:hAnsi="Adobe Caslon Pro" w:cstheme="minorBidi"/>
              <w:noProof/>
              <w:lang w:eastAsia="es-MX"/>
            </w:rPr>
          </w:pPr>
          <w:hyperlink w:anchor="_Toc391925228" w:history="1">
            <w:r w:rsidRPr="00994916">
              <w:rPr>
                <w:rStyle w:val="Hipervnculo"/>
                <w:rFonts w:ascii="Adobe Caslon Pro" w:hAnsi="Adobe Caslon Pro"/>
                <w:noProof/>
              </w:rPr>
              <w:t>3.2.1 Caso en India</w:t>
            </w:r>
            <w:r w:rsidRPr="00994916">
              <w:rPr>
                <w:rFonts w:ascii="Adobe Caslon Pro" w:hAnsi="Adobe Caslon Pro"/>
                <w:noProof/>
                <w:webHidden/>
              </w:rPr>
              <w:tab/>
            </w:r>
            <w:r w:rsidRPr="00994916">
              <w:rPr>
                <w:rFonts w:ascii="Adobe Caslon Pro" w:hAnsi="Adobe Caslon Pro"/>
                <w:noProof/>
                <w:webHidden/>
              </w:rPr>
              <w:fldChar w:fldCharType="begin"/>
            </w:r>
            <w:r w:rsidRPr="00994916">
              <w:rPr>
                <w:rFonts w:ascii="Adobe Caslon Pro" w:hAnsi="Adobe Caslon Pro"/>
                <w:noProof/>
                <w:webHidden/>
              </w:rPr>
              <w:instrText xml:space="preserve"> PAGEREF _Toc391925228 \h </w:instrText>
            </w:r>
            <w:r w:rsidRPr="00994916">
              <w:rPr>
                <w:rFonts w:ascii="Adobe Caslon Pro" w:hAnsi="Adobe Caslon Pro"/>
                <w:noProof/>
                <w:webHidden/>
              </w:rPr>
            </w:r>
            <w:r w:rsidRPr="00994916">
              <w:rPr>
                <w:rFonts w:ascii="Adobe Caslon Pro" w:hAnsi="Adobe Caslon Pro"/>
                <w:noProof/>
                <w:webHidden/>
              </w:rPr>
              <w:fldChar w:fldCharType="separate"/>
            </w:r>
            <w:r w:rsidRPr="00994916">
              <w:rPr>
                <w:rFonts w:ascii="Adobe Caslon Pro" w:hAnsi="Adobe Caslon Pro"/>
                <w:noProof/>
                <w:webHidden/>
              </w:rPr>
              <w:t>90</w:t>
            </w:r>
            <w:r w:rsidRPr="00994916">
              <w:rPr>
                <w:rFonts w:ascii="Adobe Caslon Pro" w:hAnsi="Adobe Caslon Pro"/>
                <w:noProof/>
                <w:webHidden/>
              </w:rPr>
              <w:fldChar w:fldCharType="end"/>
            </w:r>
          </w:hyperlink>
        </w:p>
        <w:p w:rsidR="00994916" w:rsidRPr="00994916" w:rsidRDefault="00994916" w:rsidP="00994916">
          <w:pPr>
            <w:pStyle w:val="TDC3"/>
            <w:tabs>
              <w:tab w:val="right" w:leader="dot" w:pos="9377"/>
            </w:tabs>
            <w:spacing w:after="0" w:line="240" w:lineRule="auto"/>
            <w:rPr>
              <w:rFonts w:ascii="Adobe Caslon Pro" w:eastAsiaTheme="minorEastAsia" w:hAnsi="Adobe Caslon Pro" w:cstheme="minorBidi"/>
              <w:noProof/>
              <w:lang w:eastAsia="es-MX"/>
            </w:rPr>
          </w:pPr>
          <w:hyperlink w:anchor="_Toc391925229" w:history="1">
            <w:r w:rsidRPr="00994916">
              <w:rPr>
                <w:rStyle w:val="Hipervnculo"/>
                <w:rFonts w:ascii="Adobe Caslon Pro" w:hAnsi="Adobe Caslon Pro"/>
                <w:noProof/>
              </w:rPr>
              <w:t>3.2.2 Caso de Brasil</w:t>
            </w:r>
            <w:r w:rsidRPr="00994916">
              <w:rPr>
                <w:rFonts w:ascii="Adobe Caslon Pro" w:hAnsi="Adobe Caslon Pro"/>
                <w:noProof/>
                <w:webHidden/>
              </w:rPr>
              <w:tab/>
            </w:r>
            <w:r w:rsidRPr="00994916">
              <w:rPr>
                <w:rFonts w:ascii="Adobe Caslon Pro" w:hAnsi="Adobe Caslon Pro"/>
                <w:noProof/>
                <w:webHidden/>
              </w:rPr>
              <w:fldChar w:fldCharType="begin"/>
            </w:r>
            <w:r w:rsidRPr="00994916">
              <w:rPr>
                <w:rFonts w:ascii="Adobe Caslon Pro" w:hAnsi="Adobe Caslon Pro"/>
                <w:noProof/>
                <w:webHidden/>
              </w:rPr>
              <w:instrText xml:space="preserve"> PAGEREF _Toc391925229 \h </w:instrText>
            </w:r>
            <w:r w:rsidRPr="00994916">
              <w:rPr>
                <w:rFonts w:ascii="Adobe Caslon Pro" w:hAnsi="Adobe Caslon Pro"/>
                <w:noProof/>
                <w:webHidden/>
              </w:rPr>
            </w:r>
            <w:r w:rsidRPr="00994916">
              <w:rPr>
                <w:rFonts w:ascii="Adobe Caslon Pro" w:hAnsi="Adobe Caslon Pro"/>
                <w:noProof/>
                <w:webHidden/>
              </w:rPr>
              <w:fldChar w:fldCharType="separate"/>
            </w:r>
            <w:r w:rsidRPr="00994916">
              <w:rPr>
                <w:rFonts w:ascii="Adobe Caslon Pro" w:hAnsi="Adobe Caslon Pro"/>
                <w:noProof/>
                <w:webHidden/>
              </w:rPr>
              <w:t>91</w:t>
            </w:r>
            <w:r w:rsidRPr="00994916">
              <w:rPr>
                <w:rFonts w:ascii="Adobe Caslon Pro" w:hAnsi="Adobe Caslon Pro"/>
                <w:noProof/>
                <w:webHidden/>
              </w:rPr>
              <w:fldChar w:fldCharType="end"/>
            </w:r>
          </w:hyperlink>
        </w:p>
        <w:p w:rsidR="00994916" w:rsidRPr="00994916" w:rsidRDefault="00994916" w:rsidP="00994916">
          <w:pPr>
            <w:pStyle w:val="TDC2"/>
            <w:tabs>
              <w:tab w:val="right" w:leader="dot" w:pos="9377"/>
            </w:tabs>
            <w:spacing w:after="0" w:line="240" w:lineRule="auto"/>
            <w:rPr>
              <w:rFonts w:ascii="Adobe Caslon Pro" w:eastAsiaTheme="minorEastAsia" w:hAnsi="Adobe Caslon Pro" w:cstheme="minorBidi"/>
              <w:noProof/>
              <w:lang w:eastAsia="es-MX"/>
            </w:rPr>
          </w:pPr>
          <w:hyperlink w:anchor="_Toc391925230" w:history="1">
            <w:r w:rsidRPr="00994916">
              <w:rPr>
                <w:rStyle w:val="Hipervnculo"/>
                <w:rFonts w:ascii="Adobe Caslon Pro" w:hAnsi="Adobe Caslon Pro"/>
                <w:noProof/>
              </w:rPr>
              <w:t>3.3 Propuesta de Diseño</w:t>
            </w:r>
            <w:r w:rsidRPr="00994916">
              <w:rPr>
                <w:rFonts w:ascii="Adobe Caslon Pro" w:hAnsi="Adobe Caslon Pro"/>
                <w:noProof/>
                <w:webHidden/>
              </w:rPr>
              <w:tab/>
            </w:r>
            <w:r w:rsidRPr="00994916">
              <w:rPr>
                <w:rFonts w:ascii="Adobe Caslon Pro" w:hAnsi="Adobe Caslon Pro"/>
                <w:noProof/>
                <w:webHidden/>
              </w:rPr>
              <w:fldChar w:fldCharType="begin"/>
            </w:r>
            <w:r w:rsidRPr="00994916">
              <w:rPr>
                <w:rFonts w:ascii="Adobe Caslon Pro" w:hAnsi="Adobe Caslon Pro"/>
                <w:noProof/>
                <w:webHidden/>
              </w:rPr>
              <w:instrText xml:space="preserve"> PAGEREF _Toc391925230 \h </w:instrText>
            </w:r>
            <w:r w:rsidRPr="00994916">
              <w:rPr>
                <w:rFonts w:ascii="Adobe Caslon Pro" w:hAnsi="Adobe Caslon Pro"/>
                <w:noProof/>
                <w:webHidden/>
              </w:rPr>
            </w:r>
            <w:r w:rsidRPr="00994916">
              <w:rPr>
                <w:rFonts w:ascii="Adobe Caslon Pro" w:hAnsi="Adobe Caslon Pro"/>
                <w:noProof/>
                <w:webHidden/>
              </w:rPr>
              <w:fldChar w:fldCharType="separate"/>
            </w:r>
            <w:r w:rsidRPr="00994916">
              <w:rPr>
                <w:rFonts w:ascii="Adobe Caslon Pro" w:hAnsi="Adobe Caslon Pro"/>
                <w:noProof/>
                <w:webHidden/>
              </w:rPr>
              <w:t>93</w:t>
            </w:r>
            <w:r w:rsidRPr="00994916">
              <w:rPr>
                <w:rFonts w:ascii="Adobe Caslon Pro" w:hAnsi="Adobe Caslon Pro"/>
                <w:noProof/>
                <w:webHidden/>
              </w:rPr>
              <w:fldChar w:fldCharType="end"/>
            </w:r>
          </w:hyperlink>
        </w:p>
        <w:p w:rsidR="00994916" w:rsidRPr="00994916" w:rsidRDefault="00994916" w:rsidP="00994916">
          <w:pPr>
            <w:pStyle w:val="TDC3"/>
            <w:tabs>
              <w:tab w:val="right" w:leader="dot" w:pos="9377"/>
            </w:tabs>
            <w:spacing w:after="0" w:line="240" w:lineRule="auto"/>
            <w:rPr>
              <w:rFonts w:ascii="Adobe Caslon Pro" w:eastAsiaTheme="minorEastAsia" w:hAnsi="Adobe Caslon Pro" w:cstheme="minorBidi"/>
              <w:noProof/>
              <w:lang w:eastAsia="es-MX"/>
            </w:rPr>
          </w:pPr>
          <w:hyperlink w:anchor="_Toc391925231" w:history="1">
            <w:r w:rsidRPr="00994916">
              <w:rPr>
                <w:rStyle w:val="Hipervnculo"/>
                <w:rFonts w:ascii="Adobe Caslon Pro" w:hAnsi="Adobe Caslon Pro"/>
                <w:noProof/>
              </w:rPr>
              <w:t>3.3.1 Árbol de objetivos</w:t>
            </w:r>
            <w:r w:rsidRPr="00994916">
              <w:rPr>
                <w:rFonts w:ascii="Adobe Caslon Pro" w:hAnsi="Adobe Caslon Pro"/>
                <w:noProof/>
                <w:webHidden/>
              </w:rPr>
              <w:tab/>
            </w:r>
            <w:r w:rsidRPr="00994916">
              <w:rPr>
                <w:rFonts w:ascii="Adobe Caslon Pro" w:hAnsi="Adobe Caslon Pro"/>
                <w:noProof/>
                <w:webHidden/>
              </w:rPr>
              <w:fldChar w:fldCharType="begin"/>
            </w:r>
            <w:r w:rsidRPr="00994916">
              <w:rPr>
                <w:rFonts w:ascii="Adobe Caslon Pro" w:hAnsi="Adobe Caslon Pro"/>
                <w:noProof/>
                <w:webHidden/>
              </w:rPr>
              <w:instrText xml:space="preserve"> PAGEREF _Toc391925231 \h </w:instrText>
            </w:r>
            <w:r w:rsidRPr="00994916">
              <w:rPr>
                <w:rFonts w:ascii="Adobe Caslon Pro" w:hAnsi="Adobe Caslon Pro"/>
                <w:noProof/>
                <w:webHidden/>
              </w:rPr>
            </w:r>
            <w:r w:rsidRPr="00994916">
              <w:rPr>
                <w:rFonts w:ascii="Adobe Caslon Pro" w:hAnsi="Adobe Caslon Pro"/>
                <w:noProof/>
                <w:webHidden/>
              </w:rPr>
              <w:fldChar w:fldCharType="separate"/>
            </w:r>
            <w:r w:rsidRPr="00994916">
              <w:rPr>
                <w:rFonts w:ascii="Adobe Caslon Pro" w:hAnsi="Adobe Caslon Pro"/>
                <w:noProof/>
                <w:webHidden/>
              </w:rPr>
              <w:t>93</w:t>
            </w:r>
            <w:r w:rsidRPr="00994916">
              <w:rPr>
                <w:rFonts w:ascii="Adobe Caslon Pro" w:hAnsi="Adobe Caslon Pro"/>
                <w:noProof/>
                <w:webHidden/>
              </w:rPr>
              <w:fldChar w:fldCharType="end"/>
            </w:r>
          </w:hyperlink>
        </w:p>
        <w:p w:rsidR="00994916" w:rsidRPr="00994916" w:rsidRDefault="00994916" w:rsidP="00994916">
          <w:pPr>
            <w:pStyle w:val="TDC3"/>
            <w:tabs>
              <w:tab w:val="right" w:leader="dot" w:pos="9377"/>
            </w:tabs>
            <w:spacing w:after="0" w:line="240" w:lineRule="auto"/>
            <w:rPr>
              <w:rFonts w:ascii="Adobe Caslon Pro" w:eastAsiaTheme="minorEastAsia" w:hAnsi="Adobe Caslon Pro" w:cstheme="minorBidi"/>
              <w:noProof/>
              <w:lang w:eastAsia="es-MX"/>
            </w:rPr>
          </w:pPr>
          <w:hyperlink w:anchor="_Toc391925232" w:history="1">
            <w:r w:rsidRPr="00994916">
              <w:rPr>
                <w:rStyle w:val="Hipervnculo"/>
                <w:rFonts w:ascii="Adobe Caslon Pro" w:hAnsi="Adobe Caslon Pro"/>
                <w:noProof/>
              </w:rPr>
              <w:t>3.3.2 Matriz de Marco Lógico</w:t>
            </w:r>
            <w:r w:rsidRPr="00994916">
              <w:rPr>
                <w:rFonts w:ascii="Adobe Caslon Pro" w:hAnsi="Adobe Caslon Pro"/>
                <w:noProof/>
                <w:webHidden/>
              </w:rPr>
              <w:tab/>
            </w:r>
            <w:r w:rsidRPr="00994916">
              <w:rPr>
                <w:rFonts w:ascii="Adobe Caslon Pro" w:hAnsi="Adobe Caslon Pro"/>
                <w:noProof/>
                <w:webHidden/>
              </w:rPr>
              <w:fldChar w:fldCharType="begin"/>
            </w:r>
            <w:r w:rsidRPr="00994916">
              <w:rPr>
                <w:rFonts w:ascii="Adobe Caslon Pro" w:hAnsi="Adobe Caslon Pro"/>
                <w:noProof/>
                <w:webHidden/>
              </w:rPr>
              <w:instrText xml:space="preserve"> PAGEREF _Toc391925232 \h </w:instrText>
            </w:r>
            <w:r w:rsidRPr="00994916">
              <w:rPr>
                <w:rFonts w:ascii="Adobe Caslon Pro" w:hAnsi="Adobe Caslon Pro"/>
                <w:noProof/>
                <w:webHidden/>
              </w:rPr>
            </w:r>
            <w:r w:rsidRPr="00994916">
              <w:rPr>
                <w:rFonts w:ascii="Adobe Caslon Pro" w:hAnsi="Adobe Caslon Pro"/>
                <w:noProof/>
                <w:webHidden/>
              </w:rPr>
              <w:fldChar w:fldCharType="separate"/>
            </w:r>
            <w:r w:rsidRPr="00994916">
              <w:rPr>
                <w:rFonts w:ascii="Adobe Caslon Pro" w:hAnsi="Adobe Caslon Pro"/>
                <w:noProof/>
                <w:webHidden/>
              </w:rPr>
              <w:t>95</w:t>
            </w:r>
            <w:r w:rsidRPr="00994916">
              <w:rPr>
                <w:rFonts w:ascii="Adobe Caslon Pro" w:hAnsi="Adobe Caslon Pro"/>
                <w:noProof/>
                <w:webHidden/>
              </w:rPr>
              <w:fldChar w:fldCharType="end"/>
            </w:r>
          </w:hyperlink>
        </w:p>
        <w:p w:rsidR="00994916" w:rsidRPr="00994916" w:rsidRDefault="00994916" w:rsidP="00994916">
          <w:pPr>
            <w:pStyle w:val="TDC3"/>
            <w:tabs>
              <w:tab w:val="right" w:leader="dot" w:pos="9377"/>
            </w:tabs>
            <w:spacing w:after="0" w:line="240" w:lineRule="auto"/>
            <w:rPr>
              <w:rFonts w:ascii="Adobe Caslon Pro" w:eastAsiaTheme="minorEastAsia" w:hAnsi="Adobe Caslon Pro" w:cstheme="minorBidi"/>
              <w:noProof/>
              <w:lang w:eastAsia="es-MX"/>
            </w:rPr>
          </w:pPr>
          <w:hyperlink w:anchor="_Toc391925233" w:history="1">
            <w:r w:rsidRPr="00994916">
              <w:rPr>
                <w:rStyle w:val="Hipervnculo"/>
                <w:rFonts w:ascii="Adobe Caslon Pro" w:hAnsi="Adobe Caslon Pro" w:cs="Arial"/>
                <w:noProof/>
              </w:rPr>
              <w:t>3.3.3 Objetivos del Programa</w:t>
            </w:r>
            <w:r w:rsidRPr="00994916">
              <w:rPr>
                <w:rFonts w:ascii="Adobe Caslon Pro" w:hAnsi="Adobe Caslon Pro"/>
                <w:noProof/>
                <w:webHidden/>
              </w:rPr>
              <w:tab/>
            </w:r>
            <w:r w:rsidRPr="00994916">
              <w:rPr>
                <w:rFonts w:ascii="Adobe Caslon Pro" w:hAnsi="Adobe Caslon Pro"/>
                <w:noProof/>
                <w:webHidden/>
              </w:rPr>
              <w:fldChar w:fldCharType="begin"/>
            </w:r>
            <w:r w:rsidRPr="00994916">
              <w:rPr>
                <w:rFonts w:ascii="Adobe Caslon Pro" w:hAnsi="Adobe Caslon Pro"/>
                <w:noProof/>
                <w:webHidden/>
              </w:rPr>
              <w:instrText xml:space="preserve"> PAGEREF _Toc391925233 \h </w:instrText>
            </w:r>
            <w:r w:rsidRPr="00994916">
              <w:rPr>
                <w:rFonts w:ascii="Adobe Caslon Pro" w:hAnsi="Adobe Caslon Pro"/>
                <w:noProof/>
                <w:webHidden/>
              </w:rPr>
            </w:r>
            <w:r w:rsidRPr="00994916">
              <w:rPr>
                <w:rFonts w:ascii="Adobe Caslon Pro" w:hAnsi="Adobe Caslon Pro"/>
                <w:noProof/>
                <w:webHidden/>
              </w:rPr>
              <w:fldChar w:fldCharType="separate"/>
            </w:r>
            <w:r w:rsidRPr="00994916">
              <w:rPr>
                <w:rFonts w:ascii="Adobe Caslon Pro" w:hAnsi="Adobe Caslon Pro"/>
                <w:noProof/>
                <w:webHidden/>
              </w:rPr>
              <w:t>101</w:t>
            </w:r>
            <w:r w:rsidRPr="00994916">
              <w:rPr>
                <w:rFonts w:ascii="Adobe Caslon Pro" w:hAnsi="Adobe Caslon Pro"/>
                <w:noProof/>
                <w:webHidden/>
              </w:rPr>
              <w:fldChar w:fldCharType="end"/>
            </w:r>
          </w:hyperlink>
        </w:p>
        <w:p w:rsidR="00994916" w:rsidRPr="00994916" w:rsidRDefault="00994916" w:rsidP="00994916">
          <w:pPr>
            <w:pStyle w:val="TDC3"/>
            <w:tabs>
              <w:tab w:val="right" w:leader="dot" w:pos="9377"/>
            </w:tabs>
            <w:spacing w:after="0" w:line="240" w:lineRule="auto"/>
            <w:rPr>
              <w:rFonts w:ascii="Adobe Caslon Pro" w:eastAsiaTheme="minorEastAsia" w:hAnsi="Adobe Caslon Pro" w:cstheme="minorBidi"/>
              <w:noProof/>
              <w:lang w:eastAsia="es-MX"/>
            </w:rPr>
          </w:pPr>
          <w:hyperlink w:anchor="_Toc391925234" w:history="1">
            <w:r w:rsidRPr="00994916">
              <w:rPr>
                <w:rStyle w:val="Hipervnculo"/>
                <w:rFonts w:ascii="Adobe Caslon Pro" w:hAnsi="Adobe Caslon Pro"/>
                <w:noProof/>
              </w:rPr>
              <w:t>3.3.4 Población potencial</w:t>
            </w:r>
            <w:r w:rsidRPr="00994916">
              <w:rPr>
                <w:rFonts w:ascii="Adobe Caslon Pro" w:hAnsi="Adobe Caslon Pro"/>
                <w:noProof/>
                <w:webHidden/>
              </w:rPr>
              <w:tab/>
            </w:r>
            <w:r w:rsidRPr="00994916">
              <w:rPr>
                <w:rFonts w:ascii="Adobe Caslon Pro" w:hAnsi="Adobe Caslon Pro"/>
                <w:noProof/>
                <w:webHidden/>
              </w:rPr>
              <w:fldChar w:fldCharType="begin"/>
            </w:r>
            <w:r w:rsidRPr="00994916">
              <w:rPr>
                <w:rFonts w:ascii="Adobe Caslon Pro" w:hAnsi="Adobe Caslon Pro"/>
                <w:noProof/>
                <w:webHidden/>
              </w:rPr>
              <w:instrText xml:space="preserve"> PAGEREF _Toc391925234 \h </w:instrText>
            </w:r>
            <w:r w:rsidRPr="00994916">
              <w:rPr>
                <w:rFonts w:ascii="Adobe Caslon Pro" w:hAnsi="Adobe Caslon Pro"/>
                <w:noProof/>
                <w:webHidden/>
              </w:rPr>
            </w:r>
            <w:r w:rsidRPr="00994916">
              <w:rPr>
                <w:rFonts w:ascii="Adobe Caslon Pro" w:hAnsi="Adobe Caslon Pro"/>
                <w:noProof/>
                <w:webHidden/>
              </w:rPr>
              <w:fldChar w:fldCharType="separate"/>
            </w:r>
            <w:r w:rsidRPr="00994916">
              <w:rPr>
                <w:rFonts w:ascii="Adobe Caslon Pro" w:hAnsi="Adobe Caslon Pro"/>
                <w:noProof/>
                <w:webHidden/>
              </w:rPr>
              <w:t>101</w:t>
            </w:r>
            <w:r w:rsidRPr="00994916">
              <w:rPr>
                <w:rFonts w:ascii="Adobe Caslon Pro" w:hAnsi="Adobe Caslon Pro"/>
                <w:noProof/>
                <w:webHidden/>
              </w:rPr>
              <w:fldChar w:fldCharType="end"/>
            </w:r>
          </w:hyperlink>
        </w:p>
        <w:p w:rsidR="00994916" w:rsidRPr="00994916" w:rsidRDefault="00994916" w:rsidP="00994916">
          <w:pPr>
            <w:pStyle w:val="TDC3"/>
            <w:tabs>
              <w:tab w:val="right" w:leader="dot" w:pos="9377"/>
            </w:tabs>
            <w:spacing w:after="0" w:line="240" w:lineRule="auto"/>
            <w:rPr>
              <w:rFonts w:ascii="Adobe Caslon Pro" w:eastAsiaTheme="minorEastAsia" w:hAnsi="Adobe Caslon Pro" w:cstheme="minorBidi"/>
              <w:noProof/>
              <w:lang w:eastAsia="es-MX"/>
            </w:rPr>
          </w:pPr>
          <w:hyperlink w:anchor="_Toc391925235" w:history="1">
            <w:r w:rsidRPr="00994916">
              <w:rPr>
                <w:rStyle w:val="Hipervnculo"/>
                <w:rFonts w:ascii="Adobe Caslon Pro" w:hAnsi="Adobe Caslon Pro"/>
                <w:noProof/>
              </w:rPr>
              <w:t>3.3.5 Población Objetivo</w:t>
            </w:r>
            <w:r w:rsidRPr="00994916">
              <w:rPr>
                <w:rFonts w:ascii="Adobe Caslon Pro" w:hAnsi="Adobe Caslon Pro"/>
                <w:noProof/>
                <w:webHidden/>
              </w:rPr>
              <w:tab/>
            </w:r>
            <w:r w:rsidRPr="00994916">
              <w:rPr>
                <w:rFonts w:ascii="Adobe Caslon Pro" w:hAnsi="Adobe Caslon Pro"/>
                <w:noProof/>
                <w:webHidden/>
              </w:rPr>
              <w:fldChar w:fldCharType="begin"/>
            </w:r>
            <w:r w:rsidRPr="00994916">
              <w:rPr>
                <w:rFonts w:ascii="Adobe Caslon Pro" w:hAnsi="Adobe Caslon Pro"/>
                <w:noProof/>
                <w:webHidden/>
              </w:rPr>
              <w:instrText xml:space="preserve"> PAGEREF _Toc391925235 \h </w:instrText>
            </w:r>
            <w:r w:rsidRPr="00994916">
              <w:rPr>
                <w:rFonts w:ascii="Adobe Caslon Pro" w:hAnsi="Adobe Caslon Pro"/>
                <w:noProof/>
                <w:webHidden/>
              </w:rPr>
            </w:r>
            <w:r w:rsidRPr="00994916">
              <w:rPr>
                <w:rFonts w:ascii="Adobe Caslon Pro" w:hAnsi="Adobe Caslon Pro"/>
                <w:noProof/>
                <w:webHidden/>
              </w:rPr>
              <w:fldChar w:fldCharType="separate"/>
            </w:r>
            <w:r w:rsidRPr="00994916">
              <w:rPr>
                <w:rFonts w:ascii="Adobe Caslon Pro" w:hAnsi="Adobe Caslon Pro"/>
                <w:noProof/>
                <w:webHidden/>
              </w:rPr>
              <w:t>102</w:t>
            </w:r>
            <w:r w:rsidRPr="00994916">
              <w:rPr>
                <w:rFonts w:ascii="Adobe Caslon Pro" w:hAnsi="Adobe Caslon Pro"/>
                <w:noProof/>
                <w:webHidden/>
              </w:rPr>
              <w:fldChar w:fldCharType="end"/>
            </w:r>
          </w:hyperlink>
        </w:p>
        <w:p w:rsidR="00994916" w:rsidRPr="00994916" w:rsidRDefault="00994916" w:rsidP="00994916">
          <w:pPr>
            <w:pStyle w:val="TDC3"/>
            <w:tabs>
              <w:tab w:val="right" w:leader="dot" w:pos="9377"/>
            </w:tabs>
            <w:spacing w:after="0" w:line="240" w:lineRule="auto"/>
            <w:rPr>
              <w:rFonts w:ascii="Adobe Caslon Pro" w:eastAsiaTheme="minorEastAsia" w:hAnsi="Adobe Caslon Pro" w:cstheme="minorBidi"/>
              <w:noProof/>
              <w:lang w:eastAsia="es-MX"/>
            </w:rPr>
          </w:pPr>
          <w:hyperlink w:anchor="_Toc391925236" w:history="1">
            <w:r w:rsidRPr="00994916">
              <w:rPr>
                <w:rStyle w:val="Hipervnculo"/>
                <w:rFonts w:ascii="Adobe Caslon Pro" w:hAnsi="Adobe Caslon Pro" w:cs="Arial"/>
                <w:noProof/>
              </w:rPr>
              <w:t>3.3.6 Población atendida</w:t>
            </w:r>
            <w:r w:rsidRPr="00994916">
              <w:rPr>
                <w:rFonts w:ascii="Adobe Caslon Pro" w:hAnsi="Adobe Caslon Pro"/>
                <w:noProof/>
                <w:webHidden/>
              </w:rPr>
              <w:tab/>
            </w:r>
            <w:r w:rsidRPr="00994916">
              <w:rPr>
                <w:rFonts w:ascii="Adobe Caslon Pro" w:hAnsi="Adobe Caslon Pro"/>
                <w:noProof/>
                <w:webHidden/>
              </w:rPr>
              <w:fldChar w:fldCharType="begin"/>
            </w:r>
            <w:r w:rsidRPr="00994916">
              <w:rPr>
                <w:rFonts w:ascii="Adobe Caslon Pro" w:hAnsi="Adobe Caslon Pro"/>
                <w:noProof/>
                <w:webHidden/>
              </w:rPr>
              <w:instrText xml:space="preserve"> PAGEREF _Toc391925236 \h </w:instrText>
            </w:r>
            <w:r w:rsidRPr="00994916">
              <w:rPr>
                <w:rFonts w:ascii="Adobe Caslon Pro" w:hAnsi="Adobe Caslon Pro"/>
                <w:noProof/>
                <w:webHidden/>
              </w:rPr>
            </w:r>
            <w:r w:rsidRPr="00994916">
              <w:rPr>
                <w:rFonts w:ascii="Adobe Caslon Pro" w:hAnsi="Adobe Caslon Pro"/>
                <w:noProof/>
                <w:webHidden/>
              </w:rPr>
              <w:fldChar w:fldCharType="separate"/>
            </w:r>
            <w:r w:rsidRPr="00994916">
              <w:rPr>
                <w:rFonts w:ascii="Adobe Caslon Pro" w:hAnsi="Adobe Caslon Pro"/>
                <w:noProof/>
                <w:webHidden/>
              </w:rPr>
              <w:t>103</w:t>
            </w:r>
            <w:r w:rsidRPr="00994916">
              <w:rPr>
                <w:rFonts w:ascii="Adobe Caslon Pro" w:hAnsi="Adobe Caslon Pro"/>
                <w:noProof/>
                <w:webHidden/>
              </w:rPr>
              <w:fldChar w:fldCharType="end"/>
            </w:r>
          </w:hyperlink>
        </w:p>
        <w:p w:rsidR="00994916" w:rsidRPr="00994916" w:rsidRDefault="00994916" w:rsidP="00994916">
          <w:pPr>
            <w:pStyle w:val="TDC3"/>
            <w:tabs>
              <w:tab w:val="right" w:leader="dot" w:pos="9377"/>
            </w:tabs>
            <w:spacing w:after="0" w:line="240" w:lineRule="auto"/>
            <w:rPr>
              <w:rFonts w:ascii="Adobe Caslon Pro" w:eastAsiaTheme="minorEastAsia" w:hAnsi="Adobe Caslon Pro" w:cstheme="minorBidi"/>
              <w:noProof/>
              <w:lang w:eastAsia="es-MX"/>
            </w:rPr>
          </w:pPr>
          <w:hyperlink w:anchor="_Toc391925237" w:history="1">
            <w:r w:rsidRPr="00994916">
              <w:rPr>
                <w:rStyle w:val="Hipervnculo"/>
                <w:rFonts w:ascii="Adobe Caslon Pro" w:hAnsi="Adobe Caslon Pro"/>
                <w:noProof/>
              </w:rPr>
              <w:t>3.3.7 Criterios de selección</w:t>
            </w:r>
            <w:r w:rsidRPr="00994916">
              <w:rPr>
                <w:rFonts w:ascii="Adobe Caslon Pro" w:hAnsi="Adobe Caslon Pro"/>
                <w:noProof/>
                <w:webHidden/>
              </w:rPr>
              <w:tab/>
            </w:r>
            <w:r w:rsidRPr="00994916">
              <w:rPr>
                <w:rFonts w:ascii="Adobe Caslon Pro" w:hAnsi="Adobe Caslon Pro"/>
                <w:noProof/>
                <w:webHidden/>
              </w:rPr>
              <w:fldChar w:fldCharType="begin"/>
            </w:r>
            <w:r w:rsidRPr="00994916">
              <w:rPr>
                <w:rFonts w:ascii="Adobe Caslon Pro" w:hAnsi="Adobe Caslon Pro"/>
                <w:noProof/>
                <w:webHidden/>
              </w:rPr>
              <w:instrText xml:space="preserve"> PAGEREF _Toc391925237 \h </w:instrText>
            </w:r>
            <w:r w:rsidRPr="00994916">
              <w:rPr>
                <w:rFonts w:ascii="Adobe Caslon Pro" w:hAnsi="Adobe Caslon Pro"/>
                <w:noProof/>
                <w:webHidden/>
              </w:rPr>
            </w:r>
            <w:r w:rsidRPr="00994916">
              <w:rPr>
                <w:rFonts w:ascii="Adobe Caslon Pro" w:hAnsi="Adobe Caslon Pro"/>
                <w:noProof/>
                <w:webHidden/>
              </w:rPr>
              <w:fldChar w:fldCharType="separate"/>
            </w:r>
            <w:r w:rsidRPr="00994916">
              <w:rPr>
                <w:rFonts w:ascii="Adobe Caslon Pro" w:hAnsi="Adobe Caslon Pro"/>
                <w:noProof/>
                <w:webHidden/>
              </w:rPr>
              <w:t>104</w:t>
            </w:r>
            <w:r w:rsidRPr="00994916">
              <w:rPr>
                <w:rFonts w:ascii="Adobe Caslon Pro" w:hAnsi="Adobe Caslon Pro"/>
                <w:noProof/>
                <w:webHidden/>
              </w:rPr>
              <w:fldChar w:fldCharType="end"/>
            </w:r>
          </w:hyperlink>
        </w:p>
        <w:p w:rsidR="00994916" w:rsidRPr="00994916" w:rsidRDefault="00994916" w:rsidP="00994916">
          <w:pPr>
            <w:pStyle w:val="TDC3"/>
            <w:tabs>
              <w:tab w:val="right" w:leader="dot" w:pos="9377"/>
            </w:tabs>
            <w:spacing w:after="0" w:line="240" w:lineRule="auto"/>
            <w:rPr>
              <w:rFonts w:ascii="Adobe Caslon Pro" w:eastAsiaTheme="minorEastAsia" w:hAnsi="Adobe Caslon Pro" w:cstheme="minorBidi"/>
              <w:noProof/>
              <w:lang w:eastAsia="es-MX"/>
            </w:rPr>
          </w:pPr>
          <w:hyperlink w:anchor="_Toc391925238" w:history="1">
            <w:r w:rsidRPr="00994916">
              <w:rPr>
                <w:rStyle w:val="Hipervnculo"/>
                <w:rFonts w:ascii="Adobe Caslon Pro" w:hAnsi="Adobe Caslon Pro"/>
                <w:noProof/>
              </w:rPr>
              <w:t>3.3.8 Estrategia de cobertura en el corto, mediano y largo plazos</w:t>
            </w:r>
            <w:r w:rsidRPr="00994916">
              <w:rPr>
                <w:rFonts w:ascii="Adobe Caslon Pro" w:hAnsi="Adobe Caslon Pro"/>
                <w:noProof/>
                <w:webHidden/>
              </w:rPr>
              <w:tab/>
            </w:r>
            <w:r w:rsidRPr="00994916">
              <w:rPr>
                <w:rFonts w:ascii="Adobe Caslon Pro" w:hAnsi="Adobe Caslon Pro"/>
                <w:noProof/>
                <w:webHidden/>
              </w:rPr>
              <w:fldChar w:fldCharType="begin"/>
            </w:r>
            <w:r w:rsidRPr="00994916">
              <w:rPr>
                <w:rFonts w:ascii="Adobe Caslon Pro" w:hAnsi="Adobe Caslon Pro"/>
                <w:noProof/>
                <w:webHidden/>
              </w:rPr>
              <w:instrText xml:space="preserve"> PAGEREF _Toc391925238 \h </w:instrText>
            </w:r>
            <w:r w:rsidRPr="00994916">
              <w:rPr>
                <w:rFonts w:ascii="Adobe Caslon Pro" w:hAnsi="Adobe Caslon Pro"/>
                <w:noProof/>
                <w:webHidden/>
              </w:rPr>
            </w:r>
            <w:r w:rsidRPr="00994916">
              <w:rPr>
                <w:rFonts w:ascii="Adobe Caslon Pro" w:hAnsi="Adobe Caslon Pro"/>
                <w:noProof/>
                <w:webHidden/>
              </w:rPr>
              <w:fldChar w:fldCharType="separate"/>
            </w:r>
            <w:r w:rsidRPr="00994916">
              <w:rPr>
                <w:rFonts w:ascii="Adobe Caslon Pro" w:hAnsi="Adobe Caslon Pro"/>
                <w:noProof/>
                <w:webHidden/>
              </w:rPr>
              <w:t>105</w:t>
            </w:r>
            <w:r w:rsidRPr="00994916">
              <w:rPr>
                <w:rFonts w:ascii="Adobe Caslon Pro" w:hAnsi="Adobe Caslon Pro"/>
                <w:noProof/>
                <w:webHidden/>
              </w:rPr>
              <w:fldChar w:fldCharType="end"/>
            </w:r>
          </w:hyperlink>
        </w:p>
        <w:p w:rsidR="00994916" w:rsidRPr="00994916" w:rsidRDefault="00994916" w:rsidP="00994916">
          <w:pPr>
            <w:pStyle w:val="TDC3"/>
            <w:tabs>
              <w:tab w:val="right" w:leader="dot" w:pos="9377"/>
            </w:tabs>
            <w:spacing w:after="0" w:line="240" w:lineRule="auto"/>
            <w:rPr>
              <w:rFonts w:ascii="Adobe Caslon Pro" w:eastAsiaTheme="minorEastAsia" w:hAnsi="Adobe Caslon Pro" w:cstheme="minorBidi"/>
              <w:noProof/>
              <w:lang w:eastAsia="es-MX"/>
            </w:rPr>
          </w:pPr>
          <w:hyperlink w:anchor="_Toc391925239" w:history="1">
            <w:r w:rsidRPr="00994916">
              <w:rPr>
                <w:rStyle w:val="Hipervnculo"/>
                <w:rFonts w:ascii="Adobe Caslon Pro" w:hAnsi="Adobe Caslon Pro" w:cs="Arial"/>
                <w:noProof/>
              </w:rPr>
              <w:t>3.3.9 Tipos de apoyo, montos y justificación con base en el objetivo del programa</w:t>
            </w:r>
            <w:r w:rsidRPr="00994916">
              <w:rPr>
                <w:rFonts w:ascii="Adobe Caslon Pro" w:hAnsi="Adobe Caslon Pro"/>
                <w:noProof/>
                <w:webHidden/>
              </w:rPr>
              <w:tab/>
            </w:r>
            <w:r w:rsidRPr="00994916">
              <w:rPr>
                <w:rFonts w:ascii="Adobe Caslon Pro" w:hAnsi="Adobe Caslon Pro"/>
                <w:noProof/>
                <w:webHidden/>
              </w:rPr>
              <w:fldChar w:fldCharType="begin"/>
            </w:r>
            <w:r w:rsidRPr="00994916">
              <w:rPr>
                <w:rFonts w:ascii="Adobe Caslon Pro" w:hAnsi="Adobe Caslon Pro"/>
                <w:noProof/>
                <w:webHidden/>
              </w:rPr>
              <w:instrText xml:space="preserve"> PAGEREF _Toc391925239 \h </w:instrText>
            </w:r>
            <w:r w:rsidRPr="00994916">
              <w:rPr>
                <w:rFonts w:ascii="Adobe Caslon Pro" w:hAnsi="Adobe Caslon Pro"/>
                <w:noProof/>
                <w:webHidden/>
              </w:rPr>
            </w:r>
            <w:r w:rsidRPr="00994916">
              <w:rPr>
                <w:rFonts w:ascii="Adobe Caslon Pro" w:hAnsi="Adobe Caslon Pro"/>
                <w:noProof/>
                <w:webHidden/>
              </w:rPr>
              <w:fldChar w:fldCharType="separate"/>
            </w:r>
            <w:r w:rsidRPr="00994916">
              <w:rPr>
                <w:rFonts w:ascii="Adobe Caslon Pro" w:hAnsi="Adobe Caslon Pro"/>
                <w:noProof/>
                <w:webHidden/>
              </w:rPr>
              <w:t>106</w:t>
            </w:r>
            <w:r w:rsidRPr="00994916">
              <w:rPr>
                <w:rFonts w:ascii="Adobe Caslon Pro" w:hAnsi="Adobe Caslon Pro"/>
                <w:noProof/>
                <w:webHidden/>
              </w:rPr>
              <w:fldChar w:fldCharType="end"/>
            </w:r>
          </w:hyperlink>
        </w:p>
        <w:p w:rsidR="00994916" w:rsidRPr="00994916" w:rsidRDefault="00994916" w:rsidP="00994916">
          <w:pPr>
            <w:pStyle w:val="TDC2"/>
            <w:tabs>
              <w:tab w:val="right" w:leader="dot" w:pos="9377"/>
            </w:tabs>
            <w:spacing w:after="0" w:line="240" w:lineRule="auto"/>
            <w:rPr>
              <w:rFonts w:ascii="Adobe Caslon Pro" w:eastAsiaTheme="minorEastAsia" w:hAnsi="Adobe Caslon Pro" w:cstheme="minorBidi"/>
              <w:noProof/>
              <w:lang w:eastAsia="es-MX"/>
            </w:rPr>
          </w:pPr>
          <w:hyperlink w:anchor="_Toc391925240" w:history="1">
            <w:r w:rsidRPr="00994916">
              <w:rPr>
                <w:rStyle w:val="Hipervnculo"/>
                <w:rFonts w:ascii="Adobe Caslon Pro" w:hAnsi="Adobe Caslon Pro"/>
                <w:noProof/>
              </w:rPr>
              <w:t>4. Conclusiones generales</w:t>
            </w:r>
            <w:r w:rsidRPr="00994916">
              <w:rPr>
                <w:rFonts w:ascii="Adobe Caslon Pro" w:hAnsi="Adobe Caslon Pro"/>
                <w:noProof/>
                <w:webHidden/>
              </w:rPr>
              <w:tab/>
            </w:r>
            <w:r w:rsidRPr="00994916">
              <w:rPr>
                <w:rFonts w:ascii="Adobe Caslon Pro" w:hAnsi="Adobe Caslon Pro"/>
                <w:noProof/>
                <w:webHidden/>
              </w:rPr>
              <w:fldChar w:fldCharType="begin"/>
            </w:r>
            <w:r w:rsidRPr="00994916">
              <w:rPr>
                <w:rFonts w:ascii="Adobe Caslon Pro" w:hAnsi="Adobe Caslon Pro"/>
                <w:noProof/>
                <w:webHidden/>
              </w:rPr>
              <w:instrText xml:space="preserve"> PAGEREF _Toc391925240 \h </w:instrText>
            </w:r>
            <w:r w:rsidRPr="00994916">
              <w:rPr>
                <w:rFonts w:ascii="Adobe Caslon Pro" w:hAnsi="Adobe Caslon Pro"/>
                <w:noProof/>
                <w:webHidden/>
              </w:rPr>
            </w:r>
            <w:r w:rsidRPr="00994916">
              <w:rPr>
                <w:rFonts w:ascii="Adobe Caslon Pro" w:hAnsi="Adobe Caslon Pro"/>
                <w:noProof/>
                <w:webHidden/>
              </w:rPr>
              <w:fldChar w:fldCharType="separate"/>
            </w:r>
            <w:r w:rsidRPr="00994916">
              <w:rPr>
                <w:rFonts w:ascii="Adobe Caslon Pro" w:hAnsi="Adobe Caslon Pro"/>
                <w:noProof/>
                <w:webHidden/>
              </w:rPr>
              <w:t>112</w:t>
            </w:r>
            <w:r w:rsidRPr="00994916">
              <w:rPr>
                <w:rFonts w:ascii="Adobe Caslon Pro" w:hAnsi="Adobe Caslon Pro"/>
                <w:noProof/>
                <w:webHidden/>
              </w:rPr>
              <w:fldChar w:fldCharType="end"/>
            </w:r>
          </w:hyperlink>
        </w:p>
        <w:p w:rsidR="00994916" w:rsidRDefault="00994916" w:rsidP="00994916">
          <w:pPr>
            <w:pStyle w:val="TDC2"/>
            <w:tabs>
              <w:tab w:val="right" w:leader="dot" w:pos="9377"/>
            </w:tabs>
            <w:spacing w:after="0" w:line="240" w:lineRule="auto"/>
            <w:rPr>
              <w:rFonts w:asciiTheme="minorHAnsi" w:eastAsiaTheme="minorEastAsia" w:hAnsiTheme="minorHAnsi" w:cstheme="minorBidi"/>
              <w:noProof/>
              <w:lang w:eastAsia="es-MX"/>
            </w:rPr>
          </w:pPr>
          <w:hyperlink w:anchor="_Toc391925241" w:history="1">
            <w:r w:rsidRPr="00994916">
              <w:rPr>
                <w:rStyle w:val="Hipervnculo"/>
                <w:rFonts w:ascii="Adobe Caslon Pro" w:hAnsi="Adobe Caslon Pro"/>
                <w:noProof/>
              </w:rPr>
              <w:t>Bibliografía</w:t>
            </w:r>
            <w:r w:rsidRPr="00994916">
              <w:rPr>
                <w:rFonts w:ascii="Adobe Caslon Pro" w:hAnsi="Adobe Caslon Pro"/>
                <w:noProof/>
                <w:webHidden/>
              </w:rPr>
              <w:tab/>
            </w:r>
            <w:r w:rsidRPr="00994916">
              <w:rPr>
                <w:rFonts w:ascii="Adobe Caslon Pro" w:hAnsi="Adobe Caslon Pro"/>
                <w:noProof/>
                <w:webHidden/>
              </w:rPr>
              <w:fldChar w:fldCharType="begin"/>
            </w:r>
            <w:r w:rsidRPr="00994916">
              <w:rPr>
                <w:rFonts w:ascii="Adobe Caslon Pro" w:hAnsi="Adobe Caslon Pro"/>
                <w:noProof/>
                <w:webHidden/>
              </w:rPr>
              <w:instrText xml:space="preserve"> PAGEREF _Toc391925241 \h </w:instrText>
            </w:r>
            <w:r w:rsidRPr="00994916">
              <w:rPr>
                <w:rFonts w:ascii="Adobe Caslon Pro" w:hAnsi="Adobe Caslon Pro"/>
                <w:noProof/>
                <w:webHidden/>
              </w:rPr>
            </w:r>
            <w:r w:rsidRPr="00994916">
              <w:rPr>
                <w:rFonts w:ascii="Adobe Caslon Pro" w:hAnsi="Adobe Caslon Pro"/>
                <w:noProof/>
                <w:webHidden/>
              </w:rPr>
              <w:fldChar w:fldCharType="separate"/>
            </w:r>
            <w:r w:rsidRPr="00994916">
              <w:rPr>
                <w:rFonts w:ascii="Adobe Caslon Pro" w:hAnsi="Adobe Caslon Pro"/>
                <w:noProof/>
                <w:webHidden/>
              </w:rPr>
              <w:t>115</w:t>
            </w:r>
            <w:r w:rsidRPr="00994916">
              <w:rPr>
                <w:rFonts w:ascii="Adobe Caslon Pro" w:hAnsi="Adobe Caslon Pro"/>
                <w:noProof/>
                <w:webHidden/>
              </w:rPr>
              <w:fldChar w:fldCharType="end"/>
            </w:r>
          </w:hyperlink>
          <w:bookmarkEnd w:id="6"/>
        </w:p>
        <w:p w:rsidR="004D5D2F" w:rsidRDefault="007A6D2B" w:rsidP="009A7A25">
          <w:pPr>
            <w:spacing w:after="0" w:line="240" w:lineRule="auto"/>
            <w:contextualSpacing/>
          </w:pPr>
          <w:r w:rsidRPr="009A7A25">
            <w:rPr>
              <w:rFonts w:ascii="Adobe Caslon Pro" w:hAnsi="Adobe Caslon Pro"/>
              <w:b/>
              <w:bCs/>
              <w:lang w:val="es-ES"/>
            </w:rPr>
            <w:lastRenderedPageBreak/>
            <w:fldChar w:fldCharType="end"/>
          </w:r>
        </w:p>
      </w:sdtContent>
    </w:sdt>
    <w:p w:rsidR="00D25F5B" w:rsidRPr="00271526" w:rsidRDefault="004D5D2F" w:rsidP="00271526">
      <w:pPr>
        <w:pStyle w:val="Ttulo2"/>
        <w:spacing w:before="0" w:after="120" w:line="240" w:lineRule="auto"/>
      </w:pPr>
      <w:r>
        <w:br w:type="page"/>
      </w:r>
      <w:bookmarkStart w:id="7" w:name="_Toc391925213"/>
      <w:r w:rsidR="00DB5DED" w:rsidRPr="00271526">
        <w:rPr>
          <w:bCs w:val="0"/>
        </w:rPr>
        <w:lastRenderedPageBreak/>
        <w:t>1.</w:t>
      </w:r>
      <w:r w:rsidR="00DB5DED" w:rsidRPr="00271526">
        <w:t xml:space="preserve"> </w:t>
      </w:r>
      <w:r w:rsidR="00615B7E" w:rsidRPr="00271526">
        <w:t>Introducción</w:t>
      </w:r>
      <w:bookmarkEnd w:id="1"/>
      <w:bookmarkEnd w:id="7"/>
    </w:p>
    <w:p w:rsidR="006551F6" w:rsidRDefault="006551F6" w:rsidP="0043286B">
      <w:pPr>
        <w:spacing w:before="240" w:after="120" w:line="240" w:lineRule="auto"/>
        <w:jc w:val="both"/>
        <w:rPr>
          <w:rFonts w:ascii="Adobe Caslon Pro" w:hAnsi="Adobe Caslon Pro" w:cs="Arial"/>
          <w:bCs/>
        </w:rPr>
      </w:pPr>
      <w:r w:rsidRPr="000907D3">
        <w:rPr>
          <w:rFonts w:ascii="Adobe Caslon Pro" w:hAnsi="Adobe Caslon Pro"/>
        </w:rPr>
        <w:t>La participación de la sociedad civil es fundamental para lograr el objetivo</w:t>
      </w:r>
      <w:r w:rsidR="00740284">
        <w:rPr>
          <w:rFonts w:ascii="Adobe Caslon Pro" w:hAnsi="Adobe Caslon Pro"/>
        </w:rPr>
        <w:t xml:space="preserve"> de</w:t>
      </w:r>
      <w:r w:rsidRPr="000907D3">
        <w:rPr>
          <w:rFonts w:ascii="Adobe Caslon Pro" w:hAnsi="Adobe Caslon Pro"/>
        </w:rPr>
        <w:t xml:space="preserve"> hacer de </w:t>
      </w:r>
      <w:r w:rsidR="00E32DDC">
        <w:rPr>
          <w:rFonts w:ascii="Adobe Caslon Pro" w:hAnsi="Adobe Caslon Pro"/>
        </w:rPr>
        <w:t xml:space="preserve">México una sociedad </w:t>
      </w:r>
      <w:r w:rsidRPr="000907D3">
        <w:rPr>
          <w:rFonts w:ascii="Adobe Caslon Pro" w:hAnsi="Adobe Caslon Pro"/>
        </w:rPr>
        <w:t xml:space="preserve">en donde </w:t>
      </w:r>
      <w:r w:rsidR="00740284">
        <w:rPr>
          <w:rFonts w:ascii="Adobe Caslon Pro" w:hAnsi="Adobe Caslon Pro"/>
        </w:rPr>
        <w:t xml:space="preserve">todas las personas </w:t>
      </w:r>
      <w:r w:rsidRPr="000907D3">
        <w:rPr>
          <w:rFonts w:ascii="Adobe Caslon Pro" w:hAnsi="Adobe Caslon Pro"/>
        </w:rPr>
        <w:t xml:space="preserve">tengan acceso efectivo a los derechos que otorga la Constitución, planteado en el Plan Nacional de Desarrollo (PND) 2013-2018. </w:t>
      </w:r>
      <w:r w:rsidR="001E5B65" w:rsidRPr="000907D3">
        <w:rPr>
          <w:rFonts w:ascii="Adobe Caslon Pro" w:hAnsi="Adobe Caslon Pro"/>
        </w:rPr>
        <w:t>Sin lugar a duda</w:t>
      </w:r>
      <w:r w:rsidR="00E32DDC">
        <w:rPr>
          <w:rFonts w:ascii="Adobe Caslon Pro" w:hAnsi="Adobe Caslon Pro"/>
        </w:rPr>
        <w:t>s</w:t>
      </w:r>
      <w:r w:rsidR="001E5B65" w:rsidRPr="000907D3">
        <w:rPr>
          <w:rFonts w:ascii="Adobe Caslon Pro" w:hAnsi="Adobe Caslon Pro"/>
        </w:rPr>
        <w:t>, e</w:t>
      </w:r>
      <w:r w:rsidRPr="000907D3">
        <w:rPr>
          <w:rFonts w:ascii="Adobe Caslon Pro" w:hAnsi="Adobe Caslon Pro"/>
        </w:rPr>
        <w:t>n nuestro país</w:t>
      </w:r>
      <w:r w:rsidR="00160981">
        <w:rPr>
          <w:rFonts w:ascii="Adobe Caslon Pro" w:hAnsi="Adobe Caslon Pro"/>
        </w:rPr>
        <w:t>,</w:t>
      </w:r>
      <w:r w:rsidRPr="000907D3">
        <w:rPr>
          <w:rFonts w:ascii="Adobe Caslon Pro" w:hAnsi="Adobe Caslon Pro"/>
        </w:rPr>
        <w:t xml:space="preserve"> la participación de la sociedad civil organizada </w:t>
      </w:r>
      <w:r w:rsidR="001E5B65" w:rsidRPr="000907D3">
        <w:rPr>
          <w:rFonts w:ascii="Adobe Caslon Pro" w:hAnsi="Adobe Caslon Pro"/>
        </w:rPr>
        <w:t>ha sido</w:t>
      </w:r>
      <w:r w:rsidRPr="000907D3">
        <w:rPr>
          <w:rFonts w:ascii="Adobe Caslon Pro" w:hAnsi="Adobe Caslon Pro"/>
        </w:rPr>
        <w:t xml:space="preserve"> una aliada del gobierno </w:t>
      </w:r>
      <w:r w:rsidR="001E5B65" w:rsidRPr="000907D3">
        <w:rPr>
          <w:rFonts w:ascii="Adobe Caslon Pro" w:hAnsi="Adobe Caslon Pro"/>
        </w:rPr>
        <w:t>en</w:t>
      </w:r>
      <w:r w:rsidRPr="000907D3">
        <w:rPr>
          <w:rFonts w:ascii="Adobe Caslon Pro" w:hAnsi="Adobe Caslon Pro"/>
        </w:rPr>
        <w:t xml:space="preserve"> la concepción </w:t>
      </w:r>
      <w:r w:rsidR="001E5B65" w:rsidRPr="000907D3">
        <w:rPr>
          <w:rFonts w:ascii="Adobe Caslon Pro" w:hAnsi="Adobe Caslon Pro"/>
        </w:rPr>
        <w:t xml:space="preserve">y ejecución </w:t>
      </w:r>
      <w:r w:rsidRPr="000907D3">
        <w:rPr>
          <w:rFonts w:ascii="Adobe Caslon Pro" w:hAnsi="Adobe Caslon Pro"/>
        </w:rPr>
        <w:t xml:space="preserve">de estrategias </w:t>
      </w:r>
      <w:r w:rsidR="001E5B65" w:rsidRPr="000907D3">
        <w:rPr>
          <w:rFonts w:ascii="Adobe Caslon Pro" w:hAnsi="Adobe Caslon Pro"/>
        </w:rPr>
        <w:t>de política pública que plantean el objetivo de</w:t>
      </w:r>
      <w:r w:rsidRPr="000907D3">
        <w:rPr>
          <w:rFonts w:ascii="Adobe Caslon Pro" w:hAnsi="Adobe Caslon Pro"/>
        </w:rPr>
        <w:t xml:space="preserve"> mejorar la situación de </w:t>
      </w:r>
      <w:r w:rsidR="001E5B65" w:rsidRPr="000907D3">
        <w:rPr>
          <w:rFonts w:ascii="Adobe Caslon Pro" w:hAnsi="Adobe Caslon Pro"/>
        </w:rPr>
        <w:t xml:space="preserve">los </w:t>
      </w:r>
      <w:r w:rsidRPr="000907D3">
        <w:rPr>
          <w:rFonts w:ascii="Adobe Caslon Pro" w:hAnsi="Adobe Caslon Pro"/>
        </w:rPr>
        <w:t xml:space="preserve">grupos </w:t>
      </w:r>
      <w:r w:rsidR="001E5B65" w:rsidRPr="000907D3">
        <w:rPr>
          <w:rFonts w:ascii="Adobe Caslon Pro" w:hAnsi="Adobe Caslon Pro"/>
        </w:rPr>
        <w:t xml:space="preserve">poblacionales </w:t>
      </w:r>
      <w:r w:rsidRPr="000907D3">
        <w:rPr>
          <w:rFonts w:ascii="Adobe Caslon Pro" w:hAnsi="Adobe Caslon Pro"/>
        </w:rPr>
        <w:t xml:space="preserve">en situación de vulnerabilidad o con limitado acceso a </w:t>
      </w:r>
      <w:r w:rsidR="001E5B65" w:rsidRPr="000907D3">
        <w:rPr>
          <w:rFonts w:ascii="Adobe Caslon Pro" w:hAnsi="Adobe Caslon Pro"/>
        </w:rPr>
        <w:t xml:space="preserve">los </w:t>
      </w:r>
      <w:r w:rsidRPr="000907D3">
        <w:rPr>
          <w:rFonts w:ascii="Adobe Caslon Pro" w:hAnsi="Adobe Caslon Pro"/>
        </w:rPr>
        <w:t>derechos</w:t>
      </w:r>
      <w:r w:rsidR="001E5B65" w:rsidRPr="000907D3">
        <w:rPr>
          <w:rFonts w:ascii="Adobe Caslon Pro" w:hAnsi="Adobe Caslon Pro"/>
        </w:rPr>
        <w:t xml:space="preserve"> que la ley les otorga</w:t>
      </w:r>
      <w:r w:rsidRPr="000907D3">
        <w:rPr>
          <w:rFonts w:ascii="Adobe Caslon Pro" w:hAnsi="Adobe Caslon Pro"/>
        </w:rPr>
        <w:t xml:space="preserve">. </w:t>
      </w:r>
      <w:r w:rsidR="001E5B65" w:rsidRPr="000907D3">
        <w:rPr>
          <w:rFonts w:ascii="Adobe Caslon Pro" w:hAnsi="Adobe Caslon Pro"/>
        </w:rPr>
        <w:t xml:space="preserve">De hecho, </w:t>
      </w:r>
      <w:r w:rsidR="001E5B65" w:rsidRPr="000907D3">
        <w:rPr>
          <w:rFonts w:ascii="Adobe Caslon Pro" w:hAnsi="Adobe Caslon Pro" w:cs="Arial"/>
          <w:bCs/>
        </w:rPr>
        <w:t>u</w:t>
      </w:r>
      <w:r w:rsidRPr="000907D3">
        <w:rPr>
          <w:rFonts w:ascii="Adobe Caslon Pro" w:hAnsi="Adobe Caslon Pro" w:cs="Arial"/>
          <w:bCs/>
        </w:rPr>
        <w:t>no de los principales instrumentos para el fomento de las actividades y participación de los actores sociales con que cuenta el gobierno fe</w:t>
      </w:r>
      <w:r w:rsidR="001E5B65" w:rsidRPr="000907D3">
        <w:rPr>
          <w:rFonts w:ascii="Adobe Caslon Pro" w:hAnsi="Adobe Caslon Pro" w:cs="Arial"/>
          <w:bCs/>
        </w:rPr>
        <w:t>deral desde hace 21 años, es el PCS</w:t>
      </w:r>
      <w:r w:rsidRPr="000907D3">
        <w:rPr>
          <w:rFonts w:ascii="Adobe Caslon Pro" w:hAnsi="Adobe Caslon Pro" w:cs="Arial"/>
          <w:bCs/>
        </w:rPr>
        <w:t xml:space="preserve"> a cargo del </w:t>
      </w:r>
      <w:r w:rsidR="002F714E">
        <w:rPr>
          <w:rFonts w:ascii="Adobe Caslon Pro" w:hAnsi="Adobe Caslon Pro" w:cs="Arial"/>
          <w:bCs/>
        </w:rPr>
        <w:t>INDESOL</w:t>
      </w:r>
      <w:r w:rsidRPr="000907D3">
        <w:rPr>
          <w:rFonts w:ascii="Adobe Caslon Pro" w:hAnsi="Adobe Caslon Pro" w:cs="Arial"/>
          <w:bCs/>
        </w:rPr>
        <w:t>.</w:t>
      </w:r>
    </w:p>
    <w:p w:rsidR="00615B7E" w:rsidRDefault="00615B7E" w:rsidP="0043286B">
      <w:pPr>
        <w:spacing w:after="120" w:line="240" w:lineRule="auto"/>
        <w:jc w:val="both"/>
        <w:rPr>
          <w:rFonts w:ascii="Adobe Caslon Pro" w:hAnsi="Adobe Caslon Pro" w:cs="Arial"/>
          <w:bCs/>
        </w:rPr>
      </w:pPr>
      <w:r w:rsidRPr="000907D3">
        <w:rPr>
          <w:rFonts w:ascii="Adobe Caslon Pro" w:hAnsi="Adobe Caslon Pro"/>
        </w:rPr>
        <w:t xml:space="preserve">En este documento se presentan </w:t>
      </w:r>
      <w:r w:rsidR="000E2B46" w:rsidRPr="000907D3">
        <w:rPr>
          <w:rFonts w:ascii="Adobe Caslon Pro" w:hAnsi="Adobe Caslon Pro" w:cs="Arial"/>
          <w:bCs/>
        </w:rPr>
        <w:t>los resultados del diagnóstico y de la propuesta de a</w:t>
      </w:r>
      <w:r w:rsidRPr="000907D3">
        <w:rPr>
          <w:rFonts w:ascii="Adobe Caslon Pro" w:hAnsi="Adobe Caslon Pro" w:cs="Arial"/>
          <w:bCs/>
        </w:rPr>
        <w:t xml:space="preserve">tención del </w:t>
      </w:r>
      <w:r w:rsidR="000E2B46" w:rsidRPr="000907D3">
        <w:rPr>
          <w:rFonts w:ascii="Adobe Caslon Pro" w:hAnsi="Adobe Caslon Pro" w:cs="Arial"/>
          <w:bCs/>
        </w:rPr>
        <w:t xml:space="preserve">PCS, los cuales fueron elaborados </w:t>
      </w:r>
      <w:r w:rsidRPr="000907D3">
        <w:rPr>
          <w:rFonts w:ascii="Adobe Caslon Pro" w:hAnsi="Adobe Caslon Pro" w:cs="Arial"/>
          <w:bCs/>
        </w:rPr>
        <w:t xml:space="preserve">de conformidad con los lineamientos establecidos por la </w:t>
      </w:r>
      <w:r w:rsidR="002F714E">
        <w:rPr>
          <w:rFonts w:ascii="Adobe Caslon Pro" w:hAnsi="Adobe Caslon Pro" w:cs="Arial"/>
          <w:bCs/>
        </w:rPr>
        <w:t>SEDESOL</w:t>
      </w:r>
      <w:r w:rsidR="00773739" w:rsidRPr="000907D3">
        <w:rPr>
          <w:rFonts w:ascii="Adobe Caslon Pro" w:hAnsi="Adobe Caslon Pro" w:cs="Arial"/>
          <w:bCs/>
        </w:rPr>
        <w:t xml:space="preserve"> y los elementos mínimos a considerar presentados por el </w:t>
      </w:r>
      <w:r w:rsidR="00AE5A03">
        <w:rPr>
          <w:rFonts w:ascii="Adobe Caslon Pro" w:hAnsi="Adobe Caslon Pro" w:cs="Arial"/>
          <w:bCs/>
        </w:rPr>
        <w:t>CONEVAL</w:t>
      </w:r>
      <w:r w:rsidRPr="000907D3">
        <w:rPr>
          <w:rFonts w:ascii="Adobe Caslon Pro" w:hAnsi="Adobe Caslon Pro" w:cs="Arial"/>
          <w:bCs/>
        </w:rPr>
        <w:t xml:space="preserve">. </w:t>
      </w:r>
      <w:r w:rsidR="00773739" w:rsidRPr="000907D3">
        <w:rPr>
          <w:rFonts w:ascii="Adobe Caslon Pro" w:hAnsi="Adobe Caslon Pro" w:cs="Arial"/>
          <w:bCs/>
        </w:rPr>
        <w:t>De manera particular</w:t>
      </w:r>
      <w:r w:rsidRPr="000907D3">
        <w:rPr>
          <w:rFonts w:ascii="Adobe Caslon Pro" w:hAnsi="Adobe Caslon Pro" w:cs="Arial"/>
          <w:bCs/>
        </w:rPr>
        <w:t xml:space="preserve">, </w:t>
      </w:r>
      <w:r w:rsidR="00773739" w:rsidRPr="000907D3">
        <w:rPr>
          <w:rFonts w:ascii="Adobe Caslon Pro" w:hAnsi="Adobe Caslon Pro" w:cs="Arial"/>
          <w:bCs/>
        </w:rPr>
        <w:t xml:space="preserve">el presente escrito </w:t>
      </w:r>
      <w:r w:rsidRPr="000907D3">
        <w:rPr>
          <w:rFonts w:ascii="Adobe Caslon Pro" w:hAnsi="Adobe Caslon Pro" w:cs="Arial"/>
          <w:bCs/>
        </w:rPr>
        <w:t>sur</w:t>
      </w:r>
      <w:r w:rsidR="00773739" w:rsidRPr="000907D3">
        <w:rPr>
          <w:rFonts w:ascii="Adobe Caslon Pro" w:hAnsi="Adobe Caslon Pro" w:cs="Arial"/>
          <w:bCs/>
        </w:rPr>
        <w:t>ge como respuesta a la siguiente observación derivada de los</w:t>
      </w:r>
      <w:r w:rsidRPr="000907D3">
        <w:rPr>
          <w:rFonts w:ascii="Adobe Caslon Pro" w:hAnsi="Adobe Caslon Pro" w:cs="Arial"/>
          <w:bCs/>
        </w:rPr>
        <w:t xml:space="preserve"> resultados </w:t>
      </w:r>
      <w:r w:rsidR="00773739" w:rsidRPr="000907D3">
        <w:rPr>
          <w:rFonts w:ascii="Adobe Caslon Pro" w:hAnsi="Adobe Caslon Pro" w:cs="Arial"/>
          <w:bCs/>
        </w:rPr>
        <w:t xml:space="preserve">que en materia de diseño arrojó la Meta Evaluación 2007-2012 del PCS: </w:t>
      </w:r>
      <w:r w:rsidRPr="000907D3">
        <w:rPr>
          <w:rFonts w:ascii="Adobe Caslon Pro" w:hAnsi="Adobe Caslon Pro" w:cs="Arial"/>
          <w:bCs/>
        </w:rPr>
        <w:t>“</w:t>
      </w:r>
      <w:r w:rsidR="00773739" w:rsidRPr="000907D3">
        <w:rPr>
          <w:rFonts w:ascii="Adobe Caslon Pro" w:hAnsi="Adobe Caslon Pro" w:cs="Arial"/>
          <w:bCs/>
          <w:i/>
        </w:rPr>
        <w:t>[e]</w:t>
      </w:r>
      <w:r w:rsidRPr="000907D3">
        <w:rPr>
          <w:rFonts w:ascii="Adobe Caslon Pro" w:hAnsi="Adobe Caslon Pro" w:cs="Arial"/>
          <w:bCs/>
          <w:i/>
        </w:rPr>
        <w:t>l problema focal y los objetivos del programa así como la población potencial y objetivo no están correctamente identificados y claramente definidos, pues subsisten algunas ambigüedades e inconsistencias importantes que se reflejan en las Reglas de Operación 2012, el Diagnóstico 2009 y la Nota sobre población potencial y población objetivo 2011.</w:t>
      </w:r>
      <w:r w:rsidR="00773739" w:rsidRPr="000907D3">
        <w:rPr>
          <w:rFonts w:ascii="Adobe Caslon Pro" w:hAnsi="Adobe Caslon Pro" w:cs="Arial"/>
          <w:bCs/>
        </w:rPr>
        <w:t>”</w:t>
      </w:r>
    </w:p>
    <w:p w:rsidR="00615B7E" w:rsidRDefault="00A2098F" w:rsidP="0043286B">
      <w:pPr>
        <w:spacing w:after="120" w:line="240" w:lineRule="auto"/>
        <w:jc w:val="both"/>
        <w:rPr>
          <w:rFonts w:ascii="Adobe Caslon Pro" w:hAnsi="Adobe Caslon Pro"/>
        </w:rPr>
      </w:pPr>
      <w:r>
        <w:rPr>
          <w:rFonts w:ascii="Adobe Caslon Pro" w:hAnsi="Adobe Caslon Pro" w:cs="Arial"/>
          <w:bCs/>
        </w:rPr>
        <w:t>Por consiguiente, el presente documento se elaboró siguiendo</w:t>
      </w:r>
      <w:r w:rsidR="00615B7E" w:rsidRPr="000907D3">
        <w:rPr>
          <w:rFonts w:ascii="Adobe Caslon Pro" w:hAnsi="Adobe Caslon Pro"/>
        </w:rPr>
        <w:t xml:space="preserve"> la </w:t>
      </w:r>
      <w:r w:rsidR="005A1A70" w:rsidRPr="000907D3">
        <w:rPr>
          <w:rFonts w:ascii="Adobe Caslon Pro" w:hAnsi="Adobe Caslon Pro"/>
        </w:rPr>
        <w:t>metodología del marco l</w:t>
      </w:r>
      <w:r w:rsidR="00615B7E" w:rsidRPr="000907D3">
        <w:rPr>
          <w:rFonts w:ascii="Adobe Caslon Pro" w:hAnsi="Adobe Caslon Pro"/>
        </w:rPr>
        <w:t>ógico</w:t>
      </w:r>
      <w:r w:rsidR="005A1A70" w:rsidRPr="000907D3">
        <w:rPr>
          <w:rFonts w:ascii="Adobe Caslon Pro" w:hAnsi="Adobe Caslon Pro"/>
        </w:rPr>
        <w:t>,</w:t>
      </w:r>
      <w:r w:rsidR="00982976">
        <w:rPr>
          <w:rFonts w:ascii="Adobe Caslon Pro" w:hAnsi="Adobe Caslon Pro"/>
        </w:rPr>
        <w:t xml:space="preserve"> </w:t>
      </w:r>
      <w:r w:rsidR="005A1A70" w:rsidRPr="000907D3">
        <w:rPr>
          <w:rFonts w:ascii="Adobe Caslon Pro" w:hAnsi="Adobe Caslon Pro"/>
        </w:rPr>
        <w:t>que es</w:t>
      </w:r>
      <w:r w:rsidR="005D4951">
        <w:rPr>
          <w:rFonts w:ascii="Adobe Caslon Pro" w:hAnsi="Adobe Caslon Pro"/>
        </w:rPr>
        <w:t xml:space="preserve"> </w:t>
      </w:r>
      <w:r w:rsidR="005A1A70" w:rsidRPr="000907D3">
        <w:rPr>
          <w:rFonts w:ascii="Adobe Caslon Pro" w:hAnsi="Adobe Caslon Pro"/>
        </w:rPr>
        <w:t>una herramienta que permite vincular las característ</w:t>
      </w:r>
      <w:r w:rsidR="00304961">
        <w:rPr>
          <w:rFonts w:ascii="Adobe Caslon Pro" w:hAnsi="Adobe Caslon Pro"/>
        </w:rPr>
        <w:t>icas principales de un programa</w:t>
      </w:r>
      <w:r>
        <w:rPr>
          <w:rFonts w:ascii="Adobe Caslon Pro" w:hAnsi="Adobe Caslon Pro"/>
        </w:rPr>
        <w:t xml:space="preserve"> público</w:t>
      </w:r>
      <w:r w:rsidR="005A1A70" w:rsidRPr="000907D3">
        <w:rPr>
          <w:rFonts w:ascii="Adobe Caslon Pro" w:hAnsi="Adobe Caslon Pro"/>
        </w:rPr>
        <w:t xml:space="preserve"> desde la identificación y definición del problema, el diseño de la intervención pública, la ejecución y monitoreo</w:t>
      </w:r>
      <w:r w:rsidR="005D4951">
        <w:rPr>
          <w:rFonts w:ascii="Adobe Caslon Pro" w:hAnsi="Adobe Caslon Pro"/>
        </w:rPr>
        <w:t xml:space="preserve"> </w:t>
      </w:r>
      <w:r w:rsidR="005A1A70" w:rsidRPr="000907D3">
        <w:rPr>
          <w:rFonts w:ascii="Adobe Caslon Pro" w:hAnsi="Adobe Caslon Pro"/>
        </w:rPr>
        <w:t xml:space="preserve">hasta la evaluación. </w:t>
      </w:r>
      <w:r w:rsidR="00615B7E" w:rsidRPr="000907D3">
        <w:rPr>
          <w:rFonts w:ascii="Adobe Caslon Pro" w:hAnsi="Adobe Caslon Pro"/>
        </w:rPr>
        <w:t xml:space="preserve">La primera </w:t>
      </w:r>
      <w:r w:rsidR="005A1A70" w:rsidRPr="000907D3">
        <w:rPr>
          <w:rFonts w:ascii="Adobe Caslon Pro" w:hAnsi="Adobe Caslon Pro"/>
        </w:rPr>
        <w:t>parte del documento</w:t>
      </w:r>
      <w:r>
        <w:rPr>
          <w:rFonts w:ascii="Adobe Caslon Pro" w:hAnsi="Adobe Caslon Pro"/>
        </w:rPr>
        <w:t xml:space="preserve"> consiste del diagnóstico del PCS, </w:t>
      </w:r>
      <w:r w:rsidR="00615B7E" w:rsidRPr="000907D3">
        <w:rPr>
          <w:rFonts w:ascii="Adobe Caslon Pro" w:hAnsi="Adobe Caslon Pro"/>
        </w:rPr>
        <w:t xml:space="preserve">en el que se analizan las </w:t>
      </w:r>
      <w:r w:rsidR="005A1A70" w:rsidRPr="000907D3">
        <w:rPr>
          <w:rFonts w:ascii="Adobe Caslon Pro" w:hAnsi="Adobe Caslon Pro"/>
        </w:rPr>
        <w:t xml:space="preserve">principales </w:t>
      </w:r>
      <w:r w:rsidR="00615B7E" w:rsidRPr="000907D3">
        <w:rPr>
          <w:rFonts w:ascii="Adobe Caslon Pro" w:hAnsi="Adobe Caslon Pro"/>
        </w:rPr>
        <w:t xml:space="preserve">causas que generan el problema </w:t>
      </w:r>
      <w:r w:rsidR="00D57190">
        <w:rPr>
          <w:rFonts w:ascii="Adobe Caslon Pro" w:hAnsi="Adobe Caslon Pro"/>
        </w:rPr>
        <w:t>público que el programa</w:t>
      </w:r>
      <w:r w:rsidR="005A1A70" w:rsidRPr="000907D3">
        <w:rPr>
          <w:rFonts w:ascii="Adobe Caslon Pro" w:hAnsi="Adobe Caslon Pro"/>
        </w:rPr>
        <w:t xml:space="preserve"> busca resolver, así como</w:t>
      </w:r>
      <w:r w:rsidR="005D4951">
        <w:rPr>
          <w:rFonts w:ascii="Adobe Caslon Pro" w:hAnsi="Adobe Caslon Pro"/>
        </w:rPr>
        <w:t xml:space="preserve"> </w:t>
      </w:r>
      <w:r>
        <w:rPr>
          <w:rFonts w:ascii="Adobe Caslon Pro" w:hAnsi="Adobe Caslon Pro"/>
        </w:rPr>
        <w:t>los</w:t>
      </w:r>
      <w:r w:rsidR="005A1A70" w:rsidRPr="000907D3">
        <w:rPr>
          <w:rFonts w:ascii="Adobe Caslon Pro" w:hAnsi="Adobe Caslon Pro"/>
        </w:rPr>
        <w:t xml:space="preserve"> efectos</w:t>
      </w:r>
      <w:r>
        <w:rPr>
          <w:rFonts w:ascii="Adobe Caslon Pro" w:hAnsi="Adobe Caslon Pro"/>
        </w:rPr>
        <w:t xml:space="preserve"> que este pro</w:t>
      </w:r>
      <w:r w:rsidR="00D57190">
        <w:rPr>
          <w:rFonts w:ascii="Adobe Caslon Pro" w:hAnsi="Adobe Caslon Pro"/>
        </w:rPr>
        <w:t>blema</w:t>
      </w:r>
      <w:r>
        <w:rPr>
          <w:rFonts w:ascii="Adobe Caslon Pro" w:hAnsi="Adobe Caslon Pro"/>
        </w:rPr>
        <w:t xml:space="preserve"> genera</w:t>
      </w:r>
      <w:r w:rsidR="005A1A70" w:rsidRPr="000907D3">
        <w:rPr>
          <w:rFonts w:ascii="Adobe Caslon Pro" w:hAnsi="Adobe Caslon Pro"/>
        </w:rPr>
        <w:t>, para lo que resulta de utilidad el planteamiento del á</w:t>
      </w:r>
      <w:r w:rsidR="00615B7E" w:rsidRPr="000907D3">
        <w:rPr>
          <w:rFonts w:ascii="Adobe Caslon Pro" w:hAnsi="Adobe Caslon Pro"/>
        </w:rPr>
        <w:t>rbol de</w:t>
      </w:r>
      <w:r w:rsidR="005A1A70" w:rsidRPr="000907D3">
        <w:rPr>
          <w:rFonts w:ascii="Adobe Caslon Pro" w:hAnsi="Adobe Caslon Pro"/>
        </w:rPr>
        <w:t>l problema. Asimismo</w:t>
      </w:r>
      <w:r w:rsidR="006551F6" w:rsidRPr="000907D3">
        <w:rPr>
          <w:rFonts w:ascii="Adobe Caslon Pro" w:hAnsi="Adobe Caslon Pro"/>
        </w:rPr>
        <w:t>,</w:t>
      </w:r>
      <w:r w:rsidR="005A1A70" w:rsidRPr="000907D3">
        <w:rPr>
          <w:rFonts w:ascii="Adobe Caslon Pro" w:hAnsi="Adobe Caslon Pro"/>
        </w:rPr>
        <w:t xml:space="preserve"> </w:t>
      </w:r>
      <w:r w:rsidR="00D57190">
        <w:rPr>
          <w:rFonts w:ascii="Adobe Caslon Pro" w:hAnsi="Adobe Caslon Pro"/>
        </w:rPr>
        <w:t>en el diagnóstico se</w:t>
      </w:r>
      <w:r w:rsidR="005A1A70" w:rsidRPr="000907D3">
        <w:rPr>
          <w:rFonts w:ascii="Adobe Caslon Pro" w:hAnsi="Adobe Caslon Pro"/>
        </w:rPr>
        <w:t xml:space="preserve"> </w:t>
      </w:r>
      <w:r w:rsidR="00D57190">
        <w:rPr>
          <w:rFonts w:ascii="Adobe Caslon Pro" w:hAnsi="Adobe Caslon Pro"/>
        </w:rPr>
        <w:t>presenta</w:t>
      </w:r>
      <w:r w:rsidR="006551F6" w:rsidRPr="000907D3">
        <w:rPr>
          <w:rFonts w:ascii="Adobe Caslon Pro" w:hAnsi="Adobe Caslon Pro"/>
        </w:rPr>
        <w:t xml:space="preserve"> la defin</w:t>
      </w:r>
      <w:r w:rsidR="00D57190">
        <w:rPr>
          <w:rFonts w:ascii="Adobe Caslon Pro" w:hAnsi="Adobe Caslon Pro"/>
        </w:rPr>
        <w:t xml:space="preserve">ición, identificación, </w:t>
      </w:r>
      <w:r w:rsidR="00615B7E" w:rsidRPr="000907D3">
        <w:rPr>
          <w:rFonts w:ascii="Adobe Caslon Pro" w:hAnsi="Adobe Caslon Pro"/>
        </w:rPr>
        <w:t>cuantifica</w:t>
      </w:r>
      <w:r w:rsidR="006551F6" w:rsidRPr="000907D3">
        <w:rPr>
          <w:rFonts w:ascii="Adobe Caslon Pro" w:hAnsi="Adobe Caslon Pro"/>
        </w:rPr>
        <w:t xml:space="preserve">ción </w:t>
      </w:r>
      <w:r w:rsidR="00D57190">
        <w:rPr>
          <w:rFonts w:ascii="Adobe Caslon Pro" w:hAnsi="Adobe Caslon Pro"/>
        </w:rPr>
        <w:t xml:space="preserve">y caracterización </w:t>
      </w:r>
      <w:r w:rsidR="006551F6" w:rsidRPr="000907D3">
        <w:rPr>
          <w:rFonts w:ascii="Adobe Caslon Pro" w:hAnsi="Adobe Caslon Pro"/>
        </w:rPr>
        <w:t xml:space="preserve">de </w:t>
      </w:r>
      <w:r w:rsidR="00615B7E" w:rsidRPr="000907D3">
        <w:rPr>
          <w:rFonts w:ascii="Adobe Caslon Pro" w:hAnsi="Adobe Caslon Pro"/>
        </w:rPr>
        <w:t>las poblaciones potencial y objetivo</w:t>
      </w:r>
      <w:r w:rsidR="00D57190">
        <w:rPr>
          <w:rFonts w:ascii="Adobe Caslon Pro" w:hAnsi="Adobe Caslon Pro"/>
        </w:rPr>
        <w:t xml:space="preserve"> del PCS</w:t>
      </w:r>
      <w:r w:rsidR="00615B7E" w:rsidRPr="000907D3">
        <w:rPr>
          <w:rFonts w:ascii="Adobe Caslon Pro" w:hAnsi="Adobe Caslon Pro"/>
        </w:rPr>
        <w:t xml:space="preserve">. En la </w:t>
      </w:r>
      <w:r w:rsidR="006551F6" w:rsidRPr="000907D3">
        <w:rPr>
          <w:rFonts w:ascii="Adobe Caslon Pro" w:hAnsi="Adobe Caslon Pro"/>
        </w:rPr>
        <w:t>segunda</w:t>
      </w:r>
      <w:r w:rsidR="005D4951">
        <w:rPr>
          <w:rFonts w:ascii="Adobe Caslon Pro" w:hAnsi="Adobe Caslon Pro"/>
        </w:rPr>
        <w:t xml:space="preserve"> </w:t>
      </w:r>
      <w:r w:rsidR="006551F6" w:rsidRPr="000907D3">
        <w:rPr>
          <w:rFonts w:ascii="Adobe Caslon Pro" w:hAnsi="Adobe Caslon Pro"/>
        </w:rPr>
        <w:t>parte</w:t>
      </w:r>
      <w:r w:rsidR="00D57190">
        <w:rPr>
          <w:rFonts w:ascii="Adobe Caslon Pro" w:hAnsi="Adobe Caslon Pro"/>
        </w:rPr>
        <w:t xml:space="preserve"> del documento</w:t>
      </w:r>
      <w:r w:rsidR="00615B7E" w:rsidRPr="000907D3">
        <w:rPr>
          <w:rFonts w:ascii="Adobe Caslon Pro" w:hAnsi="Adobe Caslon Pro"/>
        </w:rPr>
        <w:t xml:space="preserve">, </w:t>
      </w:r>
      <w:r w:rsidR="006551F6" w:rsidRPr="000907D3">
        <w:rPr>
          <w:rFonts w:ascii="Adobe Caslon Pro" w:hAnsi="Adobe Caslon Pro"/>
        </w:rPr>
        <w:t xml:space="preserve">se </w:t>
      </w:r>
      <w:r w:rsidR="00D57190">
        <w:rPr>
          <w:rFonts w:ascii="Adobe Caslon Pro" w:hAnsi="Adobe Caslon Pro"/>
        </w:rPr>
        <w:t>desarrolla</w:t>
      </w:r>
      <w:r w:rsidR="006551F6" w:rsidRPr="000907D3">
        <w:rPr>
          <w:rFonts w:ascii="Adobe Caslon Pro" w:hAnsi="Adobe Caslon Pro"/>
        </w:rPr>
        <w:t xml:space="preserve"> la propuesta de a</w:t>
      </w:r>
      <w:r w:rsidR="00615B7E" w:rsidRPr="000907D3">
        <w:rPr>
          <w:rFonts w:ascii="Adobe Caslon Pro" w:hAnsi="Adobe Caslon Pro"/>
        </w:rPr>
        <w:t xml:space="preserve">tención, </w:t>
      </w:r>
      <w:r w:rsidR="006551F6" w:rsidRPr="000907D3">
        <w:rPr>
          <w:rFonts w:ascii="Adobe Caslon Pro" w:hAnsi="Adobe Caslon Pro"/>
        </w:rPr>
        <w:t xml:space="preserve">la cual consiste de </w:t>
      </w:r>
      <w:r w:rsidR="00615B7E" w:rsidRPr="000907D3">
        <w:rPr>
          <w:rFonts w:ascii="Adobe Caslon Pro" w:hAnsi="Adobe Caslon Pro"/>
        </w:rPr>
        <w:t xml:space="preserve">un análisis </w:t>
      </w:r>
      <w:r w:rsidR="006551F6" w:rsidRPr="000907D3">
        <w:rPr>
          <w:rFonts w:ascii="Adobe Caslon Pro" w:hAnsi="Adobe Caslon Pro"/>
        </w:rPr>
        <w:t>de la</w:t>
      </w:r>
      <w:r w:rsidR="00615B7E" w:rsidRPr="000907D3">
        <w:rPr>
          <w:rFonts w:ascii="Adobe Caslon Pro" w:hAnsi="Adobe Caslon Pro"/>
        </w:rPr>
        <w:t xml:space="preserve">s principales </w:t>
      </w:r>
      <w:r w:rsidR="006551F6" w:rsidRPr="000907D3">
        <w:rPr>
          <w:rFonts w:ascii="Adobe Caslon Pro" w:hAnsi="Adobe Caslon Pro"/>
        </w:rPr>
        <w:t>modalidades</w:t>
      </w:r>
      <w:r w:rsidR="00615B7E" w:rsidRPr="000907D3">
        <w:rPr>
          <w:rFonts w:ascii="Adobe Caslon Pro" w:hAnsi="Adobe Caslon Pro"/>
        </w:rPr>
        <w:t xml:space="preserve"> de participación </w:t>
      </w:r>
      <w:r w:rsidR="006551F6" w:rsidRPr="000907D3">
        <w:rPr>
          <w:rFonts w:ascii="Adobe Caslon Pro" w:hAnsi="Adobe Caslon Pro"/>
        </w:rPr>
        <w:t xml:space="preserve">conjunta entre </w:t>
      </w:r>
      <w:r w:rsidR="00615B7E" w:rsidRPr="000907D3">
        <w:rPr>
          <w:rFonts w:ascii="Adobe Caslon Pro" w:hAnsi="Adobe Caslon Pro"/>
        </w:rPr>
        <w:t xml:space="preserve">la sociedad civil organizada </w:t>
      </w:r>
      <w:r w:rsidR="006551F6" w:rsidRPr="000907D3">
        <w:rPr>
          <w:rFonts w:ascii="Adobe Caslon Pro" w:hAnsi="Adobe Caslon Pro"/>
        </w:rPr>
        <w:t>y el g</w:t>
      </w:r>
      <w:r w:rsidR="00615B7E" w:rsidRPr="000907D3">
        <w:rPr>
          <w:rFonts w:ascii="Adobe Caslon Pro" w:hAnsi="Adobe Caslon Pro"/>
        </w:rPr>
        <w:t>obierno</w:t>
      </w:r>
      <w:r w:rsidR="006551F6" w:rsidRPr="000907D3">
        <w:rPr>
          <w:rFonts w:ascii="Adobe Caslon Pro" w:hAnsi="Adobe Caslon Pro"/>
        </w:rPr>
        <w:t>, con el objetivo</w:t>
      </w:r>
      <w:r w:rsidR="005D4951">
        <w:rPr>
          <w:rFonts w:ascii="Adobe Caslon Pro" w:hAnsi="Adobe Caslon Pro"/>
        </w:rPr>
        <w:t xml:space="preserve"> </w:t>
      </w:r>
      <w:r w:rsidR="006551F6" w:rsidRPr="000907D3">
        <w:rPr>
          <w:rFonts w:ascii="Adobe Caslon Pro" w:hAnsi="Adobe Caslon Pro"/>
        </w:rPr>
        <w:t>de</w:t>
      </w:r>
      <w:r w:rsidR="005D4951">
        <w:rPr>
          <w:rFonts w:ascii="Adobe Caslon Pro" w:hAnsi="Adobe Caslon Pro"/>
        </w:rPr>
        <w:t xml:space="preserve"> </w:t>
      </w:r>
      <w:r w:rsidR="006551F6" w:rsidRPr="000907D3">
        <w:rPr>
          <w:rFonts w:ascii="Adobe Caslon Pro" w:hAnsi="Adobe Caslon Pro"/>
        </w:rPr>
        <w:t xml:space="preserve">llevar a cabo acciones de desarrollo social. Además, la propuesta de atención </w:t>
      </w:r>
      <w:r w:rsidR="00D57190">
        <w:rPr>
          <w:rFonts w:ascii="Adobe Caslon Pro" w:hAnsi="Adobe Caslon Pro"/>
        </w:rPr>
        <w:t xml:space="preserve">revisa </w:t>
      </w:r>
      <w:r w:rsidR="00615B7E" w:rsidRPr="000907D3">
        <w:rPr>
          <w:rFonts w:ascii="Adobe Caslon Pro" w:hAnsi="Adobe Caslon Pro"/>
        </w:rPr>
        <w:t xml:space="preserve">el marco legal </w:t>
      </w:r>
      <w:r w:rsidR="006551F6" w:rsidRPr="000907D3">
        <w:rPr>
          <w:rFonts w:ascii="Adobe Caslon Pro" w:hAnsi="Adobe Caslon Pro"/>
        </w:rPr>
        <w:t>en el que se desarrolla la interacción entre la OSC y las autoridades gubernamentales</w:t>
      </w:r>
      <w:r w:rsidR="00615B7E" w:rsidRPr="000907D3">
        <w:rPr>
          <w:rFonts w:ascii="Adobe Caslon Pro" w:hAnsi="Adobe Caslon Pro"/>
        </w:rPr>
        <w:t>.</w:t>
      </w:r>
    </w:p>
    <w:p w:rsidR="00615B7E" w:rsidRDefault="00615B7E" w:rsidP="0043286B">
      <w:pPr>
        <w:spacing w:after="120" w:line="240" w:lineRule="auto"/>
        <w:jc w:val="both"/>
        <w:rPr>
          <w:rFonts w:ascii="Adobe Caslon Pro" w:hAnsi="Adobe Caslon Pro" w:cs="Arial"/>
          <w:bCs/>
        </w:rPr>
      </w:pPr>
      <w:r w:rsidRPr="000907D3">
        <w:rPr>
          <w:rFonts w:ascii="Adobe Caslon Pro" w:hAnsi="Adobe Caslon Pro" w:cs="Arial"/>
          <w:bCs/>
        </w:rPr>
        <w:t>Con la finalidad de definir la estrategia mediante la cual se impulsará y fortalecerá el trabajo conjunto de los actores sociales con el Estado, es</w:t>
      </w:r>
      <w:r w:rsidR="005D4951">
        <w:rPr>
          <w:rFonts w:ascii="Adobe Caslon Pro" w:hAnsi="Adobe Caslon Pro" w:cs="Arial"/>
          <w:bCs/>
        </w:rPr>
        <w:t xml:space="preserve"> </w:t>
      </w:r>
      <w:r w:rsidRPr="000907D3">
        <w:rPr>
          <w:rFonts w:ascii="Adobe Caslon Pro" w:hAnsi="Adobe Caslon Pro" w:cs="Arial"/>
          <w:bCs/>
        </w:rPr>
        <w:t>necesario definir la problemática que enfrentan los actores sociales. En este sentido, el problema cent</w:t>
      </w:r>
      <w:r w:rsidR="001E5B65" w:rsidRPr="000907D3">
        <w:rPr>
          <w:rFonts w:ascii="Adobe Caslon Pro" w:hAnsi="Adobe Caslon Pro" w:cs="Arial"/>
          <w:bCs/>
        </w:rPr>
        <w:t>ral identificado en el árbol del problema se plantea de la manera siguiente:</w:t>
      </w:r>
      <w:r w:rsidR="005D4951">
        <w:rPr>
          <w:rFonts w:ascii="Adobe Caslon Pro" w:hAnsi="Adobe Caslon Pro" w:cs="Arial"/>
          <w:bCs/>
        </w:rPr>
        <w:t xml:space="preserve"> </w:t>
      </w:r>
      <w:r w:rsidR="0025571B">
        <w:rPr>
          <w:rFonts w:ascii="Adobe Caslon Pro" w:hAnsi="Adobe Caslon Pro" w:cs="Arial"/>
          <w:i/>
        </w:rPr>
        <w:t>actores s</w:t>
      </w:r>
      <w:r w:rsidR="00037A7E" w:rsidRPr="000907D3">
        <w:rPr>
          <w:rFonts w:ascii="Adobe Caslon Pro" w:hAnsi="Adobe Caslon Pro" w:cs="Arial"/>
          <w:i/>
        </w:rPr>
        <w:t xml:space="preserve">ociales con capacidad limitada para desarrollar acciones de fomento a la cohesión social y al </w:t>
      </w:r>
      <w:r w:rsidR="00037A7E" w:rsidRPr="000907D3">
        <w:rPr>
          <w:rFonts w:ascii="Adobe Caslon Pro" w:hAnsi="Adobe Caslon Pro" w:cs="Arial"/>
          <w:i/>
        </w:rPr>
        <w:lastRenderedPageBreak/>
        <w:t>capital social de grupos y regiones que viven en situación de vulnerabilidad y exclusión.</w:t>
      </w:r>
      <w:r w:rsidR="005D4951">
        <w:rPr>
          <w:rFonts w:ascii="Adobe Caslon Pro" w:hAnsi="Adobe Caslon Pro" w:cs="Arial"/>
          <w:i/>
        </w:rPr>
        <w:t xml:space="preserve"> </w:t>
      </w:r>
      <w:r w:rsidRPr="000907D3">
        <w:rPr>
          <w:rFonts w:ascii="Adobe Caslon Pro" w:hAnsi="Adobe Caslon Pro" w:cs="Arial"/>
          <w:bCs/>
        </w:rPr>
        <w:t xml:space="preserve">Se encontraron cinco causas principales </w:t>
      </w:r>
      <w:r w:rsidR="001E5B65" w:rsidRPr="000907D3">
        <w:rPr>
          <w:rFonts w:ascii="Adobe Caslon Pro" w:hAnsi="Adobe Caslon Pro" w:cs="Arial"/>
          <w:bCs/>
        </w:rPr>
        <w:t>d</w:t>
      </w:r>
      <w:r w:rsidRPr="000907D3">
        <w:rPr>
          <w:rFonts w:ascii="Adobe Caslon Pro" w:hAnsi="Adobe Caslon Pro" w:cs="Arial"/>
          <w:bCs/>
        </w:rPr>
        <w:t>el problema: insuficientes mecanismos para la articulación de actores sociales</w:t>
      </w:r>
      <w:r w:rsidR="00304961">
        <w:rPr>
          <w:rFonts w:ascii="Adobe Caslon Pro" w:hAnsi="Adobe Caslon Pro" w:cs="Arial"/>
          <w:bCs/>
        </w:rPr>
        <w:t xml:space="preserve"> y gubernamentales</w:t>
      </w:r>
      <w:r w:rsidR="0025571B">
        <w:rPr>
          <w:rFonts w:ascii="Adobe Caslon Pro" w:hAnsi="Adobe Caslon Pro" w:cs="Arial"/>
          <w:bCs/>
        </w:rPr>
        <w:t>,</w:t>
      </w:r>
      <w:r w:rsidRPr="000907D3">
        <w:rPr>
          <w:rFonts w:ascii="Adobe Caslon Pro" w:hAnsi="Adobe Caslon Pro" w:cs="Arial"/>
          <w:bCs/>
        </w:rPr>
        <w:t xml:space="preserve"> limitados recursos públicos para la realización de acciones por parte de los actores sociales, incipiente desarrollo institucional de los actores sociales, insuficiente información sobre el impacto y valor del trabajo de los actores sociales y escasa </w:t>
      </w:r>
      <w:r w:rsidR="00402BA8">
        <w:rPr>
          <w:rFonts w:ascii="Adobe Caslon Pro" w:hAnsi="Adobe Caslon Pro" w:cs="Arial"/>
          <w:bCs/>
        </w:rPr>
        <w:t xml:space="preserve">o nula </w:t>
      </w:r>
      <w:r w:rsidRPr="000907D3">
        <w:rPr>
          <w:rFonts w:ascii="Adobe Caslon Pro" w:hAnsi="Adobe Caslon Pro" w:cs="Arial"/>
          <w:bCs/>
        </w:rPr>
        <w:t xml:space="preserve">sinergia entre </w:t>
      </w:r>
      <w:r w:rsidR="0025571B">
        <w:rPr>
          <w:rFonts w:ascii="Adobe Caslon Pro" w:hAnsi="Adobe Caslon Pro" w:cs="Arial"/>
          <w:bCs/>
        </w:rPr>
        <w:t xml:space="preserve">los </w:t>
      </w:r>
      <w:r w:rsidRPr="000907D3">
        <w:rPr>
          <w:rFonts w:ascii="Adobe Caslon Pro" w:hAnsi="Adobe Caslon Pro" w:cs="Arial"/>
          <w:bCs/>
        </w:rPr>
        <w:t>actores sociales.</w:t>
      </w:r>
    </w:p>
    <w:p w:rsidR="00615B7E" w:rsidRDefault="0025571B" w:rsidP="0043286B">
      <w:pPr>
        <w:spacing w:after="120" w:line="240" w:lineRule="auto"/>
        <w:jc w:val="both"/>
        <w:rPr>
          <w:rFonts w:ascii="Adobe Caslon Pro" w:hAnsi="Adobe Caslon Pro" w:cs="Arial"/>
          <w:bCs/>
        </w:rPr>
      </w:pPr>
      <w:r>
        <w:rPr>
          <w:rFonts w:ascii="Adobe Caslon Pro" w:hAnsi="Adobe Caslon Pro" w:cs="Arial"/>
          <w:bCs/>
        </w:rPr>
        <w:t>Una de las principales conclusiones del diagnóstico es</w:t>
      </w:r>
      <w:r w:rsidR="00615B7E" w:rsidRPr="000907D3">
        <w:rPr>
          <w:rFonts w:ascii="Adobe Caslon Pro" w:hAnsi="Adobe Caslon Pro" w:cs="Arial"/>
          <w:bCs/>
        </w:rPr>
        <w:t xml:space="preserve"> que en México se cuenta con el marco normativo necesario para avanzar y procurar el fomento a las acciones de las OSC a favor del desarrollo social. El reto consiste en lograr que </w:t>
      </w:r>
      <w:r w:rsidR="001E5B65" w:rsidRPr="000907D3">
        <w:rPr>
          <w:rFonts w:ascii="Adobe Caslon Pro" w:hAnsi="Adobe Caslon Pro" w:cs="Arial"/>
          <w:bCs/>
        </w:rPr>
        <w:t>dicho</w:t>
      </w:r>
      <w:r w:rsidR="00615B7E" w:rsidRPr="000907D3">
        <w:rPr>
          <w:rFonts w:ascii="Adobe Caslon Pro" w:hAnsi="Adobe Caslon Pro" w:cs="Arial"/>
          <w:bCs/>
        </w:rPr>
        <w:t xml:space="preserve"> sector se fortalezca y profesionalice, y que sus acciones sean efectivas, tanto para aportar propuestas altern</w:t>
      </w:r>
      <w:r w:rsidR="001E5B65" w:rsidRPr="000907D3">
        <w:rPr>
          <w:rFonts w:ascii="Adobe Caslon Pro" w:hAnsi="Adobe Caslon Pro" w:cs="Arial"/>
          <w:bCs/>
        </w:rPr>
        <w:t xml:space="preserve">ativas para el desarrollo, </w:t>
      </w:r>
      <w:r w:rsidR="00615B7E" w:rsidRPr="000907D3">
        <w:rPr>
          <w:rFonts w:ascii="Adobe Caslon Pro" w:hAnsi="Adobe Caslon Pro" w:cs="Arial"/>
          <w:bCs/>
        </w:rPr>
        <w:t xml:space="preserve">brindar servicios a la población y colocar temas de interés en la agenda pública; de manera articulada con el gobierno, pero conservando su autonomía. </w:t>
      </w:r>
    </w:p>
    <w:p w:rsidR="00615B7E" w:rsidRDefault="00615B7E" w:rsidP="0043286B">
      <w:pPr>
        <w:spacing w:after="120" w:line="240" w:lineRule="auto"/>
        <w:jc w:val="both"/>
        <w:rPr>
          <w:rFonts w:ascii="Adobe Caslon Pro" w:hAnsi="Adobe Caslon Pro" w:cs="Arial"/>
          <w:bCs/>
        </w:rPr>
      </w:pPr>
      <w:r w:rsidRPr="000907D3">
        <w:rPr>
          <w:rFonts w:ascii="Adobe Caslon Pro" w:hAnsi="Adobe Caslon Pro" w:cs="Arial"/>
          <w:bCs/>
        </w:rPr>
        <w:t xml:space="preserve">Tomando como base las definiciones de la Ley de Fomento y los objetivos del </w:t>
      </w:r>
      <w:r w:rsidR="001E5B65" w:rsidRPr="000907D3">
        <w:rPr>
          <w:rFonts w:ascii="Adobe Caslon Pro" w:hAnsi="Adobe Caslon Pro" w:cs="Arial"/>
          <w:bCs/>
        </w:rPr>
        <w:t xml:space="preserve">PND 2013-2018 </w:t>
      </w:r>
      <w:r w:rsidRPr="000907D3">
        <w:rPr>
          <w:rFonts w:ascii="Adobe Caslon Pro" w:hAnsi="Adobe Caslon Pro" w:cs="Arial"/>
          <w:bCs/>
        </w:rPr>
        <w:t xml:space="preserve">en materia de participación, cohesión y capital social, se plantea que la población potencial del Programa sean </w:t>
      </w:r>
      <w:r w:rsidR="002C51DA" w:rsidRPr="000907D3">
        <w:rPr>
          <w:rFonts w:ascii="Adobe Caslon Pro" w:hAnsi="Adobe Caslon Pro" w:cs="Arial"/>
          <w:b/>
        </w:rPr>
        <w:t>los actores sociales que cuentan con proyectos de desarrollo social que coadyuvan al desarrollo de grupos y regiones que viven en situación de vulnerabilidad y rezago</w:t>
      </w:r>
      <w:r w:rsidR="002C51DA">
        <w:rPr>
          <w:rFonts w:ascii="Adobe Caslon Pro" w:hAnsi="Adobe Caslon Pro" w:cs="Arial"/>
        </w:rPr>
        <w:t xml:space="preserve">, mismos que al cierre de 2013 representan </w:t>
      </w:r>
      <w:r w:rsidR="002C51DA" w:rsidRPr="005C347A">
        <w:rPr>
          <w:rFonts w:ascii="Adobe Caslon Pro" w:hAnsi="Adobe Caslon Pro" w:cs="Arial"/>
          <w:b/>
        </w:rPr>
        <w:t>7,014</w:t>
      </w:r>
      <w:r w:rsidR="002C51DA">
        <w:rPr>
          <w:rFonts w:ascii="Adobe Caslon Pro" w:hAnsi="Adobe Caslon Pro" w:cs="Arial"/>
          <w:b/>
        </w:rPr>
        <w:t xml:space="preserve"> </w:t>
      </w:r>
      <w:r w:rsidR="005C347A">
        <w:rPr>
          <w:rFonts w:ascii="Adobe Caslon Pro" w:hAnsi="Adobe Caslon Pro" w:cs="Arial"/>
          <w:b/>
        </w:rPr>
        <w:t xml:space="preserve">actores sociales </w:t>
      </w:r>
      <w:r w:rsidR="002C51DA">
        <w:rPr>
          <w:rFonts w:ascii="Adobe Caslon Pro" w:hAnsi="Adobe Caslon Pro" w:cs="Arial"/>
          <w:bCs/>
        </w:rPr>
        <w:t>(</w:t>
      </w:r>
      <w:r w:rsidRPr="000907D3">
        <w:rPr>
          <w:rFonts w:ascii="Adobe Caslon Pro" w:hAnsi="Adobe Caslon Pro" w:cs="Arial"/>
          <w:bCs/>
        </w:rPr>
        <w:t xml:space="preserve">6,925 </w:t>
      </w:r>
      <w:r w:rsidR="002C51DA">
        <w:rPr>
          <w:rFonts w:ascii="Adobe Caslon Pro" w:hAnsi="Adobe Caslon Pro" w:cs="Arial"/>
          <w:bCs/>
        </w:rPr>
        <w:t xml:space="preserve">OSC y 89 </w:t>
      </w:r>
      <w:r w:rsidR="00160981">
        <w:rPr>
          <w:rFonts w:ascii="Adobe Caslon Pro" w:hAnsi="Adobe Caslon Pro" w:cs="Arial"/>
          <w:bCs/>
        </w:rPr>
        <w:t>IES</w:t>
      </w:r>
      <w:r w:rsidR="002C51DA">
        <w:rPr>
          <w:rFonts w:ascii="Adobe Caslon Pro" w:hAnsi="Adobe Caslon Pro" w:cs="Arial"/>
          <w:bCs/>
        </w:rPr>
        <w:t xml:space="preserve"> -</w:t>
      </w:r>
      <w:r w:rsidRPr="000907D3">
        <w:rPr>
          <w:rFonts w:ascii="Adobe Caslon Pro" w:hAnsi="Adobe Caslon Pro" w:cs="Arial"/>
          <w:bCs/>
        </w:rPr>
        <w:t xml:space="preserve"> </w:t>
      </w:r>
      <w:r w:rsidR="00160981">
        <w:rPr>
          <w:rFonts w:ascii="Adobe Caslon Pro" w:hAnsi="Adobe Caslon Pro" w:cs="Arial"/>
          <w:bCs/>
        </w:rPr>
        <w:t>CI</w:t>
      </w:r>
      <w:r w:rsidR="002C51DA">
        <w:rPr>
          <w:rFonts w:ascii="Adobe Caslon Pro" w:hAnsi="Adobe Caslon Pro" w:cs="Arial"/>
          <w:bCs/>
        </w:rPr>
        <w:t>)</w:t>
      </w:r>
      <w:r w:rsidRPr="000907D3">
        <w:rPr>
          <w:rFonts w:ascii="Adobe Caslon Pro" w:hAnsi="Adobe Caslon Pro" w:cs="Arial"/>
          <w:bCs/>
        </w:rPr>
        <w:t>. Mient</w:t>
      </w:r>
      <w:r w:rsidR="00982976">
        <w:rPr>
          <w:rFonts w:ascii="Adobe Caslon Pro" w:hAnsi="Adobe Caslon Pro" w:cs="Arial"/>
          <w:bCs/>
        </w:rPr>
        <w:t>r</w:t>
      </w:r>
      <w:r w:rsidRPr="000907D3">
        <w:rPr>
          <w:rFonts w:ascii="Adobe Caslon Pro" w:hAnsi="Adobe Caslon Pro" w:cs="Arial"/>
          <w:bCs/>
        </w:rPr>
        <w:t>as que, la población objetivo</w:t>
      </w:r>
      <w:r w:rsidR="002C51DA">
        <w:rPr>
          <w:rFonts w:ascii="Adobe Caslon Pro" w:hAnsi="Adobe Caslon Pro" w:cs="Arial"/>
          <w:bCs/>
        </w:rPr>
        <w:t xml:space="preserve"> entendido como un subconjunto de la población potencial </w:t>
      </w:r>
      <w:r w:rsidR="0046201F">
        <w:rPr>
          <w:rFonts w:ascii="Adobe Caslon Pro" w:hAnsi="Adobe Caslon Pro" w:cs="Arial"/>
          <w:bCs/>
        </w:rPr>
        <w:t xml:space="preserve">que </w:t>
      </w:r>
      <w:r w:rsidR="0046201F" w:rsidRPr="000907D3">
        <w:rPr>
          <w:rFonts w:ascii="Adobe Caslon Pro" w:hAnsi="Adobe Caslon Pro" w:cs="Arial"/>
          <w:b/>
        </w:rPr>
        <w:t>cumple</w:t>
      </w:r>
      <w:r w:rsidR="0046201F">
        <w:rPr>
          <w:rFonts w:ascii="Adobe Caslon Pro" w:hAnsi="Adobe Caslon Pro" w:cs="Arial"/>
          <w:b/>
        </w:rPr>
        <w:t xml:space="preserve"> </w:t>
      </w:r>
      <w:r w:rsidR="0046201F" w:rsidRPr="000907D3">
        <w:rPr>
          <w:rFonts w:ascii="Adobe Caslon Pro" w:hAnsi="Adobe Caslon Pro" w:cs="Arial"/>
          <w:b/>
        </w:rPr>
        <w:t>los criterios de selección vigentes para realizar proyectos de desarrollo social</w:t>
      </w:r>
      <w:r w:rsidR="005C347A" w:rsidRPr="005C347A">
        <w:rPr>
          <w:rFonts w:ascii="Adobe Caslon Pro" w:hAnsi="Adobe Caslon Pro" w:cs="Arial"/>
        </w:rPr>
        <w:t>, representa</w:t>
      </w:r>
      <w:r w:rsidR="0046201F">
        <w:rPr>
          <w:rFonts w:ascii="Adobe Caslon Pro" w:hAnsi="Adobe Caslon Pro" w:cs="Arial"/>
          <w:b/>
        </w:rPr>
        <w:t xml:space="preserve"> </w:t>
      </w:r>
      <w:r w:rsidRPr="005C347A">
        <w:rPr>
          <w:rFonts w:ascii="Adobe Caslon Pro" w:hAnsi="Adobe Caslon Pro" w:cs="Arial"/>
          <w:b/>
          <w:bCs/>
        </w:rPr>
        <w:t>5,049 actores sociales</w:t>
      </w:r>
      <w:r w:rsidR="0046201F" w:rsidRPr="005C347A">
        <w:rPr>
          <w:rFonts w:ascii="Adobe Caslon Pro" w:hAnsi="Adobe Caslon Pro" w:cs="Arial"/>
          <w:b/>
          <w:bCs/>
        </w:rPr>
        <w:t xml:space="preserve"> </w:t>
      </w:r>
      <w:r w:rsidR="0046201F">
        <w:rPr>
          <w:rFonts w:ascii="Adobe Caslon Pro" w:hAnsi="Adobe Caslon Pro" w:cs="Arial"/>
          <w:bCs/>
        </w:rPr>
        <w:t>en el periodo de referencia</w:t>
      </w:r>
      <w:r w:rsidR="002C51DA">
        <w:rPr>
          <w:rFonts w:ascii="Adobe Caslon Pro" w:hAnsi="Adobe Caslon Pro" w:cs="Arial"/>
          <w:bCs/>
        </w:rPr>
        <w:t xml:space="preserve"> (</w:t>
      </w:r>
      <w:r w:rsidRPr="000907D3">
        <w:rPr>
          <w:rFonts w:ascii="Adobe Caslon Pro" w:hAnsi="Adobe Caslon Pro" w:cs="Arial"/>
          <w:bCs/>
        </w:rPr>
        <w:t xml:space="preserve">4,989 </w:t>
      </w:r>
      <w:r w:rsidR="002C51DA">
        <w:rPr>
          <w:rFonts w:ascii="Adobe Caslon Pro" w:hAnsi="Adobe Caslon Pro" w:cs="Arial"/>
          <w:bCs/>
        </w:rPr>
        <w:t>OSC</w:t>
      </w:r>
      <w:r w:rsidRPr="000907D3">
        <w:rPr>
          <w:rFonts w:ascii="Adobe Caslon Pro" w:hAnsi="Adobe Caslon Pro" w:cs="Arial"/>
          <w:bCs/>
        </w:rPr>
        <w:t xml:space="preserve"> y 60 </w:t>
      </w:r>
      <w:r w:rsidR="00160981">
        <w:rPr>
          <w:rFonts w:ascii="Adobe Caslon Pro" w:hAnsi="Adobe Caslon Pro" w:cs="Arial"/>
          <w:bCs/>
        </w:rPr>
        <w:t>IES</w:t>
      </w:r>
      <w:r w:rsidR="002C51DA">
        <w:rPr>
          <w:rFonts w:ascii="Adobe Caslon Pro" w:hAnsi="Adobe Caslon Pro" w:cs="Arial"/>
          <w:bCs/>
        </w:rPr>
        <w:t xml:space="preserve"> –</w:t>
      </w:r>
      <w:r w:rsidRPr="000907D3">
        <w:rPr>
          <w:rFonts w:ascii="Adobe Caslon Pro" w:hAnsi="Adobe Caslon Pro" w:cs="Arial"/>
          <w:bCs/>
        </w:rPr>
        <w:t xml:space="preserve"> </w:t>
      </w:r>
      <w:r w:rsidR="00160981">
        <w:rPr>
          <w:rFonts w:ascii="Adobe Caslon Pro" w:hAnsi="Adobe Caslon Pro" w:cs="Arial"/>
          <w:bCs/>
        </w:rPr>
        <w:t>CI</w:t>
      </w:r>
      <w:r w:rsidR="002C51DA">
        <w:rPr>
          <w:rFonts w:ascii="Adobe Caslon Pro" w:hAnsi="Adobe Caslon Pro" w:cs="Arial"/>
          <w:bCs/>
        </w:rPr>
        <w:t>)</w:t>
      </w:r>
      <w:r w:rsidRPr="000907D3">
        <w:rPr>
          <w:rFonts w:ascii="Adobe Caslon Pro" w:hAnsi="Adobe Caslon Pro" w:cs="Arial"/>
          <w:bCs/>
        </w:rPr>
        <w:t>.</w:t>
      </w:r>
    </w:p>
    <w:p w:rsidR="00615B7E" w:rsidRDefault="004C0712" w:rsidP="0043286B">
      <w:pPr>
        <w:spacing w:after="120" w:line="240" w:lineRule="auto"/>
        <w:jc w:val="both"/>
        <w:rPr>
          <w:rFonts w:ascii="Adobe Caslon Pro" w:hAnsi="Adobe Caslon Pro" w:cs="Arial"/>
          <w:bCs/>
        </w:rPr>
      </w:pPr>
      <w:r>
        <w:rPr>
          <w:rFonts w:ascii="Adobe Caslon Pro" w:hAnsi="Adobe Caslon Pro" w:cs="Arial"/>
          <w:bCs/>
        </w:rPr>
        <w:t>En la propuesta de a</w:t>
      </w:r>
      <w:r w:rsidR="00615B7E" w:rsidRPr="000907D3">
        <w:rPr>
          <w:rFonts w:ascii="Adobe Caslon Pro" w:hAnsi="Adobe Caslon Pro" w:cs="Arial"/>
          <w:bCs/>
        </w:rPr>
        <w:t xml:space="preserve">tención, se </w:t>
      </w:r>
      <w:r w:rsidR="0025571B">
        <w:rPr>
          <w:rFonts w:ascii="Adobe Caslon Pro" w:hAnsi="Adobe Caslon Pro" w:cs="Arial"/>
          <w:bCs/>
        </w:rPr>
        <w:t>analiza</w:t>
      </w:r>
      <w:r w:rsidR="00615B7E" w:rsidRPr="000907D3">
        <w:rPr>
          <w:rFonts w:ascii="Adobe Caslon Pro" w:hAnsi="Adobe Caslon Pro" w:cs="Arial"/>
          <w:bCs/>
        </w:rPr>
        <w:t xml:space="preserve"> la participación de </w:t>
      </w:r>
      <w:r w:rsidR="00402BA8">
        <w:rPr>
          <w:rFonts w:ascii="Adobe Caslon Pro" w:hAnsi="Adobe Caslon Pro" w:cs="Arial"/>
          <w:bCs/>
        </w:rPr>
        <w:t>los actores sociales</w:t>
      </w:r>
      <w:r w:rsidR="00615B7E" w:rsidRPr="000907D3">
        <w:rPr>
          <w:rFonts w:ascii="Adobe Caslon Pro" w:hAnsi="Adobe Caslon Pro" w:cs="Arial"/>
          <w:bCs/>
        </w:rPr>
        <w:t>, los estudios se traducen en los siguientes efectos positivos: fomenta la transparencia y rendición de cuentas, promueve y defiende los derechos humanos y el estado de derecho, contribuyen a la formulación, al financiamiento y a la prestación de servicios públicos, promueven la participación de los sectores más pobres y excluidos en las políticas públicas y la toma de decisiones e incorporan a más actores sociales a la esfera pública.</w:t>
      </w:r>
    </w:p>
    <w:p w:rsidR="00615B7E" w:rsidRPr="000907D3" w:rsidRDefault="007C5FBA" w:rsidP="0043286B">
      <w:pPr>
        <w:spacing w:after="120" w:line="240" w:lineRule="auto"/>
        <w:jc w:val="both"/>
        <w:rPr>
          <w:rFonts w:ascii="Adobe Caslon Pro" w:hAnsi="Adobe Caslon Pro"/>
        </w:rPr>
      </w:pPr>
      <w:r w:rsidRPr="000907D3">
        <w:rPr>
          <w:rFonts w:ascii="Adobe Caslon Pro" w:hAnsi="Adobe Caslon Pro" w:cs="Arial"/>
          <w:bCs/>
        </w:rPr>
        <w:t>Al final del documento, se presentan los resultados y conclusiones más relevantes que permiten comprender de mejor manera el problema público que se busca atender a través del diseño y la implementación del</w:t>
      </w:r>
      <w:r w:rsidR="00F24615">
        <w:rPr>
          <w:rFonts w:ascii="Adobe Caslon Pro" w:hAnsi="Adobe Caslon Pro" w:cs="Arial"/>
          <w:bCs/>
        </w:rPr>
        <w:t xml:space="preserve"> PCS</w:t>
      </w:r>
      <w:r w:rsidRPr="000907D3">
        <w:rPr>
          <w:rFonts w:ascii="Adobe Caslon Pro" w:hAnsi="Adobe Caslon Pro" w:cs="Arial"/>
          <w:bCs/>
        </w:rPr>
        <w:t xml:space="preserve"> en el territorio nacional</w:t>
      </w:r>
      <w:r w:rsidR="00982976">
        <w:rPr>
          <w:rFonts w:ascii="Adobe Caslon Pro" w:hAnsi="Adobe Caslon Pro" w:cs="Arial"/>
          <w:bCs/>
        </w:rPr>
        <w:t>,</w:t>
      </w:r>
      <w:r w:rsidRPr="000907D3">
        <w:rPr>
          <w:rFonts w:ascii="Adobe Caslon Pro" w:hAnsi="Adobe Caslon Pro" w:cs="Arial"/>
          <w:bCs/>
        </w:rPr>
        <w:t xml:space="preserve"> </w:t>
      </w:r>
      <w:r w:rsidR="00982976">
        <w:rPr>
          <w:rFonts w:ascii="Adobe Caslon Pro" w:hAnsi="Adobe Caslon Pro" w:cs="Arial"/>
          <w:bCs/>
        </w:rPr>
        <w:t>l</w:t>
      </w:r>
      <w:r w:rsidRPr="000907D3">
        <w:rPr>
          <w:rFonts w:ascii="Adobe Caslon Pro" w:hAnsi="Adobe Caslon Pro" w:cs="Arial"/>
          <w:bCs/>
        </w:rPr>
        <w:t>o cual servirá como documento de insumo para la planeación nacional y prospectiva del programa</w:t>
      </w:r>
      <w:r w:rsidR="00F24615">
        <w:rPr>
          <w:rFonts w:ascii="Adobe Caslon Pro" w:hAnsi="Adobe Caslon Pro" w:cs="Arial"/>
          <w:bCs/>
        </w:rPr>
        <w:t xml:space="preserve">, así como </w:t>
      </w:r>
      <w:r w:rsidRPr="000907D3">
        <w:rPr>
          <w:rFonts w:ascii="Adobe Caslon Pro" w:hAnsi="Adobe Caslon Pro" w:cs="Arial"/>
          <w:bCs/>
        </w:rPr>
        <w:t>en las evaluaciones de las que es sujeto.</w:t>
      </w:r>
    </w:p>
    <w:p w:rsidR="00615B7E" w:rsidRPr="000907D3" w:rsidRDefault="00615B7E" w:rsidP="0043286B">
      <w:pPr>
        <w:spacing w:after="120" w:line="240" w:lineRule="auto"/>
      </w:pPr>
    </w:p>
    <w:p w:rsidR="00615B7E" w:rsidRPr="000907D3" w:rsidRDefault="00615B7E" w:rsidP="0043286B">
      <w:pPr>
        <w:spacing w:after="120" w:line="240" w:lineRule="auto"/>
        <w:rPr>
          <w:rFonts w:ascii="Adobe Caslon Pro" w:hAnsi="Adobe Caslon Pro"/>
        </w:rPr>
      </w:pPr>
      <w:r w:rsidRPr="000907D3">
        <w:rPr>
          <w:rFonts w:ascii="Adobe Caslon Pro" w:hAnsi="Adobe Caslon Pro"/>
        </w:rPr>
        <w:lastRenderedPageBreak/>
        <w:br w:type="page"/>
      </w:r>
      <w:r w:rsidR="00C220E0" w:rsidRPr="00C220E0">
        <w:rPr>
          <w:rFonts w:ascii="Adobe Caslon Pro" w:hAnsi="Adobe Caslon Pro"/>
          <w:noProof/>
          <w:lang w:eastAsia="es-MX"/>
        </w:rPr>
        <w:drawing>
          <wp:anchor distT="0" distB="0" distL="114300" distR="114300" simplePos="0" relativeHeight="251659776" behindDoc="0" locked="0" layoutInCell="1" allowOverlap="1" wp14:anchorId="5FA7DC6D" wp14:editId="45C01FB5">
            <wp:simplePos x="0" y="0"/>
            <wp:positionH relativeFrom="column">
              <wp:posOffset>-808990</wp:posOffset>
            </wp:positionH>
            <wp:positionV relativeFrom="paragraph">
              <wp:posOffset>-678815</wp:posOffset>
            </wp:positionV>
            <wp:extent cx="7787640" cy="10094595"/>
            <wp:effectExtent l="0" t="0" r="3810" b="1905"/>
            <wp:wrapSquare wrapText="bothSides"/>
            <wp:docPr id="21" name="Imagen 21" descr="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RTAD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87640" cy="10094595"/>
                    </a:xfrm>
                    <a:prstGeom prst="rect">
                      <a:avLst/>
                    </a:prstGeom>
                    <a:noFill/>
                    <a:ln>
                      <a:noFill/>
                    </a:ln>
                  </pic:spPr>
                </pic:pic>
              </a:graphicData>
            </a:graphic>
          </wp:anchor>
        </w:drawing>
      </w:r>
      <w:r w:rsidR="004112D2">
        <w:rPr>
          <w:rFonts w:ascii="Adobe Caslon Pro" w:hAnsi="Adobe Caslon Pro"/>
          <w:noProof/>
          <w:lang w:eastAsia="es-MX"/>
        </w:rPr>
        <mc:AlternateContent>
          <mc:Choice Requires="wps">
            <w:drawing>
              <wp:anchor distT="0" distB="0" distL="114300" distR="114300" simplePos="0" relativeHeight="251698176" behindDoc="0" locked="0" layoutInCell="1" allowOverlap="1" wp14:anchorId="768D41FC" wp14:editId="24295B95">
                <wp:simplePos x="0" y="0"/>
                <wp:positionH relativeFrom="column">
                  <wp:posOffset>1328420</wp:posOffset>
                </wp:positionH>
                <wp:positionV relativeFrom="paragraph">
                  <wp:posOffset>8213725</wp:posOffset>
                </wp:positionV>
                <wp:extent cx="5612130" cy="862330"/>
                <wp:effectExtent l="0" t="0" r="0" b="0"/>
                <wp:wrapSquare wrapText="bothSides"/>
                <wp:docPr id="14"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2130" cy="862330"/>
                        </a:xfrm>
                        <a:prstGeom prst="rect">
                          <a:avLst/>
                        </a:prstGeom>
                        <a:noFill/>
                        <a:ln w="6350">
                          <a:noFill/>
                        </a:ln>
                        <a:effectLst/>
                      </wps:spPr>
                      <wps:txbx>
                        <w:txbxContent>
                          <w:p w:rsidR="001E4613" w:rsidRPr="00C220E0" w:rsidRDefault="001E4613" w:rsidP="00C220E0">
                            <w:pPr>
                              <w:pStyle w:val="Ttulo1"/>
                              <w:jc w:val="right"/>
                            </w:pPr>
                            <w:bookmarkStart w:id="8" w:name="_Toc390075408"/>
                            <w:bookmarkStart w:id="9" w:name="_Toc390075463"/>
                            <w:bookmarkStart w:id="10" w:name="_Toc390075516"/>
                            <w:bookmarkStart w:id="11" w:name="_Toc390075568"/>
                            <w:bookmarkStart w:id="12" w:name="_Toc390075620"/>
                            <w:bookmarkStart w:id="13" w:name="_Toc390075673"/>
                            <w:bookmarkStart w:id="14" w:name="_Toc390075726"/>
                            <w:bookmarkStart w:id="15" w:name="_Toc390075778"/>
                            <w:bookmarkStart w:id="16" w:name="_Toc390076078"/>
                            <w:bookmarkStart w:id="17" w:name="_Toc390076125"/>
                            <w:bookmarkStart w:id="18" w:name="_Toc390076207"/>
                            <w:bookmarkStart w:id="19" w:name="_Toc390102036"/>
                            <w:bookmarkStart w:id="20" w:name="_Toc391925214"/>
                            <w:r>
                              <w:t>2. Diagnóstico</w:t>
                            </w:r>
                            <w:bookmarkEnd w:id="8"/>
                            <w:bookmarkEnd w:id="9"/>
                            <w:bookmarkEnd w:id="10"/>
                            <w:bookmarkEnd w:id="11"/>
                            <w:bookmarkEnd w:id="12"/>
                            <w:bookmarkEnd w:id="13"/>
                            <w:bookmarkEnd w:id="14"/>
                            <w:bookmarkEnd w:id="15"/>
                            <w:bookmarkEnd w:id="16"/>
                            <w:bookmarkEnd w:id="17"/>
                            <w:bookmarkEnd w:id="18"/>
                            <w:bookmarkEnd w:id="19"/>
                            <w:bookmarkEnd w:id="2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10" o:spid="_x0000_s1028" type="#_x0000_t202" style="position:absolute;margin-left:104.6pt;margin-top:646.75pt;width:441.9pt;height:67.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" filled="f" stroked="f" strokeweight=".5pt">
                <v:path arrowok="t"/>
                <v:textbox>
                  <w:txbxContent>
                    <w:p w:rsidR="001E4613" w:rsidRPr="00C220E0" w:rsidRDefault="001E4613" w:rsidP="00C220E0">
                      <w:pPr>
                        <w:pStyle w:val="Ttulo1"/>
                        <w:jc w:val="right"/>
                      </w:pPr>
                      <w:bookmarkStart w:id="21" w:name="_Toc390075408"/>
                      <w:bookmarkStart w:id="22" w:name="_Toc390075463"/>
                      <w:bookmarkStart w:id="23" w:name="_Toc390075516"/>
                      <w:bookmarkStart w:id="24" w:name="_Toc390075568"/>
                      <w:bookmarkStart w:id="25" w:name="_Toc390075620"/>
                      <w:bookmarkStart w:id="26" w:name="_Toc390075673"/>
                      <w:bookmarkStart w:id="27" w:name="_Toc390075726"/>
                      <w:bookmarkStart w:id="28" w:name="_Toc390075778"/>
                      <w:bookmarkStart w:id="29" w:name="_Toc390076078"/>
                      <w:bookmarkStart w:id="30" w:name="_Toc390076125"/>
                      <w:bookmarkStart w:id="31" w:name="_Toc390076207"/>
                      <w:bookmarkStart w:id="32" w:name="_Toc390102036"/>
                      <w:bookmarkStart w:id="33" w:name="_Toc391925214"/>
                      <w:r>
                        <w:t>2. Diagnóstico</w:t>
                      </w:r>
                      <w:bookmarkEnd w:id="21"/>
                      <w:bookmarkEnd w:id="22"/>
                      <w:bookmarkEnd w:id="23"/>
                      <w:bookmarkEnd w:id="24"/>
                      <w:bookmarkEnd w:id="25"/>
                      <w:bookmarkEnd w:id="26"/>
                      <w:bookmarkEnd w:id="27"/>
                      <w:bookmarkEnd w:id="28"/>
                      <w:bookmarkEnd w:id="29"/>
                      <w:bookmarkEnd w:id="30"/>
                      <w:bookmarkEnd w:id="31"/>
                      <w:bookmarkEnd w:id="32"/>
                      <w:bookmarkEnd w:id="33"/>
                    </w:p>
                  </w:txbxContent>
                </v:textbox>
                <w10:wrap type="square"/>
              </v:shape>
            </w:pict>
          </mc:Fallback>
        </mc:AlternateContent>
      </w:r>
    </w:p>
    <w:p w:rsidR="00BE60D4" w:rsidRDefault="00DB5DED" w:rsidP="00BE60D4">
      <w:pPr>
        <w:pStyle w:val="Ttulo2"/>
        <w:spacing w:before="0" w:after="120" w:line="240" w:lineRule="auto"/>
      </w:pPr>
      <w:bookmarkStart w:id="34" w:name="_Toc263896832"/>
      <w:bookmarkStart w:id="35" w:name="_Toc391925215"/>
      <w:r>
        <w:lastRenderedPageBreak/>
        <w:t xml:space="preserve">2.1 </w:t>
      </w:r>
      <w:r w:rsidR="00BE60D4">
        <w:t>Antecedentes</w:t>
      </w:r>
      <w:bookmarkEnd w:id="35"/>
    </w:p>
    <w:p w:rsidR="00BE60D4" w:rsidRPr="00BE60D4" w:rsidRDefault="00BE60D4" w:rsidP="00BE60D4">
      <w:pPr>
        <w:jc w:val="both"/>
        <w:rPr>
          <w:rFonts w:ascii="Adobe Caslon Pro" w:hAnsi="Adobe Caslon Pro" w:cs="Arial"/>
          <w:bCs/>
        </w:rPr>
      </w:pPr>
      <w:r w:rsidRPr="00BE60D4">
        <w:rPr>
          <w:rFonts w:ascii="Adobe Caslon Pro" w:hAnsi="Adobe Caslon Pro" w:cs="Arial"/>
          <w:bCs/>
        </w:rPr>
        <w:t>En los modelos actuales de desarrollo, la participación social constituye un factor clave para el logro de objetivos de crecimiento y equidad. En México, se han buscado alternativas de desarrollo mediante la participación de la sociedad civil organizada, concebida como un aliado de los gobiernos para el fomento de estrategias y ejecución de actividades tendientes a mejorar la situación de grupos en situación de vulnerabilidad o con limitado acceso a derechos.</w:t>
      </w:r>
    </w:p>
    <w:p w:rsidR="00BE60D4" w:rsidRPr="00BE60D4" w:rsidRDefault="00BE60D4" w:rsidP="00BE60D4">
      <w:pPr>
        <w:jc w:val="both"/>
        <w:rPr>
          <w:rFonts w:ascii="Adobe Caslon Pro" w:hAnsi="Adobe Caslon Pro" w:cs="Arial"/>
          <w:bCs/>
        </w:rPr>
      </w:pPr>
      <w:r w:rsidRPr="00BE60D4">
        <w:rPr>
          <w:rFonts w:ascii="Adobe Caslon Pro" w:hAnsi="Adobe Caslon Pro" w:cs="Arial"/>
          <w:bCs/>
        </w:rPr>
        <w:t xml:space="preserve">Es posible ubicar el origen de las </w:t>
      </w:r>
      <w:r w:rsidR="0025571B">
        <w:rPr>
          <w:rFonts w:ascii="Adobe Caslon Pro" w:hAnsi="Adobe Caslon Pro" w:cs="Arial"/>
          <w:bCs/>
        </w:rPr>
        <w:t>OSC</w:t>
      </w:r>
      <w:r w:rsidRPr="00BE60D4">
        <w:rPr>
          <w:rFonts w:ascii="Adobe Caslon Pro" w:hAnsi="Adobe Caslon Pro" w:cs="Arial"/>
          <w:bCs/>
        </w:rPr>
        <w:t xml:space="preserve"> en México </w:t>
      </w:r>
      <w:r w:rsidRPr="00BE60D4">
        <w:rPr>
          <w:rFonts w:ascii="Adobe Caslon Pro" w:hAnsi="Adobe Caslon Pro" w:cs="Arial"/>
        </w:rPr>
        <w:t>desde principios de siglo con la asistencia a personas desprotegidas o con la atención a la salud o a la educación. Más tarde surgieron agrupaciones gremiales y empresariales y, en forma paralela, se dieron diversos movimientos y expresiones sociales como la defensa del medio ambiente,</w:t>
      </w:r>
      <w:r w:rsidRPr="00BE60D4">
        <w:rPr>
          <w:rFonts w:ascii="Adobe Caslon Pro" w:hAnsi="Adobe Caslon Pro" w:cs="Arial"/>
          <w:bCs/>
        </w:rPr>
        <w:t xml:space="preserve"> los derechos de las mujeres y de grupos en desventaja social. </w:t>
      </w:r>
    </w:p>
    <w:p w:rsidR="00BE60D4" w:rsidRPr="00BE60D4" w:rsidRDefault="00BE60D4" w:rsidP="00BE60D4">
      <w:pPr>
        <w:jc w:val="both"/>
        <w:rPr>
          <w:rFonts w:ascii="Adobe Caslon Pro" w:hAnsi="Adobe Caslon Pro" w:cs="Arial"/>
        </w:rPr>
      </w:pPr>
      <w:r w:rsidRPr="00BE60D4">
        <w:rPr>
          <w:rFonts w:ascii="Adobe Caslon Pro" w:hAnsi="Adobe Caslon Pro" w:cs="Arial"/>
        </w:rPr>
        <w:t xml:space="preserve">La articulación de las organizaciones surgidas de iniciativas ciudadanas para atender problemas sociales y necesidades de grupos que no tenían canales de interlocución con el gobierno, fue impulsada por varios factores, entre ellos la crisis económica de 1982 y los consecuentes recortes al gasto público y a programas sociales. Una gran proporción de organizaciones surgió para la atención de necesidades de grupos de población en situación de pobreza, con acciones como comedores populares, la autoconstrucción de vivienda y la prestación de servicios de educación, entre otros. </w:t>
      </w:r>
    </w:p>
    <w:p w:rsidR="00BE60D4" w:rsidRPr="00BE60D4" w:rsidRDefault="00BE60D4" w:rsidP="00BE60D4">
      <w:pPr>
        <w:jc w:val="both"/>
        <w:rPr>
          <w:rFonts w:ascii="Adobe Caslon Pro" w:hAnsi="Adobe Caslon Pro" w:cs="Arial"/>
        </w:rPr>
      </w:pPr>
      <w:r w:rsidRPr="00BE60D4">
        <w:rPr>
          <w:rFonts w:ascii="Adobe Caslon Pro" w:hAnsi="Adobe Caslon Pro" w:cs="Arial"/>
        </w:rPr>
        <w:t>Se abrieron nuevos cauces de la participación activa, poniéndose en práctica un amplio proceso de consulta popular con los grupos sociales</w:t>
      </w:r>
      <w:r w:rsidRPr="00BE60D4">
        <w:rPr>
          <w:rFonts w:ascii="Adobe Caslon Pro" w:hAnsi="Adobe Caslon Pro" w:cs="Arial"/>
          <w:vertAlign w:val="superscript"/>
        </w:rPr>
        <w:footnoteReference w:id="3"/>
      </w:r>
      <w:r w:rsidRPr="00BE60D4">
        <w:rPr>
          <w:rFonts w:ascii="Adobe Caslon Pro" w:hAnsi="Adobe Caslon Pro" w:cs="Arial"/>
          <w:vertAlign w:val="superscript"/>
        </w:rPr>
        <w:t xml:space="preserve"> </w:t>
      </w:r>
      <w:r w:rsidRPr="00BE60D4">
        <w:rPr>
          <w:rFonts w:ascii="Adobe Caslon Pro" w:hAnsi="Adobe Caslon Pro" w:cs="Arial"/>
        </w:rPr>
        <w:t xml:space="preserve">que permitió integrar el Primer Plan Básico de </w:t>
      </w:r>
      <w:r>
        <w:rPr>
          <w:rFonts w:ascii="Adobe Caslon Pro" w:hAnsi="Adobe Caslon Pro" w:cs="Arial"/>
        </w:rPr>
        <w:t>gobierno</w:t>
      </w:r>
      <w:r w:rsidRPr="00BE60D4">
        <w:rPr>
          <w:rFonts w:ascii="Adobe Caslon Pro" w:hAnsi="Adobe Caslon Pro" w:cs="Arial"/>
        </w:rPr>
        <w:t xml:space="preserve"> (1982-1988) y el Plan Nacional de Desarrollo (1983-1988). La idea era modificar el concepto de una planeación en la que se imponían las decisiones a la sociedad a la planeación democrática en la que la participación de la ciudadanía orientara la toma de decisiones.</w:t>
      </w:r>
    </w:p>
    <w:p w:rsidR="00BE60D4" w:rsidRPr="00BE60D4" w:rsidRDefault="00BE60D4" w:rsidP="00BE60D4">
      <w:pPr>
        <w:jc w:val="both"/>
        <w:rPr>
          <w:rFonts w:ascii="Adobe Caslon Pro" w:hAnsi="Adobe Caslon Pro" w:cs="Arial"/>
        </w:rPr>
      </w:pPr>
      <w:r w:rsidRPr="00BE60D4">
        <w:rPr>
          <w:rFonts w:ascii="Adobe Caslon Pro" w:hAnsi="Adobe Caslon Pro" w:cs="Arial"/>
        </w:rPr>
        <w:t>Este planteamiento fue materializado cuando a iniciativa del Presidente Miguel de la Madrid, se llevó a cabo una reforma al artículo 26</w:t>
      </w:r>
      <w:r w:rsidR="001E4613">
        <w:rPr>
          <w:rFonts w:ascii="Adobe Caslon Pro" w:hAnsi="Adobe Caslon Pro" w:cs="Arial"/>
        </w:rPr>
        <w:t xml:space="preserve">.° Constitucional </w:t>
      </w:r>
      <w:r w:rsidRPr="00BE60D4">
        <w:rPr>
          <w:rFonts w:ascii="Adobe Caslon Pro" w:hAnsi="Adobe Caslon Pro" w:cs="Arial"/>
        </w:rPr>
        <w:t xml:space="preserve">que fue publicada en el </w:t>
      </w:r>
      <w:r w:rsidR="0025571B">
        <w:rPr>
          <w:rFonts w:ascii="Adobe Caslon Pro" w:hAnsi="Adobe Caslon Pro" w:cs="Arial"/>
        </w:rPr>
        <w:t>DOF</w:t>
      </w:r>
      <w:r w:rsidRPr="00BE60D4">
        <w:rPr>
          <w:rFonts w:ascii="Adobe Caslon Pro" w:hAnsi="Adobe Caslon Pro" w:cs="Arial"/>
        </w:rPr>
        <w:t xml:space="preserve"> el 3 de febrero de 1983 que versaba de la siguiente manera:</w:t>
      </w:r>
    </w:p>
    <w:p w:rsidR="00BE60D4" w:rsidRPr="00BE60D4" w:rsidRDefault="00BE60D4" w:rsidP="00BE60D4">
      <w:pPr>
        <w:jc w:val="both"/>
        <w:rPr>
          <w:rFonts w:ascii="Adobe Caslon Pro" w:hAnsi="Adobe Caslon Pro" w:cs="Arial"/>
        </w:rPr>
      </w:pPr>
      <w:r w:rsidRPr="00BE60D4">
        <w:rPr>
          <w:rFonts w:ascii="Adobe Caslon Pro" w:hAnsi="Adobe Caslon Pro" w:cs="Arial"/>
        </w:rPr>
        <w:lastRenderedPageBreak/>
        <w:t>“El Estado organizará un sistema de planeación democrática del desarrollo nacional que imprima solidez, dinamismo, permanencia y equidad al crecimiento de la economía para la independencia y la democratización política, social y cultural de la nación.”</w:t>
      </w:r>
    </w:p>
    <w:p w:rsidR="00BE60D4" w:rsidRPr="00BE60D4" w:rsidRDefault="00BE60D4" w:rsidP="00BE60D4">
      <w:pPr>
        <w:jc w:val="both"/>
        <w:rPr>
          <w:rFonts w:ascii="Adobe Caslon Pro" w:hAnsi="Adobe Caslon Pro" w:cs="Arial"/>
        </w:rPr>
      </w:pPr>
      <w:r w:rsidRPr="00BE60D4">
        <w:rPr>
          <w:rFonts w:ascii="Adobe Caslon Pro" w:hAnsi="Adobe Caslon Pro" w:cs="Arial"/>
        </w:rPr>
        <w:t xml:space="preserve">El terremoto de 1985 en la Ciudad de México, puso de manifiesto cuestiones que el </w:t>
      </w:r>
      <w:r>
        <w:rPr>
          <w:rFonts w:ascii="Adobe Caslon Pro" w:hAnsi="Adobe Caslon Pro" w:cs="Arial"/>
        </w:rPr>
        <w:t>gobierno</w:t>
      </w:r>
      <w:r w:rsidRPr="00BE60D4">
        <w:rPr>
          <w:rFonts w:ascii="Adobe Caslon Pro" w:hAnsi="Adobe Caslon Pro" w:cs="Arial"/>
        </w:rPr>
        <w:t xml:space="preserve"> no estaba en condiciones de afrontar por sí solo, la sociedad contaba con el capital social necesario para ayudarse a sí misma de manera solidaria y organizada, y que habiendo un fin común y específico, la sociedad y el gobierno eran capaces de cooperar. Varias organizaciones tuvieron su origen en las acciones de emergencia de esa catástrofe. </w:t>
      </w:r>
    </w:p>
    <w:p w:rsidR="00BE60D4" w:rsidRPr="00BE60D4" w:rsidRDefault="00BE60D4" w:rsidP="00BE60D4">
      <w:pPr>
        <w:jc w:val="both"/>
        <w:rPr>
          <w:rFonts w:ascii="Adobe Caslon Pro" w:hAnsi="Adobe Caslon Pro" w:cs="Arial"/>
        </w:rPr>
      </w:pPr>
      <w:r w:rsidRPr="00BE60D4">
        <w:rPr>
          <w:rFonts w:ascii="Adobe Caslon Pro" w:hAnsi="Adobe Caslon Pro" w:cs="Arial"/>
        </w:rPr>
        <w:t>En la década de los noventa, en la agenda internacional de desarrollo, organismos como el Programa de Naciones Unidas para el Desarrollo (PNUD), el Banco Mundial (BM) y el Banco Interamericano de Desarrollo (BID), promovían el acercamiento con el sector de las OSC. Asimismo, en esta década de los noventa surgieron una multiplicidad de movimientos especialmente alentados por cumbres internacionales como fueron las de derechos de la infancia, la del medio ambiente y los derechos de los pueblos y comunidades indígen</w:t>
      </w:r>
      <w:r w:rsidR="0025571B">
        <w:rPr>
          <w:rFonts w:ascii="Adobe Caslon Pro" w:hAnsi="Adobe Caslon Pro" w:cs="Arial"/>
        </w:rPr>
        <w:t>as (Cumbre para la Tierra) en 19</w:t>
      </w:r>
      <w:r w:rsidRPr="00BE60D4">
        <w:rPr>
          <w:rFonts w:ascii="Adobe Caslon Pro" w:hAnsi="Adobe Caslon Pro" w:cs="Arial"/>
        </w:rPr>
        <w:t xml:space="preserve">92, y los derechos de la mujer en Beijing en 1995. En la Cumbre Mundial sobre Desarrollo Social (Copenhague, 1995), uno de los temas centrales para alcanzar un desarrollo humano sostenible fue el de promover la integración social. En un número cada vez mayor de países, la adopción de modalidades democráticas de </w:t>
      </w:r>
      <w:r>
        <w:rPr>
          <w:rFonts w:ascii="Adobe Caslon Pro" w:hAnsi="Adobe Caslon Pro" w:cs="Arial"/>
        </w:rPr>
        <w:t>gobierno</w:t>
      </w:r>
      <w:r w:rsidRPr="00BE60D4">
        <w:rPr>
          <w:rFonts w:ascii="Adobe Caslon Pro" w:hAnsi="Adobe Caslon Pro" w:cs="Arial"/>
        </w:rPr>
        <w:t xml:space="preserve"> ofrecía oportunidades para la participación de toda la población en todas las esferas de la vida pública. Un hecho alentador fue el fortalecimiento de la sociedad civil, incluso de las organizaciones no gubernamentales y la de voluntarios.</w:t>
      </w:r>
    </w:p>
    <w:p w:rsidR="00BE60D4" w:rsidRPr="00BE60D4" w:rsidRDefault="00BE60D4" w:rsidP="00BE60D4">
      <w:pPr>
        <w:jc w:val="both"/>
        <w:rPr>
          <w:rFonts w:ascii="Adobe Caslon Pro" w:hAnsi="Adobe Caslon Pro" w:cs="Arial"/>
        </w:rPr>
      </w:pPr>
      <w:r w:rsidRPr="00BE60D4">
        <w:rPr>
          <w:rFonts w:ascii="Adobe Caslon Pro" w:hAnsi="Adobe Caslon Pro" w:cs="Arial"/>
        </w:rPr>
        <w:t xml:space="preserve">De igual forma, surgieron organizaciones como World Alliance for Citizen </w:t>
      </w:r>
      <w:r w:rsidRPr="005C79FF">
        <w:rPr>
          <w:rFonts w:ascii="Adobe Caslon Pro" w:hAnsi="Adobe Caslon Pro" w:cs="Arial"/>
        </w:rPr>
        <w:t xml:space="preserve">Participation </w:t>
      </w:r>
      <w:r w:rsidR="0025571B">
        <w:rPr>
          <w:rFonts w:ascii="Adobe Caslon Pro" w:hAnsi="Adobe Caslon Pro" w:cs="Arial"/>
        </w:rPr>
        <w:t>(</w:t>
      </w:r>
      <w:r w:rsidRPr="005C79FF">
        <w:rPr>
          <w:rFonts w:ascii="Adobe Caslon Pro" w:hAnsi="Adobe Caslon Pro" w:cs="Arial"/>
        </w:rPr>
        <w:t>CIVICUS</w:t>
      </w:r>
      <w:r w:rsidR="0025571B">
        <w:rPr>
          <w:rFonts w:ascii="Adobe Caslon Pro" w:hAnsi="Adobe Caslon Pro" w:cs="Arial"/>
        </w:rPr>
        <w:t>)</w:t>
      </w:r>
      <w:r w:rsidRPr="005C79FF">
        <w:rPr>
          <w:rFonts w:ascii="Adobe Caslon Pro" w:hAnsi="Adobe Caslon Pro" w:cs="Arial"/>
        </w:rPr>
        <w:t xml:space="preserve"> en</w:t>
      </w:r>
      <w:r w:rsidRPr="00BE60D4">
        <w:rPr>
          <w:rFonts w:ascii="Adobe Caslon Pro" w:hAnsi="Adobe Caslon Pro" w:cs="Arial"/>
        </w:rPr>
        <w:t xml:space="preserve"> los Estados Unidos de América o como el Centro Mexicano de la Filantropía (CEMEFI) en México, que intentaban revalorar esta participación ciudadana en</w:t>
      </w:r>
      <w:r w:rsidR="0025571B">
        <w:rPr>
          <w:rFonts w:ascii="Adobe Caslon Pro" w:hAnsi="Adobe Caslon Pro" w:cs="Arial"/>
        </w:rPr>
        <w:t xml:space="preserve"> </w:t>
      </w:r>
      <w:r w:rsidRPr="00BE60D4">
        <w:rPr>
          <w:rFonts w:ascii="Adobe Caslon Pro" w:hAnsi="Adobe Caslon Pro" w:cs="Arial"/>
        </w:rPr>
        <w:t xml:space="preserve">torno a causas sociales. En este marco en 1992, nace la Secretaría de Desarrollo Social, desde donde se inicia una revaloración de las múltiples tareas en que ha participado la sociedad civil y se genera el primer fondo de coinversión social, el cual fue concebido como un instrumento para incluir el concepto de productividad social en la agenda del gobierno federal y —específicamente— como semilla financiera para los proyectos de beneficio a terceros ejecutados por las OSC. </w:t>
      </w:r>
    </w:p>
    <w:p w:rsidR="00BE60D4" w:rsidRPr="00BE60D4" w:rsidRDefault="00BE60D4" w:rsidP="00BE60D4">
      <w:pPr>
        <w:jc w:val="both"/>
        <w:rPr>
          <w:rFonts w:ascii="Adobe Caslon Pro" w:hAnsi="Adobe Caslon Pro" w:cs="Arial"/>
        </w:rPr>
      </w:pPr>
      <w:r w:rsidRPr="00BE60D4">
        <w:rPr>
          <w:rFonts w:ascii="Adobe Caslon Pro" w:hAnsi="Adobe Caslon Pro" w:cs="Arial"/>
        </w:rPr>
        <w:lastRenderedPageBreak/>
        <w:t>Desde esta época, ya se había formado un grupo que trataba de generar un marco jurídico innovador y adecuado para el fomento de las actividades de OSC. Como resultado de años de esfuerzo de la sociedad civil, el 9 de febrero de 2004, se publicó en el DOF, la</w:t>
      </w:r>
      <w:r w:rsidR="005C79FF">
        <w:rPr>
          <w:rFonts w:ascii="Adobe Caslon Pro" w:hAnsi="Adobe Caslon Pro" w:cs="Arial"/>
        </w:rPr>
        <w:t xml:space="preserve"> </w:t>
      </w:r>
      <w:r w:rsidR="009C0D72" w:rsidRPr="00AD0FD2">
        <w:rPr>
          <w:rFonts w:ascii="Adobe Caslon Pro" w:hAnsi="Adobe Caslon Pro" w:cs="Arial"/>
          <w:bCs/>
        </w:rPr>
        <w:t>Ley Federal de Fomento a las Actividades Realizadas por</w:t>
      </w:r>
      <w:r w:rsidR="009C0D72">
        <w:rPr>
          <w:rFonts w:ascii="Adobe Caslon Pro" w:hAnsi="Adobe Caslon Pro" w:cs="Arial"/>
          <w:bCs/>
        </w:rPr>
        <w:t xml:space="preserve"> </w:t>
      </w:r>
      <w:r w:rsidR="009C0D72" w:rsidRPr="00AD0FD2">
        <w:rPr>
          <w:rFonts w:ascii="Adobe Caslon Pro" w:hAnsi="Adobe Caslon Pro" w:cs="Arial"/>
          <w:bCs/>
        </w:rPr>
        <w:t>Organizaciones de la Sociedad Civil</w:t>
      </w:r>
      <w:r w:rsidR="009C0D72">
        <w:rPr>
          <w:rFonts w:ascii="Adobe Caslon Pro" w:hAnsi="Adobe Caslon Pro" w:cs="Arial"/>
        </w:rPr>
        <w:t xml:space="preserve"> (</w:t>
      </w:r>
      <w:r w:rsidR="005C79FF">
        <w:rPr>
          <w:rFonts w:ascii="Adobe Caslon Pro" w:hAnsi="Adobe Caslon Pro" w:cs="Arial"/>
        </w:rPr>
        <w:t>LFFAROSC</w:t>
      </w:r>
      <w:r w:rsidR="009C0D72">
        <w:rPr>
          <w:rFonts w:ascii="Adobe Caslon Pro" w:hAnsi="Adobe Caslon Pro" w:cs="Arial"/>
        </w:rPr>
        <w:t>)</w:t>
      </w:r>
      <w:r w:rsidRPr="00BE60D4">
        <w:rPr>
          <w:rFonts w:ascii="Adobe Caslon Pro" w:hAnsi="Adobe Caslon Pro" w:cs="Arial"/>
        </w:rPr>
        <w:t xml:space="preserve">. En virtud de esta Ley se generó la opción de registro, a través del </w:t>
      </w:r>
      <w:r w:rsidR="009C0D72" w:rsidRPr="00AD0FD2">
        <w:rPr>
          <w:rFonts w:ascii="Adobe Caslon Pro" w:hAnsi="Adobe Caslon Pro" w:cs="Arial"/>
          <w:bCs/>
        </w:rPr>
        <w:t>Registro Federal de las O</w:t>
      </w:r>
      <w:r w:rsidR="009C0D72">
        <w:rPr>
          <w:rFonts w:ascii="Adobe Caslon Pro" w:hAnsi="Adobe Caslon Pro" w:cs="Arial"/>
          <w:bCs/>
        </w:rPr>
        <w:t xml:space="preserve">rganizaciones de la Sociedad </w:t>
      </w:r>
      <w:r w:rsidR="009C0D72" w:rsidRPr="00AD0FD2">
        <w:rPr>
          <w:rFonts w:ascii="Adobe Caslon Pro" w:hAnsi="Adobe Caslon Pro" w:cs="Arial"/>
          <w:bCs/>
        </w:rPr>
        <w:t>C</w:t>
      </w:r>
      <w:r w:rsidR="009C0D72">
        <w:rPr>
          <w:rFonts w:ascii="Adobe Caslon Pro" w:hAnsi="Adobe Caslon Pro" w:cs="Arial"/>
          <w:bCs/>
        </w:rPr>
        <w:t>ivil</w:t>
      </w:r>
      <w:r w:rsidR="009C0D72" w:rsidRPr="00BE60D4">
        <w:rPr>
          <w:rFonts w:ascii="Adobe Caslon Pro" w:hAnsi="Adobe Caslon Pro" w:cs="Arial"/>
        </w:rPr>
        <w:t xml:space="preserve"> </w:t>
      </w:r>
      <w:r w:rsidR="009C0D72">
        <w:rPr>
          <w:rFonts w:ascii="Adobe Caslon Pro" w:hAnsi="Adobe Caslon Pro" w:cs="Arial"/>
        </w:rPr>
        <w:t>(</w:t>
      </w:r>
      <w:r w:rsidRPr="00BE60D4">
        <w:rPr>
          <w:rFonts w:ascii="Adobe Caslon Pro" w:hAnsi="Adobe Caslon Pro" w:cs="Arial"/>
        </w:rPr>
        <w:t>RFOSC</w:t>
      </w:r>
      <w:r w:rsidR="009C0D72">
        <w:rPr>
          <w:rFonts w:ascii="Adobe Caslon Pro" w:hAnsi="Adobe Caslon Pro" w:cs="Arial"/>
        </w:rPr>
        <w:t>)</w:t>
      </w:r>
      <w:r w:rsidRPr="00BE60D4">
        <w:rPr>
          <w:rFonts w:ascii="Adobe Caslon Pro" w:hAnsi="Adobe Caslon Pro" w:cs="Arial"/>
        </w:rPr>
        <w:t>, que ha permitido ir conociendo más a fondo el universo de éstas. Dicha ley intenta describir en conjunto las actividades que ya realizaban desde entonces la sociedad civil y que las hace diferentes en otras organizaciones que se dedican a lo gremial, sindical, laboral o político.</w:t>
      </w:r>
    </w:p>
    <w:p w:rsidR="00BE60D4" w:rsidRPr="00BE60D4" w:rsidRDefault="00BE60D4" w:rsidP="00BE60D4">
      <w:pPr>
        <w:jc w:val="both"/>
        <w:rPr>
          <w:rFonts w:ascii="Adobe Caslon Pro" w:hAnsi="Adobe Caslon Pro" w:cs="Arial"/>
          <w:bCs/>
        </w:rPr>
      </w:pPr>
      <w:r w:rsidRPr="00BE60D4">
        <w:rPr>
          <w:rFonts w:ascii="Adobe Caslon Pro" w:hAnsi="Adobe Caslon Pro" w:cs="Arial"/>
          <w:bCs/>
        </w:rPr>
        <w:t>Dada la importancia de la contribución de las OCS al desarrollo social, merecen seguir siendo impulsadas a través de una estrategia pública diseñada especialmente para ello, toda vez que los actores sociales aún presentan importantes aspectos que fortalecer, tomando en consideración que éstos son la expresión del derecho constitucional de toda la ciudadanía a participar en la vida política, económica, cultural y social del país.</w:t>
      </w:r>
      <w:r w:rsidRPr="00BE60D4">
        <w:rPr>
          <w:rStyle w:val="Refdenotaalpie"/>
          <w:rFonts w:ascii="Adobe Caslon Pro" w:hAnsi="Adobe Caslon Pro" w:cs="Arial"/>
          <w:bCs/>
        </w:rPr>
        <w:footnoteReference w:id="4"/>
      </w:r>
    </w:p>
    <w:p w:rsidR="00BE60D4" w:rsidRPr="00BE60D4" w:rsidRDefault="00BE60D4" w:rsidP="00BE60D4">
      <w:pPr>
        <w:jc w:val="both"/>
        <w:rPr>
          <w:rFonts w:ascii="Adobe Caslon Pro" w:hAnsi="Adobe Caslon Pro" w:cs="Arial"/>
          <w:bCs/>
        </w:rPr>
      </w:pPr>
      <w:r w:rsidRPr="005C79FF">
        <w:rPr>
          <w:rFonts w:ascii="Adobe Caslon Pro" w:hAnsi="Adobe Caslon Pro" w:cs="Arial"/>
          <w:bCs/>
        </w:rPr>
        <w:t>Uno de los principales instrumentos para el fomento de las actividades y participación de los actores sociales con que cuenta el gobierno</w:t>
      </w:r>
      <w:r w:rsidR="005C79FF" w:rsidRPr="005C79FF">
        <w:rPr>
          <w:rFonts w:ascii="Adobe Caslon Pro" w:hAnsi="Adobe Caslon Pro" w:cs="Arial"/>
          <w:bCs/>
        </w:rPr>
        <w:t xml:space="preserve"> f</w:t>
      </w:r>
      <w:r w:rsidRPr="005C79FF">
        <w:rPr>
          <w:rFonts w:ascii="Adobe Caslon Pro" w:hAnsi="Adobe Caslon Pro" w:cs="Arial"/>
          <w:bCs/>
        </w:rPr>
        <w:t>ederal desde</w:t>
      </w:r>
      <w:r w:rsidRPr="00BE60D4">
        <w:rPr>
          <w:rFonts w:ascii="Adobe Caslon Pro" w:hAnsi="Adobe Caslon Pro" w:cs="Arial"/>
          <w:bCs/>
        </w:rPr>
        <w:t xml:space="preserve"> hace 21 años, es el PCS a cargo del INDESOL. El PCS promueve y financia proyectos de </w:t>
      </w:r>
      <w:r w:rsidRPr="005C79FF">
        <w:rPr>
          <w:rFonts w:ascii="Adobe Caslon Pro" w:hAnsi="Adobe Caslon Pro" w:cs="Arial"/>
          <w:bCs/>
        </w:rPr>
        <w:t>coinversión entre el gobierno y las</w:t>
      </w:r>
      <w:r w:rsidRPr="00BE60D4">
        <w:rPr>
          <w:rFonts w:ascii="Adobe Caslon Pro" w:hAnsi="Adobe Caslon Pro" w:cs="Arial"/>
          <w:bCs/>
        </w:rPr>
        <w:t xml:space="preserve"> OSC, I</w:t>
      </w:r>
      <w:r w:rsidR="009C0D72">
        <w:rPr>
          <w:rFonts w:ascii="Adobe Caslon Pro" w:hAnsi="Adobe Caslon Pro" w:cs="Arial"/>
          <w:bCs/>
        </w:rPr>
        <w:t>nstituciones de Educación Superior (I</w:t>
      </w:r>
      <w:r w:rsidRPr="00BE60D4">
        <w:rPr>
          <w:rFonts w:ascii="Adobe Caslon Pro" w:hAnsi="Adobe Caslon Pro" w:cs="Arial"/>
          <w:bCs/>
        </w:rPr>
        <w:t>ES</w:t>
      </w:r>
      <w:r w:rsidR="009C0D72">
        <w:rPr>
          <w:rFonts w:ascii="Adobe Caslon Pro" w:hAnsi="Adobe Caslon Pro" w:cs="Arial"/>
          <w:bCs/>
        </w:rPr>
        <w:t>)</w:t>
      </w:r>
      <w:r w:rsidRPr="00BE60D4">
        <w:rPr>
          <w:rFonts w:ascii="Adobe Caslon Pro" w:hAnsi="Adobe Caslon Pro" w:cs="Arial"/>
          <w:bCs/>
        </w:rPr>
        <w:t xml:space="preserve"> y C</w:t>
      </w:r>
      <w:r w:rsidR="009C0D72">
        <w:rPr>
          <w:rFonts w:ascii="Adobe Caslon Pro" w:hAnsi="Adobe Caslon Pro" w:cs="Arial"/>
          <w:bCs/>
        </w:rPr>
        <w:t>entros de Investigación (C</w:t>
      </w:r>
      <w:r w:rsidRPr="00BE60D4">
        <w:rPr>
          <w:rFonts w:ascii="Adobe Caslon Pro" w:hAnsi="Adobe Caslon Pro" w:cs="Arial"/>
          <w:bCs/>
        </w:rPr>
        <w:t>I</w:t>
      </w:r>
      <w:r w:rsidR="009C0D72">
        <w:rPr>
          <w:rFonts w:ascii="Adobe Caslon Pro" w:hAnsi="Adobe Caslon Pro" w:cs="Arial"/>
          <w:bCs/>
        </w:rPr>
        <w:t>)</w:t>
      </w:r>
      <w:r w:rsidRPr="00BE60D4">
        <w:rPr>
          <w:rFonts w:ascii="Adobe Caslon Pro" w:hAnsi="Adobe Caslon Pro" w:cs="Arial"/>
          <w:bCs/>
        </w:rPr>
        <w:t xml:space="preserve"> que tengan como fin las actividades contempladas</w:t>
      </w:r>
      <w:r w:rsidR="005C79FF">
        <w:rPr>
          <w:rFonts w:ascii="Adobe Caslon Pro" w:hAnsi="Adobe Caslon Pro" w:cs="Arial"/>
          <w:bCs/>
        </w:rPr>
        <w:t xml:space="preserve"> en la</w:t>
      </w:r>
      <w:r w:rsidRPr="00BE60D4">
        <w:rPr>
          <w:rFonts w:ascii="Adobe Caslon Pro" w:hAnsi="Adobe Caslon Pro" w:cs="Arial"/>
          <w:bCs/>
        </w:rPr>
        <w:t xml:space="preserve"> </w:t>
      </w:r>
      <w:r w:rsidR="005C79FF">
        <w:rPr>
          <w:rFonts w:ascii="Adobe Caslon Pro" w:hAnsi="Adobe Caslon Pro" w:cs="Arial"/>
        </w:rPr>
        <w:t>LFFAROSC</w:t>
      </w:r>
      <w:r w:rsidRPr="00BE60D4">
        <w:rPr>
          <w:rFonts w:ascii="Adobe Caslon Pro" w:hAnsi="Adobe Caslon Pro" w:cs="Arial"/>
          <w:bCs/>
        </w:rPr>
        <w:t>.</w:t>
      </w:r>
    </w:p>
    <w:p w:rsidR="00BE60D4" w:rsidRPr="00BE60D4" w:rsidRDefault="00BE60D4" w:rsidP="00BE60D4">
      <w:pPr>
        <w:jc w:val="both"/>
        <w:rPr>
          <w:rFonts w:ascii="Adobe Caslon Pro" w:hAnsi="Adobe Caslon Pro" w:cs="Arial"/>
        </w:rPr>
      </w:pPr>
      <w:r w:rsidRPr="00BE60D4">
        <w:rPr>
          <w:rFonts w:ascii="Adobe Caslon Pro" w:hAnsi="Adobe Caslon Pro" w:cs="Arial"/>
        </w:rPr>
        <w:t xml:space="preserve">En suma, puede concluirse que las OSC en México representan a un grupo de actores plurales, diversos y autónomos, los cuales han estado inmersos en un proceso constante de construcción de ciudadanía, con distintas enfoques y </w:t>
      </w:r>
      <w:r w:rsidRPr="005C79FF">
        <w:rPr>
          <w:rFonts w:ascii="Adobe Caslon Pro" w:hAnsi="Adobe Caslon Pro" w:cs="Arial"/>
        </w:rPr>
        <w:t>con una gran variedad de agendas. Asimismo han establecido nuevas formas de interlocución, no sólo con el poder Ejecutivo, sino que se han abierto espacios de diálogo y de intercambio de propuestas para influir con todos los actores del poder político y de gobierno.</w:t>
      </w:r>
      <w:r w:rsidRPr="00BE60D4">
        <w:rPr>
          <w:rFonts w:ascii="Adobe Caslon Pro" w:hAnsi="Adobe Caslon Pro" w:cs="Arial"/>
        </w:rPr>
        <w:t xml:space="preserve"> </w:t>
      </w:r>
    </w:p>
    <w:p w:rsidR="00BE60D4" w:rsidRDefault="00BE60D4">
      <w:pPr>
        <w:spacing w:after="200"/>
        <w:rPr>
          <w:rFonts w:ascii="Adobe Caslon Pro" w:eastAsia="Times New Roman" w:hAnsi="Adobe Caslon Pro"/>
          <w:b/>
          <w:bCs/>
          <w:color w:val="C00000"/>
          <w:sz w:val="26"/>
          <w:szCs w:val="26"/>
        </w:rPr>
      </w:pPr>
      <w:r>
        <w:rPr>
          <w:rFonts w:ascii="Adobe Caslon Pro" w:eastAsia="Times New Roman" w:hAnsi="Adobe Caslon Pro"/>
          <w:b/>
          <w:bCs/>
          <w:color w:val="C00000"/>
          <w:sz w:val="26"/>
          <w:szCs w:val="26"/>
        </w:rPr>
        <w:br w:type="page"/>
      </w:r>
    </w:p>
    <w:p w:rsidR="00BE60D4" w:rsidRDefault="00BE60D4">
      <w:pPr>
        <w:spacing w:after="200"/>
        <w:rPr>
          <w:rFonts w:ascii="Adobe Caslon Pro" w:eastAsia="Times New Roman" w:hAnsi="Adobe Caslon Pro"/>
          <w:b/>
          <w:bCs/>
          <w:color w:val="C00000"/>
          <w:sz w:val="26"/>
          <w:szCs w:val="26"/>
        </w:rPr>
      </w:pPr>
    </w:p>
    <w:p w:rsidR="004D5D2F" w:rsidRDefault="00DB5DED" w:rsidP="0043286B">
      <w:pPr>
        <w:pStyle w:val="Ttulo2"/>
        <w:spacing w:before="0" w:after="120" w:line="240" w:lineRule="auto"/>
      </w:pPr>
      <w:bookmarkStart w:id="36" w:name="_Toc391925216"/>
      <w:r>
        <w:t xml:space="preserve">2.2 </w:t>
      </w:r>
      <w:r w:rsidR="004D5D2F">
        <w:t>Análisis del Problema</w:t>
      </w:r>
      <w:bookmarkEnd w:id="36"/>
    </w:p>
    <w:p w:rsidR="00D25F5B" w:rsidRPr="000907D3" w:rsidRDefault="009A7A25" w:rsidP="0043286B">
      <w:pPr>
        <w:pStyle w:val="Ttulo3"/>
        <w:spacing w:before="0" w:after="120" w:line="240" w:lineRule="auto"/>
      </w:pPr>
      <w:bookmarkStart w:id="37" w:name="_Toc391925217"/>
      <w:r>
        <w:t xml:space="preserve">2.2.1 </w:t>
      </w:r>
      <w:r w:rsidR="000479ED" w:rsidRPr="000907D3">
        <w:t>Identificación y descripción del Problema</w:t>
      </w:r>
      <w:bookmarkEnd w:id="34"/>
      <w:bookmarkEnd w:id="37"/>
      <w:r w:rsidR="00F2431D" w:rsidRPr="000907D3">
        <w:tab/>
      </w:r>
    </w:p>
    <w:p w:rsidR="00110650" w:rsidRDefault="00110650" w:rsidP="0043286B">
      <w:pPr>
        <w:spacing w:before="240" w:after="120" w:line="240" w:lineRule="auto"/>
        <w:jc w:val="both"/>
        <w:rPr>
          <w:rFonts w:ascii="Adobe Caslon Pro" w:hAnsi="Adobe Caslon Pro" w:cs="Arial"/>
        </w:rPr>
      </w:pPr>
      <w:r w:rsidRPr="000907D3">
        <w:rPr>
          <w:rFonts w:ascii="Adobe Caslon Pro" w:hAnsi="Adobe Caslon Pro" w:cs="Arial"/>
        </w:rPr>
        <w:t xml:space="preserve">En el ámbito internacional se reconoce que los actores sociales cumplen un rol fundamental en el desarrollo social, el fortalecimiento democrático, así como en el planteamiento, diseño y ejecución de mejores políticas públicas. Entre </w:t>
      </w:r>
      <w:r w:rsidR="00393F57" w:rsidRPr="000907D3">
        <w:rPr>
          <w:rFonts w:ascii="Adobe Caslon Pro" w:hAnsi="Adobe Caslon Pro" w:cs="Arial"/>
        </w:rPr>
        <w:t xml:space="preserve">las aportaciones de los actores sociales se </w:t>
      </w:r>
      <w:r w:rsidRPr="000907D3">
        <w:rPr>
          <w:rFonts w:ascii="Adobe Caslon Pro" w:hAnsi="Adobe Caslon Pro" w:cs="Arial"/>
        </w:rPr>
        <w:t xml:space="preserve">reconoce </w:t>
      </w:r>
      <w:r w:rsidR="00E32DDC">
        <w:rPr>
          <w:rFonts w:ascii="Adobe Caslon Pro" w:hAnsi="Adobe Caslon Pro" w:cs="Arial"/>
        </w:rPr>
        <w:t>e</w:t>
      </w:r>
      <w:r w:rsidR="00393F57" w:rsidRPr="000907D3">
        <w:rPr>
          <w:rFonts w:ascii="Adobe Caslon Pro" w:hAnsi="Adobe Caslon Pro" w:cs="Arial"/>
        </w:rPr>
        <w:t>l</w:t>
      </w:r>
      <w:r w:rsidRPr="000907D3">
        <w:rPr>
          <w:rFonts w:ascii="Adobe Caslon Pro" w:hAnsi="Adobe Caslon Pro" w:cs="Arial"/>
        </w:rPr>
        <w:t xml:space="preserve"> fomento </w:t>
      </w:r>
      <w:r w:rsidR="00393F57" w:rsidRPr="000907D3">
        <w:rPr>
          <w:rFonts w:ascii="Adobe Caslon Pro" w:hAnsi="Adobe Caslon Pro" w:cs="Arial"/>
        </w:rPr>
        <w:t>de</w:t>
      </w:r>
      <w:r w:rsidRPr="000907D3">
        <w:rPr>
          <w:rFonts w:ascii="Adobe Caslon Pro" w:hAnsi="Adobe Caslon Pro" w:cs="Arial"/>
        </w:rPr>
        <w:t xml:space="preserve"> la prestación de mejores servicios públicos, </w:t>
      </w:r>
      <w:r w:rsidR="00393F57" w:rsidRPr="000907D3">
        <w:rPr>
          <w:rFonts w:ascii="Adobe Caslon Pro" w:hAnsi="Adobe Caslon Pro" w:cs="Arial"/>
        </w:rPr>
        <w:t>la promoción</w:t>
      </w:r>
      <w:r w:rsidRPr="000907D3">
        <w:rPr>
          <w:rFonts w:ascii="Adobe Caslon Pro" w:hAnsi="Adobe Caslon Pro" w:cs="Arial"/>
        </w:rPr>
        <w:t xml:space="preserve"> de la participación de los sectores más vulnerables de la sociedad</w:t>
      </w:r>
      <w:r w:rsidR="00393F57" w:rsidRPr="000907D3">
        <w:rPr>
          <w:rFonts w:ascii="Adobe Caslon Pro" w:hAnsi="Adobe Caslon Pro" w:cs="Arial"/>
        </w:rPr>
        <w:t xml:space="preserve"> en la solución de los problemas que enfrentan, así como las actividades que realizan al fungir </w:t>
      </w:r>
      <w:r w:rsidRPr="000907D3">
        <w:rPr>
          <w:rFonts w:ascii="Adobe Caslon Pro" w:hAnsi="Adobe Caslon Pro" w:cs="Arial"/>
        </w:rPr>
        <w:t xml:space="preserve">como observadores de </w:t>
      </w:r>
      <w:r w:rsidR="00393F57" w:rsidRPr="000907D3">
        <w:rPr>
          <w:rFonts w:ascii="Adobe Caslon Pro" w:hAnsi="Adobe Caslon Pro" w:cs="Arial"/>
        </w:rPr>
        <w:t xml:space="preserve">la actuación del sector público, exigiendo y vigilando la adecuada </w:t>
      </w:r>
      <w:r w:rsidRPr="000907D3">
        <w:rPr>
          <w:rFonts w:ascii="Adobe Caslon Pro" w:hAnsi="Adobe Caslon Pro" w:cs="Arial"/>
        </w:rPr>
        <w:t>rendición de cuentas (Tapia</w:t>
      </w:r>
      <w:r w:rsidR="00393F57" w:rsidRPr="000907D3">
        <w:rPr>
          <w:rFonts w:ascii="Adobe Caslon Pro" w:hAnsi="Adobe Caslon Pro" w:cs="Arial"/>
        </w:rPr>
        <w:t xml:space="preserve"> y Verduzco,</w:t>
      </w:r>
      <w:r w:rsidRPr="000907D3">
        <w:rPr>
          <w:rFonts w:ascii="Adobe Caslon Pro" w:hAnsi="Adobe Caslon Pro" w:cs="Arial"/>
        </w:rPr>
        <w:t xml:space="preserve"> 2013). </w:t>
      </w:r>
    </w:p>
    <w:p w:rsidR="00110650" w:rsidRDefault="00980009" w:rsidP="0043286B">
      <w:pPr>
        <w:spacing w:after="120" w:line="240" w:lineRule="auto"/>
        <w:jc w:val="both"/>
        <w:rPr>
          <w:rFonts w:ascii="Adobe Caslon Pro" w:hAnsi="Adobe Caslon Pro" w:cs="Arial"/>
        </w:rPr>
      </w:pPr>
      <w:r w:rsidRPr="000907D3">
        <w:rPr>
          <w:rFonts w:ascii="Adobe Caslon Pro" w:hAnsi="Adobe Caslon Pro" w:cs="Arial"/>
        </w:rPr>
        <w:t xml:space="preserve">En el documento </w:t>
      </w:r>
      <w:r w:rsidRPr="000907D3">
        <w:rPr>
          <w:rFonts w:ascii="Adobe Caslon Pro" w:hAnsi="Adobe Caslon Pro" w:cs="Arial"/>
          <w:i/>
        </w:rPr>
        <w:t>Superar la Pobreza Mediante la Inclusión Social</w:t>
      </w:r>
      <w:r w:rsidRPr="000907D3">
        <w:rPr>
          <w:rFonts w:ascii="Adobe Caslon Pro" w:hAnsi="Adobe Caslon Pro" w:cs="Arial"/>
        </w:rPr>
        <w:t xml:space="preserve"> (CEPAL, </w:t>
      </w:r>
      <w:r w:rsidR="00110650" w:rsidRPr="000907D3">
        <w:rPr>
          <w:rFonts w:ascii="Adobe Caslon Pro" w:hAnsi="Adobe Caslon Pro" w:cs="Arial"/>
        </w:rPr>
        <w:t xml:space="preserve">2008) </w:t>
      </w:r>
      <w:r w:rsidRPr="000907D3">
        <w:rPr>
          <w:rFonts w:ascii="Adobe Caslon Pro" w:hAnsi="Adobe Caslon Pro" w:cs="Arial"/>
        </w:rPr>
        <w:t xml:space="preserve">se </w:t>
      </w:r>
      <w:r w:rsidR="00110650" w:rsidRPr="000907D3">
        <w:rPr>
          <w:rFonts w:ascii="Adobe Caslon Pro" w:hAnsi="Adobe Caslon Pro" w:cs="Arial"/>
        </w:rPr>
        <w:t>identifica</w:t>
      </w:r>
      <w:r w:rsidR="00753C1A">
        <w:rPr>
          <w:rFonts w:ascii="Adobe Caslon Pro" w:hAnsi="Adobe Caslon Pro" w:cs="Arial"/>
        </w:rPr>
        <w:t>n</w:t>
      </w:r>
      <w:r w:rsidR="00110650" w:rsidRPr="000907D3">
        <w:rPr>
          <w:rFonts w:ascii="Adobe Caslon Pro" w:hAnsi="Adobe Caslon Pro" w:cs="Arial"/>
        </w:rPr>
        <w:t xml:space="preserve"> dentro de las áreas estratégicas de intervención el fortalecimiento de la democracia, la participación social, la eficacia de la gestión y el gasto público, en</w:t>
      </w:r>
      <w:r w:rsidRPr="000907D3">
        <w:rPr>
          <w:rFonts w:ascii="Adobe Caslon Pro" w:hAnsi="Adobe Caslon Pro" w:cs="Arial"/>
        </w:rPr>
        <w:t xml:space="preserve">tre otras. </w:t>
      </w:r>
      <w:r w:rsidR="00110650" w:rsidRPr="000907D3">
        <w:rPr>
          <w:rFonts w:ascii="Adobe Caslon Pro" w:hAnsi="Adobe Caslon Pro" w:cs="Arial"/>
        </w:rPr>
        <w:t>Dichas áreas enmarcan buena parte de las actividades realizadas por las OSC</w:t>
      </w:r>
      <w:r w:rsidRPr="000907D3">
        <w:rPr>
          <w:rFonts w:ascii="Adobe Caslon Pro" w:hAnsi="Adobe Caslon Pro" w:cs="Arial"/>
        </w:rPr>
        <w:t>,</w:t>
      </w:r>
      <w:r w:rsidR="00110650" w:rsidRPr="000907D3">
        <w:rPr>
          <w:rFonts w:ascii="Adobe Caslon Pro" w:hAnsi="Adobe Caslon Pro" w:cs="Arial"/>
        </w:rPr>
        <w:t xml:space="preserve"> debido a que </w:t>
      </w:r>
      <w:r w:rsidRPr="000907D3">
        <w:rPr>
          <w:rFonts w:ascii="Adobe Caslon Pro" w:hAnsi="Adobe Caslon Pro" w:cs="Arial"/>
        </w:rPr>
        <w:t>éstas</w:t>
      </w:r>
      <w:r w:rsidR="00110650" w:rsidRPr="000907D3">
        <w:rPr>
          <w:rFonts w:ascii="Adobe Caslon Pro" w:hAnsi="Adobe Caslon Pro" w:cs="Arial"/>
        </w:rPr>
        <w:t xml:space="preserve"> encauzan sus esfuerzos a la observancia del cumplimiento de </w:t>
      </w:r>
      <w:r w:rsidRPr="000907D3">
        <w:rPr>
          <w:rFonts w:ascii="Adobe Caslon Pro" w:hAnsi="Adobe Caslon Pro" w:cs="Arial"/>
        </w:rPr>
        <w:t>estas</w:t>
      </w:r>
      <w:r w:rsidR="00110650" w:rsidRPr="000907D3">
        <w:rPr>
          <w:rFonts w:ascii="Adobe Caslon Pro" w:hAnsi="Adobe Caslon Pro" w:cs="Arial"/>
        </w:rPr>
        <w:t xml:space="preserve"> actividades</w:t>
      </w:r>
      <w:r w:rsidRPr="000907D3">
        <w:rPr>
          <w:rFonts w:ascii="Adobe Caslon Pro" w:hAnsi="Adobe Caslon Pro" w:cs="Arial"/>
        </w:rPr>
        <w:t xml:space="preserve">, ya sea que se lleven a cabo por parte del Estado o que las realicen </w:t>
      </w:r>
      <w:r w:rsidR="00110650" w:rsidRPr="000907D3">
        <w:rPr>
          <w:rFonts w:ascii="Adobe Caslon Pro" w:hAnsi="Adobe Caslon Pro" w:cs="Arial"/>
        </w:rPr>
        <w:t xml:space="preserve">las propias OSC. </w:t>
      </w:r>
    </w:p>
    <w:p w:rsidR="00110650" w:rsidRDefault="00980009" w:rsidP="0043286B">
      <w:pPr>
        <w:spacing w:after="120" w:line="240" w:lineRule="auto"/>
        <w:jc w:val="both"/>
        <w:rPr>
          <w:rFonts w:ascii="Adobe Caslon Pro" w:hAnsi="Adobe Caslon Pro" w:cs="Arial"/>
        </w:rPr>
      </w:pPr>
      <w:r w:rsidRPr="000907D3">
        <w:rPr>
          <w:rFonts w:ascii="Adobe Caslon Pro" w:hAnsi="Adobe Caslon Pro" w:cs="Arial"/>
        </w:rPr>
        <w:t>Por lo anterior, s</w:t>
      </w:r>
      <w:r w:rsidR="00110650" w:rsidRPr="000907D3">
        <w:rPr>
          <w:rFonts w:ascii="Adobe Caslon Pro" w:hAnsi="Adobe Caslon Pro" w:cs="Arial"/>
        </w:rPr>
        <w:t xml:space="preserve">e considera a las OSC como </w:t>
      </w:r>
      <w:r w:rsidR="009C0D72">
        <w:rPr>
          <w:rFonts w:ascii="Adobe Caslon Pro" w:hAnsi="Adobe Caslon Pro" w:cs="Arial"/>
        </w:rPr>
        <w:t>“</w:t>
      </w:r>
      <w:r w:rsidR="00110650" w:rsidRPr="000907D3">
        <w:rPr>
          <w:rFonts w:ascii="Adobe Caslon Pro" w:hAnsi="Adobe Caslon Pro" w:cs="Arial"/>
        </w:rPr>
        <w:t>fuente</w:t>
      </w:r>
      <w:r w:rsidR="009C0D72">
        <w:rPr>
          <w:rFonts w:ascii="Adobe Caslon Pro" w:hAnsi="Adobe Caslon Pro" w:cs="Arial"/>
        </w:rPr>
        <w:t xml:space="preserve">s </w:t>
      </w:r>
      <w:r w:rsidRPr="000907D3">
        <w:rPr>
          <w:rFonts w:ascii="Adobe Caslon Pro" w:hAnsi="Adobe Caslon Pro" w:cs="Arial"/>
        </w:rPr>
        <w:t xml:space="preserve">alternativas de desarrollo” </w:t>
      </w:r>
      <w:r w:rsidR="00110650" w:rsidRPr="000907D3">
        <w:rPr>
          <w:rFonts w:ascii="Adobe Caslon Pro" w:hAnsi="Adobe Caslon Pro" w:cs="Arial"/>
        </w:rPr>
        <w:t xml:space="preserve">tanto por sus ideas como sus prácticas (Bebbington, 2007). Adicionalmente, los modelos de desarrollo actuales </w:t>
      </w:r>
      <w:r w:rsidRPr="000907D3">
        <w:rPr>
          <w:rFonts w:ascii="Adobe Caslon Pro" w:hAnsi="Adobe Caslon Pro" w:cs="Arial"/>
        </w:rPr>
        <w:t>incorporan</w:t>
      </w:r>
      <w:r w:rsidR="00580DF4">
        <w:rPr>
          <w:rFonts w:ascii="Adobe Caslon Pro" w:hAnsi="Adobe Caslon Pro" w:cs="Arial"/>
        </w:rPr>
        <w:t xml:space="preserve"> </w:t>
      </w:r>
      <w:r w:rsidRPr="000907D3">
        <w:rPr>
          <w:rFonts w:ascii="Adobe Caslon Pro" w:hAnsi="Adobe Caslon Pro" w:cs="Arial"/>
        </w:rPr>
        <w:t>la actuación de</w:t>
      </w:r>
      <w:r w:rsidR="00110650" w:rsidRPr="000907D3">
        <w:rPr>
          <w:rFonts w:ascii="Adobe Caslon Pro" w:hAnsi="Adobe Caslon Pro" w:cs="Arial"/>
        </w:rPr>
        <w:t xml:space="preserve"> los actores sociales no sólo en el desarrollo, sino</w:t>
      </w:r>
      <w:r w:rsidRPr="000907D3">
        <w:rPr>
          <w:rFonts w:ascii="Adobe Caslon Pro" w:hAnsi="Adobe Caslon Pro" w:cs="Arial"/>
        </w:rPr>
        <w:t xml:space="preserve">, sobre todo, </w:t>
      </w:r>
      <w:r w:rsidR="00110650" w:rsidRPr="000907D3">
        <w:rPr>
          <w:rFonts w:ascii="Adobe Caslon Pro" w:hAnsi="Adobe Caslon Pro" w:cs="Arial"/>
        </w:rPr>
        <w:t>en materia de avance democrático</w:t>
      </w:r>
      <w:r w:rsidR="009C0D72">
        <w:rPr>
          <w:rFonts w:ascii="Adobe Caslon Pro" w:hAnsi="Adobe Caslon Pro" w:cs="Arial"/>
        </w:rPr>
        <w:t>:</w:t>
      </w:r>
      <w:r w:rsidR="00110650" w:rsidRPr="000907D3">
        <w:rPr>
          <w:rFonts w:ascii="Adobe Caslon Pro" w:hAnsi="Adobe Caslon Pro" w:cs="Arial"/>
        </w:rPr>
        <w:t xml:space="preserve"> incorporación de temas de interés social en las agendas </w:t>
      </w:r>
      <w:r w:rsidR="009C0D72">
        <w:rPr>
          <w:rFonts w:ascii="Adobe Caslon Pro" w:hAnsi="Adobe Caslon Pro" w:cs="Arial"/>
        </w:rPr>
        <w:t xml:space="preserve">de políticas públicas </w:t>
      </w:r>
      <w:r w:rsidR="00110650" w:rsidRPr="000907D3">
        <w:rPr>
          <w:rFonts w:ascii="Adobe Caslon Pro" w:hAnsi="Adobe Caslon Pro" w:cs="Arial"/>
        </w:rPr>
        <w:t>(</w:t>
      </w:r>
      <w:r w:rsidRPr="000907D3">
        <w:rPr>
          <w:rFonts w:ascii="Adobe Caslon Pro" w:hAnsi="Adobe Caslon Pro" w:cs="Arial"/>
        </w:rPr>
        <w:t>por ejemplo en materia de</w:t>
      </w:r>
      <w:r w:rsidR="00982976">
        <w:rPr>
          <w:rFonts w:ascii="Adobe Caslon Pro" w:hAnsi="Adobe Caslon Pro" w:cs="Arial"/>
        </w:rPr>
        <w:t xml:space="preserve"> </w:t>
      </w:r>
      <w:r w:rsidRPr="000907D3">
        <w:rPr>
          <w:rFonts w:ascii="Adobe Caslon Pro" w:hAnsi="Adobe Caslon Pro" w:cs="Arial"/>
        </w:rPr>
        <w:t xml:space="preserve">igualdad de </w:t>
      </w:r>
      <w:r w:rsidR="00110650" w:rsidRPr="000907D3">
        <w:rPr>
          <w:rFonts w:ascii="Adobe Caslon Pro" w:hAnsi="Adobe Caslon Pro" w:cs="Arial"/>
        </w:rPr>
        <w:t xml:space="preserve">género o </w:t>
      </w:r>
      <w:r w:rsidRPr="000907D3">
        <w:rPr>
          <w:rFonts w:ascii="Adobe Caslon Pro" w:hAnsi="Adobe Caslon Pro" w:cs="Arial"/>
        </w:rPr>
        <w:t xml:space="preserve">de </w:t>
      </w:r>
      <w:r w:rsidR="00110650" w:rsidRPr="000907D3">
        <w:rPr>
          <w:rFonts w:ascii="Adobe Caslon Pro" w:hAnsi="Adobe Caslon Pro" w:cs="Arial"/>
        </w:rPr>
        <w:t>medio ambiente)</w:t>
      </w:r>
      <w:r w:rsidR="009C0D72">
        <w:rPr>
          <w:rFonts w:ascii="Adobe Caslon Pro" w:hAnsi="Adobe Caslon Pro" w:cs="Arial"/>
        </w:rPr>
        <w:t xml:space="preserve"> [Lewis y Kanji, 2009].</w:t>
      </w:r>
      <w:r w:rsidR="00580DF4">
        <w:rPr>
          <w:rFonts w:ascii="Adobe Caslon Pro" w:hAnsi="Adobe Caslon Pro" w:cs="Arial"/>
        </w:rPr>
        <w:t xml:space="preserve"> </w:t>
      </w:r>
      <w:r w:rsidRPr="0089400B">
        <w:rPr>
          <w:rFonts w:ascii="Adobe Caslon Pro" w:hAnsi="Adobe Caslon Pro" w:cs="Arial"/>
        </w:rPr>
        <w:t>De tal manera que l</w:t>
      </w:r>
      <w:r w:rsidR="00110650" w:rsidRPr="0089400B">
        <w:rPr>
          <w:rFonts w:ascii="Adobe Caslon Pro" w:hAnsi="Adobe Caslon Pro" w:cs="Arial"/>
        </w:rPr>
        <w:t xml:space="preserve">as </w:t>
      </w:r>
      <w:r w:rsidRPr="0089400B">
        <w:rPr>
          <w:rFonts w:ascii="Adobe Caslon Pro" w:hAnsi="Adobe Caslon Pro" w:cs="Arial"/>
        </w:rPr>
        <w:t>actividades</w:t>
      </w:r>
      <w:r w:rsidR="00110650" w:rsidRPr="0089400B">
        <w:rPr>
          <w:rFonts w:ascii="Adobe Caslon Pro" w:hAnsi="Adobe Caslon Pro" w:cs="Arial"/>
        </w:rPr>
        <w:t xml:space="preserve"> que realizan los actores sociales han cobrado tal relevancia en la actualidad, que </w:t>
      </w:r>
      <w:r w:rsidR="00E324FA" w:rsidRPr="0089400B">
        <w:rPr>
          <w:rFonts w:ascii="Adobe Caslon Pro" w:hAnsi="Adobe Caslon Pro" w:cs="Arial"/>
        </w:rPr>
        <w:t>su ausencia o debilitamiento</w:t>
      </w:r>
      <w:r w:rsidR="00580DF4" w:rsidRPr="0089400B">
        <w:rPr>
          <w:rFonts w:ascii="Adobe Caslon Pro" w:hAnsi="Adobe Caslon Pro" w:cs="Arial"/>
        </w:rPr>
        <w:t xml:space="preserve"> </w:t>
      </w:r>
      <w:r w:rsidR="00E324FA" w:rsidRPr="0089400B">
        <w:rPr>
          <w:rFonts w:ascii="Adobe Caslon Pro" w:hAnsi="Adobe Caslon Pro" w:cs="Arial"/>
        </w:rPr>
        <w:t>es un factor que afecta</w:t>
      </w:r>
      <w:r w:rsidR="00110650" w:rsidRPr="0089400B">
        <w:rPr>
          <w:rFonts w:ascii="Adobe Caslon Pro" w:hAnsi="Adobe Caslon Pro" w:cs="Arial"/>
        </w:rPr>
        <w:t xml:space="preserve"> desfavorablemente procesos </w:t>
      </w:r>
      <w:r w:rsidR="00E324FA" w:rsidRPr="0089400B">
        <w:rPr>
          <w:rFonts w:ascii="Adobe Caslon Pro" w:hAnsi="Adobe Caslon Pro" w:cs="Arial"/>
        </w:rPr>
        <w:t>sociales tan relevantes</w:t>
      </w:r>
      <w:r w:rsidR="00110650" w:rsidRPr="0089400B">
        <w:rPr>
          <w:rFonts w:ascii="Adobe Caslon Pro" w:hAnsi="Adobe Caslon Pro" w:cs="Arial"/>
        </w:rPr>
        <w:t xml:space="preserve"> como</w:t>
      </w:r>
      <w:r w:rsidR="00E324FA" w:rsidRPr="0089400B">
        <w:rPr>
          <w:rFonts w:ascii="Adobe Caslon Pro" w:hAnsi="Adobe Caslon Pro" w:cs="Arial"/>
        </w:rPr>
        <w:t xml:space="preserve"> los siguientes</w:t>
      </w:r>
      <w:r w:rsidR="009C0D72">
        <w:rPr>
          <w:rFonts w:ascii="Adobe Caslon Pro" w:hAnsi="Adobe Caslon Pro" w:cs="Arial"/>
        </w:rPr>
        <w:t xml:space="preserve"> (Verduzco </w:t>
      </w:r>
      <w:r w:rsidR="009C0D72" w:rsidRPr="009C0D72">
        <w:rPr>
          <w:rFonts w:ascii="Adobe Caslon Pro" w:hAnsi="Adobe Caslon Pro" w:cs="Arial"/>
          <w:i/>
        </w:rPr>
        <w:t>et al</w:t>
      </w:r>
      <w:r w:rsidR="009C0D72">
        <w:rPr>
          <w:rFonts w:ascii="Adobe Caslon Pro" w:hAnsi="Adobe Caslon Pro" w:cs="Arial"/>
        </w:rPr>
        <w:t>, 2009)</w:t>
      </w:r>
      <w:r w:rsidR="00110650" w:rsidRPr="000907D3">
        <w:rPr>
          <w:rFonts w:ascii="Adobe Caslon Pro" w:hAnsi="Adobe Caslon Pro" w:cs="Arial"/>
        </w:rPr>
        <w:t>:</w:t>
      </w:r>
    </w:p>
    <w:p w:rsidR="00110650" w:rsidRPr="000907D3" w:rsidRDefault="00110650" w:rsidP="00304961">
      <w:pPr>
        <w:pStyle w:val="Prrafodelista"/>
        <w:numPr>
          <w:ilvl w:val="0"/>
          <w:numId w:val="3"/>
        </w:numPr>
        <w:spacing w:after="0" w:line="240" w:lineRule="auto"/>
        <w:ind w:left="426" w:hanging="284"/>
        <w:contextualSpacing w:val="0"/>
        <w:jc w:val="both"/>
        <w:rPr>
          <w:rFonts w:ascii="Adobe Caslon Pro" w:hAnsi="Adobe Caslon Pro" w:cs="Arial"/>
        </w:rPr>
      </w:pPr>
      <w:r w:rsidRPr="000907D3">
        <w:rPr>
          <w:rFonts w:ascii="Adobe Caslon Pro" w:hAnsi="Adobe Caslon Pro" w:cs="Arial"/>
        </w:rPr>
        <w:t>El fomento a la transparencia y rendición de cuentas.</w:t>
      </w:r>
    </w:p>
    <w:p w:rsidR="00110650" w:rsidRPr="000907D3" w:rsidRDefault="00110650" w:rsidP="00304961">
      <w:pPr>
        <w:pStyle w:val="Prrafodelista"/>
        <w:numPr>
          <w:ilvl w:val="0"/>
          <w:numId w:val="3"/>
        </w:numPr>
        <w:spacing w:after="0" w:line="240" w:lineRule="auto"/>
        <w:ind w:left="426" w:hanging="284"/>
        <w:contextualSpacing w:val="0"/>
        <w:jc w:val="both"/>
        <w:rPr>
          <w:rFonts w:ascii="Adobe Caslon Pro" w:hAnsi="Adobe Caslon Pro" w:cs="Arial"/>
        </w:rPr>
      </w:pPr>
      <w:r w:rsidRPr="000907D3">
        <w:rPr>
          <w:rFonts w:ascii="Adobe Caslon Pro" w:hAnsi="Adobe Caslon Pro" w:cs="Arial"/>
        </w:rPr>
        <w:t>La promoción y defensa de los derechos humanos y el estado de derecho.</w:t>
      </w:r>
    </w:p>
    <w:p w:rsidR="00110650" w:rsidRPr="000907D3" w:rsidRDefault="00110650" w:rsidP="00304961">
      <w:pPr>
        <w:pStyle w:val="Prrafodelista"/>
        <w:numPr>
          <w:ilvl w:val="0"/>
          <w:numId w:val="3"/>
        </w:numPr>
        <w:spacing w:after="0" w:line="240" w:lineRule="auto"/>
        <w:ind w:left="426" w:hanging="284"/>
        <w:contextualSpacing w:val="0"/>
        <w:jc w:val="both"/>
        <w:rPr>
          <w:rFonts w:ascii="Adobe Caslon Pro" w:hAnsi="Adobe Caslon Pro" w:cs="Arial"/>
        </w:rPr>
      </w:pPr>
      <w:r w:rsidRPr="000907D3">
        <w:rPr>
          <w:rFonts w:ascii="Adobe Caslon Pro" w:hAnsi="Adobe Caslon Pro" w:cs="Arial"/>
        </w:rPr>
        <w:t>La contribución a la formulación, al financiamiento y a la prestación de servicios públicos.</w:t>
      </w:r>
    </w:p>
    <w:p w:rsidR="00110650" w:rsidRPr="000907D3" w:rsidRDefault="00110650" w:rsidP="00304961">
      <w:pPr>
        <w:pStyle w:val="Prrafodelista"/>
        <w:numPr>
          <w:ilvl w:val="0"/>
          <w:numId w:val="3"/>
        </w:numPr>
        <w:spacing w:after="0" w:line="240" w:lineRule="auto"/>
        <w:ind w:left="426" w:hanging="284"/>
        <w:contextualSpacing w:val="0"/>
        <w:jc w:val="both"/>
        <w:rPr>
          <w:rFonts w:ascii="Adobe Caslon Pro" w:hAnsi="Adobe Caslon Pro" w:cs="Arial"/>
        </w:rPr>
      </w:pPr>
      <w:r w:rsidRPr="000907D3">
        <w:rPr>
          <w:rFonts w:ascii="Adobe Caslon Pro" w:hAnsi="Adobe Caslon Pro" w:cs="Arial"/>
        </w:rPr>
        <w:t>La promoción de la participación de los sectores más pobres en las políticas públicas y la toma de decisiones.</w:t>
      </w:r>
    </w:p>
    <w:p w:rsidR="00110650" w:rsidRPr="000907D3" w:rsidRDefault="00110650" w:rsidP="00304961">
      <w:pPr>
        <w:pStyle w:val="Prrafodelista"/>
        <w:numPr>
          <w:ilvl w:val="0"/>
          <w:numId w:val="3"/>
        </w:numPr>
        <w:spacing w:after="0" w:line="240" w:lineRule="auto"/>
        <w:ind w:left="426" w:hanging="284"/>
        <w:contextualSpacing w:val="0"/>
        <w:jc w:val="both"/>
        <w:rPr>
          <w:rFonts w:ascii="Adobe Caslon Pro" w:hAnsi="Adobe Caslon Pro" w:cs="Arial"/>
        </w:rPr>
      </w:pPr>
      <w:r w:rsidRPr="000907D3">
        <w:rPr>
          <w:rFonts w:ascii="Adobe Caslon Pro" w:hAnsi="Adobe Caslon Pro" w:cs="Arial"/>
        </w:rPr>
        <w:t>La incorporación de más actores sociales a la esfera pública.</w:t>
      </w:r>
    </w:p>
    <w:p w:rsidR="00110650" w:rsidRPr="000907D3" w:rsidRDefault="00110650" w:rsidP="0043286B">
      <w:pPr>
        <w:spacing w:after="120" w:line="240" w:lineRule="auto"/>
        <w:ind w:left="142"/>
        <w:jc w:val="both"/>
        <w:rPr>
          <w:rFonts w:ascii="Adobe Caslon Pro" w:hAnsi="Adobe Caslon Pro" w:cs="Arial"/>
        </w:rPr>
      </w:pPr>
    </w:p>
    <w:p w:rsidR="00110650" w:rsidRDefault="00E324FA" w:rsidP="00EF4238">
      <w:pPr>
        <w:spacing w:after="120" w:line="240" w:lineRule="auto"/>
        <w:jc w:val="both"/>
        <w:rPr>
          <w:rFonts w:ascii="Adobe Caslon Pro" w:hAnsi="Adobe Caslon Pro" w:cs="Arial"/>
        </w:rPr>
      </w:pPr>
      <w:r w:rsidRPr="000907D3">
        <w:rPr>
          <w:rFonts w:ascii="Adobe Caslon Pro" w:hAnsi="Adobe Caslon Pro" w:cs="Arial"/>
        </w:rPr>
        <w:lastRenderedPageBreak/>
        <w:t>Por otro lado, s</w:t>
      </w:r>
      <w:r w:rsidR="00110650" w:rsidRPr="000907D3">
        <w:rPr>
          <w:rFonts w:ascii="Adobe Caslon Pro" w:hAnsi="Adobe Caslon Pro" w:cs="Arial"/>
        </w:rPr>
        <w:t>i bien se reconoce que la intervención gubernamental es efectiva en la atención de estrategias generales y enfocadas a ocuparse de sectores amplios de la población, las características de las OSC</w:t>
      </w:r>
      <w:r w:rsidR="00982976">
        <w:rPr>
          <w:rFonts w:ascii="Adobe Caslon Pro" w:hAnsi="Adobe Caslon Pro" w:cs="Arial"/>
        </w:rPr>
        <w:t xml:space="preserve"> </w:t>
      </w:r>
      <w:r w:rsidR="00110650" w:rsidRPr="000907D3">
        <w:rPr>
          <w:rFonts w:ascii="Adobe Caslon Pro" w:hAnsi="Adobe Caslon Pro" w:cs="Arial"/>
        </w:rPr>
        <w:t>(su tamaño, flexibilidad y cercanía con la población) les permiten atender condiciones parciales y puntuales de los problemas de desarrollo social focalizados en grupos de menor dimensión de manera más expedita.</w:t>
      </w:r>
      <w:r w:rsidR="00DC6D24">
        <w:rPr>
          <w:rFonts w:ascii="Adobe Caslon Pro" w:hAnsi="Adobe Caslon Pro" w:cs="Arial"/>
        </w:rPr>
        <w:t xml:space="preserve"> </w:t>
      </w:r>
      <w:r w:rsidR="00EF4238">
        <w:rPr>
          <w:rFonts w:ascii="Adobe Caslon Pro" w:hAnsi="Adobe Caslon Pro" w:cs="Arial"/>
        </w:rPr>
        <w:t>De hecho</w:t>
      </w:r>
      <w:r w:rsidR="00DC6D24">
        <w:rPr>
          <w:rFonts w:ascii="Adobe Caslon Pro" w:hAnsi="Adobe Caslon Pro" w:cs="Arial"/>
        </w:rPr>
        <w:t xml:space="preserve">, </w:t>
      </w:r>
      <w:r w:rsidR="00110650" w:rsidRPr="000907D3">
        <w:rPr>
          <w:rFonts w:ascii="Adobe Caslon Pro" w:hAnsi="Adobe Caslon Pro" w:cs="Arial"/>
        </w:rPr>
        <w:t>la intervención de la sociedad civil organizada es más eficaz, siempre y cuando cuente con las condiciones operativas y recursos suficientes para realizar su objetivo</w:t>
      </w:r>
      <w:r w:rsidR="00DC6D24">
        <w:rPr>
          <w:rFonts w:ascii="Adobe Caslon Pro" w:hAnsi="Adobe Caslon Pro" w:cs="Arial"/>
        </w:rPr>
        <w:t xml:space="preserve"> (</w:t>
      </w:r>
      <w:r w:rsidR="00DC6D24" w:rsidRPr="000907D3">
        <w:rPr>
          <w:rFonts w:ascii="Adobe Caslon Pro" w:hAnsi="Adobe Caslon Pro" w:cs="Arial"/>
        </w:rPr>
        <w:t xml:space="preserve">Verduzco </w:t>
      </w:r>
      <w:r w:rsidR="00DC6D24" w:rsidRPr="000907D3">
        <w:rPr>
          <w:rFonts w:ascii="Adobe Caslon Pro" w:hAnsi="Adobe Caslon Pro" w:cs="Arial"/>
          <w:i/>
        </w:rPr>
        <w:t>et al</w:t>
      </w:r>
      <w:r w:rsidR="00DC6D24">
        <w:rPr>
          <w:rFonts w:ascii="Adobe Caslon Pro" w:hAnsi="Adobe Caslon Pro" w:cs="Arial"/>
        </w:rPr>
        <w:t>,</w:t>
      </w:r>
      <w:r w:rsidR="00982976">
        <w:rPr>
          <w:rFonts w:ascii="Adobe Caslon Pro" w:hAnsi="Adobe Caslon Pro" w:cs="Arial"/>
        </w:rPr>
        <w:t xml:space="preserve"> </w:t>
      </w:r>
      <w:r w:rsidR="00DC6D24" w:rsidRPr="000907D3">
        <w:rPr>
          <w:rFonts w:ascii="Adobe Caslon Pro" w:hAnsi="Adobe Caslon Pro" w:cs="Arial"/>
        </w:rPr>
        <w:t>2009)</w:t>
      </w:r>
      <w:r w:rsidR="00110650" w:rsidRPr="000907D3">
        <w:rPr>
          <w:rFonts w:ascii="Adobe Caslon Pro" w:hAnsi="Adobe Caslon Pro" w:cs="Arial"/>
        </w:rPr>
        <w:t>. De ahí la importancia de profundizar el estudio de</w:t>
      </w:r>
      <w:r w:rsidR="00EF4238">
        <w:rPr>
          <w:rFonts w:ascii="Adobe Caslon Pro" w:hAnsi="Adobe Caslon Pro" w:cs="Arial"/>
        </w:rPr>
        <w:t xml:space="preserve"> los obstáculos que enfrentan las OSC, con la finalidad de aportar elementos </w:t>
      </w:r>
      <w:r w:rsidR="00110650" w:rsidRPr="000907D3">
        <w:rPr>
          <w:rFonts w:ascii="Adobe Caslon Pro" w:hAnsi="Adobe Caslon Pro" w:cs="Arial"/>
        </w:rPr>
        <w:t>para el diseño de estrategias públicas de fomento adecuadas.</w:t>
      </w:r>
    </w:p>
    <w:p w:rsidR="00110650" w:rsidRDefault="00EF4238" w:rsidP="0043286B">
      <w:pPr>
        <w:spacing w:after="120" w:line="240" w:lineRule="auto"/>
        <w:jc w:val="both"/>
        <w:rPr>
          <w:rFonts w:ascii="Adobe Caslon Pro" w:hAnsi="Adobe Caslon Pro" w:cs="Arial"/>
        </w:rPr>
      </w:pPr>
      <w:r>
        <w:rPr>
          <w:rFonts w:ascii="Adobe Caslon Pro" w:hAnsi="Adobe Caslon Pro" w:cs="Arial"/>
        </w:rPr>
        <w:t>Hoy en día,</w:t>
      </w:r>
      <w:r w:rsidR="00FD2C3A" w:rsidRPr="000907D3">
        <w:rPr>
          <w:rFonts w:ascii="Adobe Caslon Pro" w:hAnsi="Adobe Caslon Pro" w:cs="Arial"/>
        </w:rPr>
        <w:t xml:space="preserve"> </w:t>
      </w:r>
      <w:r w:rsidR="00110650" w:rsidRPr="000907D3">
        <w:rPr>
          <w:rFonts w:ascii="Adobe Caslon Pro" w:hAnsi="Adobe Caslon Pro" w:cs="Arial"/>
        </w:rPr>
        <w:t>los actores sociales en México</w:t>
      </w:r>
      <w:r>
        <w:rPr>
          <w:rFonts w:ascii="Adobe Caslon Pro" w:hAnsi="Adobe Caslon Pro" w:cs="Arial"/>
        </w:rPr>
        <w:t xml:space="preserve"> constituyen</w:t>
      </w:r>
      <w:r w:rsidR="00110650" w:rsidRPr="000907D3">
        <w:rPr>
          <w:rFonts w:ascii="Adobe Caslon Pro" w:hAnsi="Adobe Caslon Pro" w:cs="Arial"/>
        </w:rPr>
        <w:t xml:space="preserve"> un sector</w:t>
      </w:r>
      <w:r>
        <w:rPr>
          <w:rFonts w:ascii="Adobe Caslon Pro" w:hAnsi="Adobe Caslon Pro" w:cs="Arial"/>
        </w:rPr>
        <w:t xml:space="preserve"> aún</w:t>
      </w:r>
      <w:r w:rsidR="00110650" w:rsidRPr="000907D3">
        <w:rPr>
          <w:rFonts w:ascii="Adobe Caslon Pro" w:hAnsi="Adobe Caslon Pro" w:cs="Arial"/>
        </w:rPr>
        <w:t xml:space="preserve"> incipiente y poco reconocido tanto por la sociedad como por el Estado. Es de reconocerse que en la última década se ha avanzado en la creación de mecanismos orientados a fortalecer a los </w:t>
      </w:r>
      <w:r w:rsidR="00FD2C3A" w:rsidRPr="000907D3">
        <w:rPr>
          <w:rFonts w:ascii="Adobe Caslon Pro" w:hAnsi="Adobe Caslon Pro" w:cs="Arial"/>
        </w:rPr>
        <w:t xml:space="preserve">actores sociales, entre ellos destaca </w:t>
      </w:r>
      <w:r w:rsidR="00110650" w:rsidRPr="000907D3">
        <w:rPr>
          <w:rFonts w:ascii="Adobe Caslon Pro" w:hAnsi="Adobe Caslon Pro" w:cs="Arial"/>
        </w:rPr>
        <w:t>la p</w:t>
      </w:r>
      <w:r>
        <w:rPr>
          <w:rFonts w:ascii="Adobe Caslon Pro" w:hAnsi="Adobe Caslon Pro" w:cs="Arial"/>
        </w:rPr>
        <w:t xml:space="preserve">romulgación en 2004 </w:t>
      </w:r>
      <w:r w:rsidR="00110650" w:rsidRPr="000907D3">
        <w:rPr>
          <w:rFonts w:ascii="Adobe Caslon Pro" w:hAnsi="Adobe Caslon Pro" w:cs="Arial"/>
        </w:rPr>
        <w:t xml:space="preserve">de la Ley </w:t>
      </w:r>
      <w:r w:rsidR="00DC6D24">
        <w:rPr>
          <w:rFonts w:ascii="Adobe Caslon Pro" w:hAnsi="Adobe Caslon Pro" w:cs="Arial"/>
        </w:rPr>
        <w:t xml:space="preserve">General </w:t>
      </w:r>
      <w:r w:rsidR="00110650" w:rsidRPr="000907D3">
        <w:rPr>
          <w:rFonts w:ascii="Adobe Caslon Pro" w:hAnsi="Adobe Caslon Pro" w:cs="Arial"/>
        </w:rPr>
        <w:t>de Desarrollo Social</w:t>
      </w:r>
      <w:r w:rsidR="00304961">
        <w:rPr>
          <w:rFonts w:ascii="Adobe Caslon Pro" w:hAnsi="Adobe Caslon Pro" w:cs="Arial"/>
        </w:rPr>
        <w:t xml:space="preserve"> (LGDS)</w:t>
      </w:r>
      <w:r w:rsidR="00110650" w:rsidRPr="000907D3">
        <w:rPr>
          <w:rFonts w:ascii="Adobe Caslon Pro" w:hAnsi="Adobe Caslon Pro" w:cs="Arial"/>
        </w:rPr>
        <w:t xml:space="preserve"> y la Ley Federal de Fomento a las Acciones de Organizaciones de la Sociedad Civil (LFFAROSC), que reconoce a las OSC como instancias de interés público y sienta las bases para crear una política pública orientada a fomentar las acciones de la sociedad civil organizada; </w:t>
      </w:r>
      <w:r w:rsidR="00FD2C3A" w:rsidRPr="000907D3">
        <w:rPr>
          <w:rFonts w:ascii="Adobe Caslon Pro" w:hAnsi="Adobe Caslon Pro" w:cs="Arial"/>
        </w:rPr>
        <w:t>así como el establecimiento d</w:t>
      </w:r>
      <w:r w:rsidR="00110650" w:rsidRPr="000907D3">
        <w:rPr>
          <w:rFonts w:ascii="Adobe Caslon Pro" w:hAnsi="Adobe Caslon Pro" w:cs="Arial"/>
        </w:rPr>
        <w:t xml:space="preserve">el Registro Federal de Organizaciones de la Sociedad Civil </w:t>
      </w:r>
      <w:r w:rsidR="00304961">
        <w:rPr>
          <w:rFonts w:ascii="Adobe Caslon Pro" w:hAnsi="Adobe Caslon Pro" w:cs="Arial"/>
        </w:rPr>
        <w:t xml:space="preserve">(RFOSC) </w:t>
      </w:r>
      <w:r w:rsidR="00110650" w:rsidRPr="000907D3">
        <w:rPr>
          <w:rFonts w:ascii="Adobe Caslon Pro" w:hAnsi="Adobe Caslon Pro" w:cs="Arial"/>
        </w:rPr>
        <w:t>y la Comisión de Fomento a las OSC.</w:t>
      </w:r>
    </w:p>
    <w:p w:rsidR="00110650" w:rsidRDefault="00EF4238" w:rsidP="0043286B">
      <w:pPr>
        <w:spacing w:after="120" w:line="240" w:lineRule="auto"/>
        <w:jc w:val="both"/>
        <w:rPr>
          <w:rFonts w:ascii="Adobe Caslon Pro" w:hAnsi="Adobe Caslon Pro" w:cs="Arial"/>
        </w:rPr>
      </w:pPr>
      <w:r>
        <w:rPr>
          <w:rFonts w:ascii="Adobe Caslon Pro" w:hAnsi="Adobe Caslon Pro" w:cs="Arial"/>
        </w:rPr>
        <w:t>En este contexto,</w:t>
      </w:r>
      <w:r w:rsidR="00110650" w:rsidRPr="000907D3">
        <w:rPr>
          <w:rFonts w:ascii="Adobe Caslon Pro" w:hAnsi="Adobe Caslon Pro" w:cs="Arial"/>
        </w:rPr>
        <w:t xml:space="preserve"> se plantea como eje central del presente análisis que los actores sociales</w:t>
      </w:r>
      <w:r>
        <w:rPr>
          <w:rFonts w:ascii="Adobe Caslon Pro" w:hAnsi="Adobe Caslon Pro" w:cs="Arial"/>
        </w:rPr>
        <w:t xml:space="preserve"> en México</w:t>
      </w:r>
      <w:r w:rsidR="00110650" w:rsidRPr="000907D3">
        <w:rPr>
          <w:rFonts w:ascii="Adobe Caslon Pro" w:hAnsi="Adobe Caslon Pro" w:cs="Arial"/>
        </w:rPr>
        <w:t xml:space="preserve"> no están desarrollando su potencial de fomento a la cohesión y el capital social de grupos vulnerables por varias limitaciones que persisten</w:t>
      </w:r>
      <w:r w:rsidR="00FD2C3A" w:rsidRPr="000907D3">
        <w:rPr>
          <w:rFonts w:ascii="Adobe Caslon Pro" w:hAnsi="Adobe Caslon Pro" w:cs="Arial"/>
        </w:rPr>
        <w:t xml:space="preserve"> en el panorama actual</w:t>
      </w:r>
      <w:r w:rsidR="00110650" w:rsidRPr="000907D3">
        <w:rPr>
          <w:rFonts w:ascii="Adobe Caslon Pro" w:hAnsi="Adobe Caslon Pro" w:cs="Arial"/>
        </w:rPr>
        <w:t>.</w:t>
      </w:r>
      <w:r w:rsidR="00AE2520">
        <w:rPr>
          <w:rFonts w:ascii="Adobe Caslon Pro" w:hAnsi="Adobe Caslon Pro" w:cs="Arial"/>
        </w:rPr>
        <w:t xml:space="preserve"> </w:t>
      </w:r>
      <w:r w:rsidR="00FD2C3A" w:rsidRPr="000907D3">
        <w:rPr>
          <w:rFonts w:ascii="Adobe Caslon Pro" w:hAnsi="Adobe Caslon Pro" w:cs="Arial"/>
        </w:rPr>
        <w:t>De hecho, l</w:t>
      </w:r>
      <w:r w:rsidR="00110650" w:rsidRPr="000907D3">
        <w:rPr>
          <w:rFonts w:ascii="Adobe Caslon Pro" w:hAnsi="Adobe Caslon Pro" w:cs="Arial"/>
        </w:rPr>
        <w:t xml:space="preserve">a situación actual de los actores sociales en México se explica </w:t>
      </w:r>
      <w:r>
        <w:rPr>
          <w:rFonts w:ascii="Adobe Caslon Pro" w:hAnsi="Adobe Caslon Pro" w:cs="Arial"/>
        </w:rPr>
        <w:t xml:space="preserve">en gran medida por las características de un entorno </w:t>
      </w:r>
      <w:r w:rsidR="00110650" w:rsidRPr="000907D3">
        <w:rPr>
          <w:rFonts w:ascii="Adobe Caslon Pro" w:hAnsi="Adobe Caslon Pro" w:cs="Arial"/>
        </w:rPr>
        <w:t xml:space="preserve">en el que existen limitados mecanismos para su articulación con los entes gubernamentales, escasos recursos públicos, incipiente desarrollo institucional, insuficiente información sobre el quehacer de la sociedad civil organizada, así como escasa o nula sinergia con otros actores sociales. </w:t>
      </w:r>
      <w:r>
        <w:rPr>
          <w:rFonts w:ascii="Adobe Caslon Pro" w:hAnsi="Adobe Caslon Pro" w:cs="Arial"/>
        </w:rPr>
        <w:t xml:space="preserve">De tal manera que entre las limitaciones que </w:t>
      </w:r>
      <w:r w:rsidR="00110650" w:rsidRPr="000907D3">
        <w:rPr>
          <w:rFonts w:ascii="Adobe Caslon Pro" w:hAnsi="Adobe Caslon Pro" w:cs="Arial"/>
        </w:rPr>
        <w:t xml:space="preserve">debilitan a los actores sociales </w:t>
      </w:r>
      <w:r w:rsidR="00FD2C3A" w:rsidRPr="000907D3">
        <w:rPr>
          <w:rFonts w:ascii="Adobe Caslon Pro" w:hAnsi="Adobe Caslon Pro" w:cs="Arial"/>
        </w:rPr>
        <w:t>destacan</w:t>
      </w:r>
      <w:r w:rsidR="00110650" w:rsidRPr="000907D3">
        <w:rPr>
          <w:rFonts w:ascii="Adobe Caslon Pro" w:hAnsi="Adobe Caslon Pro" w:cs="Arial"/>
        </w:rPr>
        <w:t>:</w:t>
      </w:r>
    </w:p>
    <w:p w:rsidR="00110650" w:rsidRPr="000907D3" w:rsidRDefault="00110650" w:rsidP="0043286B">
      <w:pPr>
        <w:pStyle w:val="Prrafodelista"/>
        <w:numPr>
          <w:ilvl w:val="0"/>
          <w:numId w:val="12"/>
        </w:numPr>
        <w:spacing w:after="120" w:line="240" w:lineRule="auto"/>
        <w:jc w:val="both"/>
        <w:rPr>
          <w:rFonts w:ascii="Adobe Caslon Pro" w:hAnsi="Adobe Caslon Pro" w:cs="Arial"/>
        </w:rPr>
      </w:pPr>
      <w:r w:rsidRPr="000907D3">
        <w:rPr>
          <w:rFonts w:ascii="Adobe Caslon Pro" w:hAnsi="Adobe Caslon Pro" w:cs="Arial"/>
        </w:rPr>
        <w:t>Limitada articulación entre los actores sociales y el gobierno.</w:t>
      </w:r>
    </w:p>
    <w:p w:rsidR="00110650" w:rsidRPr="000907D3" w:rsidRDefault="00EF4238" w:rsidP="0043286B">
      <w:pPr>
        <w:pStyle w:val="Prrafodelista"/>
        <w:numPr>
          <w:ilvl w:val="0"/>
          <w:numId w:val="12"/>
        </w:numPr>
        <w:spacing w:after="120" w:line="240" w:lineRule="auto"/>
        <w:jc w:val="both"/>
        <w:rPr>
          <w:rFonts w:ascii="Adobe Caslon Pro" w:hAnsi="Adobe Caslon Pro" w:cs="Arial"/>
        </w:rPr>
      </w:pPr>
      <w:r>
        <w:rPr>
          <w:rFonts w:ascii="Adobe Caslon Pro" w:hAnsi="Adobe Caslon Pro" w:cs="Arial"/>
        </w:rPr>
        <w:t xml:space="preserve">Limitaciones financieras. Esto es el </w:t>
      </w:r>
      <w:r w:rsidR="00110650" w:rsidRPr="000907D3">
        <w:rPr>
          <w:rFonts w:ascii="Adobe Caslon Pro" w:hAnsi="Adobe Caslon Pro" w:cs="Arial"/>
        </w:rPr>
        <w:t xml:space="preserve">bajo nivel de recursos propios, </w:t>
      </w:r>
      <w:r>
        <w:rPr>
          <w:rFonts w:ascii="Adobe Caslon Pro" w:hAnsi="Adobe Caslon Pro" w:cs="Arial"/>
        </w:rPr>
        <w:t xml:space="preserve">así como insuficiente </w:t>
      </w:r>
      <w:r w:rsidR="00110650" w:rsidRPr="000907D3">
        <w:rPr>
          <w:rFonts w:ascii="Adobe Caslon Pro" w:hAnsi="Adobe Caslon Pro" w:cs="Arial"/>
        </w:rPr>
        <w:t>financiamiento público y privado.</w:t>
      </w:r>
    </w:p>
    <w:p w:rsidR="00110650" w:rsidRPr="000907D3" w:rsidRDefault="00110650" w:rsidP="0043286B">
      <w:pPr>
        <w:pStyle w:val="Prrafodelista"/>
        <w:numPr>
          <w:ilvl w:val="0"/>
          <w:numId w:val="12"/>
        </w:numPr>
        <w:spacing w:after="120" w:line="240" w:lineRule="auto"/>
        <w:jc w:val="both"/>
        <w:rPr>
          <w:rFonts w:ascii="Adobe Caslon Pro" w:hAnsi="Adobe Caslon Pro" w:cs="Arial"/>
        </w:rPr>
      </w:pPr>
      <w:r w:rsidRPr="000907D3">
        <w:rPr>
          <w:rFonts w:ascii="Adobe Caslon Pro" w:hAnsi="Adobe Caslon Pro" w:cs="Arial"/>
        </w:rPr>
        <w:t>Limitadas capacidades de gestión</w:t>
      </w:r>
      <w:r w:rsidR="00EF4238">
        <w:rPr>
          <w:rFonts w:ascii="Adobe Caslon Pro" w:hAnsi="Adobe Caslon Pro" w:cs="Arial"/>
        </w:rPr>
        <w:t>. Ello es consecuencia de</w:t>
      </w:r>
      <w:r w:rsidRPr="000907D3">
        <w:rPr>
          <w:rFonts w:ascii="Adobe Caslon Pro" w:hAnsi="Adobe Caslon Pro" w:cs="Arial"/>
        </w:rPr>
        <w:t xml:space="preserve"> bajos niveles de capacitación y de profesionalización</w:t>
      </w:r>
      <w:r w:rsidR="00A25B33">
        <w:rPr>
          <w:rFonts w:ascii="Adobe Caslon Pro" w:hAnsi="Adobe Caslon Pro" w:cs="Arial"/>
        </w:rPr>
        <w:t xml:space="preserve"> (aspectos administrativos y fiscales)</w:t>
      </w:r>
      <w:r w:rsidRPr="000907D3">
        <w:rPr>
          <w:rFonts w:ascii="Adobe Caslon Pro" w:hAnsi="Adobe Caslon Pro" w:cs="Arial"/>
        </w:rPr>
        <w:t xml:space="preserve">, </w:t>
      </w:r>
      <w:r w:rsidR="00A25B33">
        <w:rPr>
          <w:rFonts w:ascii="Adobe Caslon Pro" w:hAnsi="Adobe Caslon Pro" w:cs="Arial"/>
        </w:rPr>
        <w:t xml:space="preserve">así como </w:t>
      </w:r>
      <w:r w:rsidRPr="000907D3">
        <w:rPr>
          <w:rFonts w:ascii="Adobe Caslon Pro" w:hAnsi="Adobe Caslon Pro" w:cs="Arial"/>
        </w:rPr>
        <w:t xml:space="preserve">alta rotación de personal. </w:t>
      </w:r>
    </w:p>
    <w:p w:rsidR="00110650" w:rsidRPr="000907D3" w:rsidRDefault="00110650" w:rsidP="0043286B">
      <w:pPr>
        <w:pStyle w:val="Prrafodelista"/>
        <w:numPr>
          <w:ilvl w:val="0"/>
          <w:numId w:val="12"/>
        </w:numPr>
        <w:spacing w:after="120" w:line="240" w:lineRule="auto"/>
        <w:jc w:val="both"/>
        <w:rPr>
          <w:rFonts w:ascii="Adobe Caslon Pro" w:hAnsi="Adobe Caslon Pro" w:cs="Arial"/>
        </w:rPr>
      </w:pPr>
      <w:r w:rsidRPr="000907D3">
        <w:rPr>
          <w:rFonts w:ascii="Adobe Caslon Pro" w:hAnsi="Adobe Caslon Pro" w:cs="Arial"/>
        </w:rPr>
        <w:t>Limitaciones de tipo legal y administrativo.</w:t>
      </w:r>
    </w:p>
    <w:p w:rsidR="00D25F5B" w:rsidRPr="000907D3" w:rsidRDefault="009A7A25" w:rsidP="0043286B">
      <w:pPr>
        <w:pStyle w:val="Ttulo3"/>
        <w:spacing w:before="0" w:after="120" w:line="240" w:lineRule="auto"/>
      </w:pPr>
      <w:bookmarkStart w:id="38" w:name="_Toc376184693"/>
      <w:bookmarkStart w:id="39" w:name="_Toc380497357"/>
      <w:bookmarkStart w:id="40" w:name="_Toc263896833"/>
      <w:bookmarkStart w:id="41" w:name="_Toc391925218"/>
      <w:r>
        <w:lastRenderedPageBreak/>
        <w:t xml:space="preserve">2.2.2 </w:t>
      </w:r>
      <w:r w:rsidR="00D25F5B" w:rsidRPr="000907D3">
        <w:t>Árbol de</w:t>
      </w:r>
      <w:r w:rsidR="0085419D" w:rsidRPr="000907D3">
        <w:t>l</w:t>
      </w:r>
      <w:r w:rsidR="00D25F5B" w:rsidRPr="000907D3">
        <w:t xml:space="preserve"> Problema</w:t>
      </w:r>
      <w:bookmarkEnd w:id="38"/>
      <w:bookmarkEnd w:id="39"/>
      <w:bookmarkEnd w:id="40"/>
      <w:bookmarkEnd w:id="41"/>
    </w:p>
    <w:p w:rsidR="00D25F5B" w:rsidRDefault="003F1EB3" w:rsidP="0043286B">
      <w:pPr>
        <w:pStyle w:val="Default"/>
        <w:spacing w:before="240" w:after="120"/>
        <w:jc w:val="both"/>
        <w:rPr>
          <w:rFonts w:ascii="Adobe Caslon Pro" w:hAnsi="Adobe Caslon Pro" w:cs="Arial"/>
          <w:sz w:val="22"/>
          <w:szCs w:val="22"/>
        </w:rPr>
      </w:pPr>
      <w:r w:rsidRPr="000907D3">
        <w:rPr>
          <w:rFonts w:ascii="Adobe Caslon Pro" w:hAnsi="Adobe Caslon Pro" w:cs="Arial"/>
          <w:sz w:val="22"/>
          <w:szCs w:val="22"/>
        </w:rPr>
        <w:t>Considerando el contexto descrito en el apartado anterior, en</w:t>
      </w:r>
      <w:r w:rsidR="00D25F5B" w:rsidRPr="000907D3">
        <w:rPr>
          <w:rFonts w:ascii="Adobe Caslon Pro" w:hAnsi="Adobe Caslon Pro" w:cs="Arial"/>
          <w:sz w:val="22"/>
          <w:szCs w:val="22"/>
        </w:rPr>
        <w:t xml:space="preserve"> el marco de </w:t>
      </w:r>
      <w:r w:rsidRPr="000907D3">
        <w:rPr>
          <w:rFonts w:ascii="Adobe Caslon Pro" w:hAnsi="Adobe Caslon Pro" w:cs="Arial"/>
          <w:sz w:val="22"/>
          <w:szCs w:val="22"/>
        </w:rPr>
        <w:t xml:space="preserve">la elaboración del presente diagnóstico </w:t>
      </w:r>
      <w:r w:rsidR="00D25F5B" w:rsidRPr="000907D3">
        <w:rPr>
          <w:rFonts w:ascii="Adobe Caslon Pro" w:hAnsi="Adobe Caslon Pro" w:cs="Arial"/>
          <w:sz w:val="22"/>
          <w:szCs w:val="22"/>
        </w:rPr>
        <w:t xml:space="preserve">se </w:t>
      </w:r>
      <w:r w:rsidRPr="000907D3">
        <w:rPr>
          <w:rFonts w:ascii="Adobe Caslon Pro" w:hAnsi="Adobe Caslon Pro" w:cs="Arial"/>
          <w:sz w:val="22"/>
          <w:szCs w:val="22"/>
        </w:rPr>
        <w:t>llevó a cabo</w:t>
      </w:r>
      <w:r w:rsidR="00D25F5B" w:rsidRPr="000907D3">
        <w:rPr>
          <w:rFonts w:ascii="Adobe Caslon Pro" w:hAnsi="Adobe Caslon Pro" w:cs="Arial"/>
          <w:sz w:val="22"/>
          <w:szCs w:val="22"/>
        </w:rPr>
        <w:t xml:space="preserve"> un análisis de gabinete para establecer el problema central, causas y efectos del mismo, que fundamenta el diseño del</w:t>
      </w:r>
      <w:r w:rsidR="00F24615">
        <w:rPr>
          <w:rFonts w:ascii="Adobe Caslon Pro" w:hAnsi="Adobe Caslon Pro" w:cs="Arial"/>
          <w:sz w:val="22"/>
          <w:szCs w:val="22"/>
        </w:rPr>
        <w:t xml:space="preserve"> PCS</w:t>
      </w:r>
      <w:r w:rsidR="00D25F5B" w:rsidRPr="000907D3">
        <w:rPr>
          <w:rFonts w:ascii="Adobe Caslon Pro" w:hAnsi="Adobe Caslon Pro" w:cs="Arial"/>
          <w:sz w:val="22"/>
          <w:szCs w:val="22"/>
        </w:rPr>
        <w:t xml:space="preserve">, a fin de detectar áreas de oportunidad y proponer modificaciones a su diseño. Adicionalmente, se llevaron a cabo reuniones de trabajo con personal del propio programa y diversas instancias de la </w:t>
      </w:r>
      <w:r w:rsidR="002F714E">
        <w:rPr>
          <w:rFonts w:ascii="Adobe Caslon Pro" w:hAnsi="Adobe Caslon Pro" w:cs="Arial"/>
          <w:sz w:val="22"/>
          <w:szCs w:val="22"/>
        </w:rPr>
        <w:t>SEDESOL</w:t>
      </w:r>
      <w:r w:rsidR="00D25F5B" w:rsidRPr="000907D3">
        <w:rPr>
          <w:rFonts w:ascii="Adobe Caslon Pro" w:hAnsi="Adobe Caslon Pro" w:cs="Arial"/>
          <w:sz w:val="22"/>
          <w:szCs w:val="22"/>
        </w:rPr>
        <w:t xml:space="preserve"> para fortalecer y focalizar el análisis. Los resultados de ese trabajo se resumen a continuación y </w:t>
      </w:r>
      <w:r w:rsidR="00DC6D24">
        <w:rPr>
          <w:rFonts w:ascii="Adobe Caslon Pro" w:hAnsi="Adobe Caslon Pro" w:cs="Arial"/>
          <w:sz w:val="22"/>
          <w:szCs w:val="22"/>
        </w:rPr>
        <w:t xml:space="preserve">se </w:t>
      </w:r>
      <w:r w:rsidR="00D25F5B" w:rsidRPr="000907D3">
        <w:rPr>
          <w:rFonts w:ascii="Adobe Caslon Pro" w:hAnsi="Adobe Caslon Pro" w:cs="Arial"/>
          <w:sz w:val="22"/>
          <w:szCs w:val="22"/>
        </w:rPr>
        <w:t>presentan de manera gráfica en el árbol de</w:t>
      </w:r>
      <w:r w:rsidRPr="000907D3">
        <w:rPr>
          <w:rFonts w:ascii="Adobe Caslon Pro" w:hAnsi="Adobe Caslon Pro" w:cs="Arial"/>
          <w:sz w:val="22"/>
          <w:szCs w:val="22"/>
        </w:rPr>
        <w:t>l problema</w:t>
      </w:r>
      <w:r w:rsidR="00D25F5B" w:rsidRPr="000907D3">
        <w:rPr>
          <w:rFonts w:ascii="Adobe Caslon Pro" w:hAnsi="Adobe Caslon Pro" w:cs="Arial"/>
          <w:sz w:val="22"/>
          <w:szCs w:val="22"/>
        </w:rPr>
        <w:t xml:space="preserve"> de la Figura 1. </w:t>
      </w:r>
    </w:p>
    <w:p w:rsidR="00D25F5B" w:rsidRDefault="00D25F5B" w:rsidP="0043286B">
      <w:pPr>
        <w:spacing w:after="120" w:line="240" w:lineRule="auto"/>
        <w:jc w:val="both"/>
        <w:rPr>
          <w:rFonts w:ascii="Adobe Caslon Pro" w:hAnsi="Adobe Caslon Pro" w:cs="Arial"/>
        </w:rPr>
      </w:pPr>
      <w:r w:rsidRPr="000907D3">
        <w:rPr>
          <w:rFonts w:ascii="Adobe Caslon Pro" w:hAnsi="Adobe Caslon Pro" w:cs="Arial"/>
        </w:rPr>
        <w:t xml:space="preserve">Como puede observarse en el árbol, el </w:t>
      </w:r>
      <w:r w:rsidRPr="000907D3">
        <w:rPr>
          <w:rFonts w:ascii="Adobe Caslon Pro" w:hAnsi="Adobe Caslon Pro" w:cs="Arial"/>
          <w:b/>
        </w:rPr>
        <w:t>problema central</w:t>
      </w:r>
      <w:r w:rsidRPr="000907D3">
        <w:rPr>
          <w:rFonts w:ascii="Adobe Caslon Pro" w:hAnsi="Adobe Caslon Pro" w:cs="Arial"/>
        </w:rPr>
        <w:t xml:space="preserve"> identificado es la existencia de </w:t>
      </w:r>
      <w:r w:rsidR="0025571B">
        <w:rPr>
          <w:rFonts w:ascii="Adobe Caslon Pro" w:hAnsi="Adobe Caslon Pro" w:cs="Arial"/>
          <w:b/>
        </w:rPr>
        <w:t>actores sociales</w:t>
      </w:r>
      <w:r w:rsidRPr="000907D3">
        <w:rPr>
          <w:rFonts w:ascii="Adobe Caslon Pro" w:hAnsi="Adobe Caslon Pro" w:cs="Arial"/>
          <w:b/>
        </w:rPr>
        <w:t xml:space="preserve"> con</w:t>
      </w:r>
      <w:r w:rsidR="00123E4C" w:rsidRPr="000907D3">
        <w:rPr>
          <w:rFonts w:ascii="Adobe Caslon Pro" w:hAnsi="Adobe Caslon Pro" w:cs="Arial"/>
          <w:b/>
        </w:rPr>
        <w:t xml:space="preserve"> capacidad limitada</w:t>
      </w:r>
      <w:r w:rsidRPr="000907D3">
        <w:rPr>
          <w:rFonts w:ascii="Adobe Caslon Pro" w:hAnsi="Adobe Caslon Pro" w:cs="Arial"/>
          <w:b/>
        </w:rPr>
        <w:t xml:space="preserve"> para desarrollar acciones de fomento a la cohesión social y al capital social de grupos y regiones que viven en situación de vulnerabilidad y exclusión</w:t>
      </w:r>
      <w:r w:rsidRPr="000907D3">
        <w:rPr>
          <w:rFonts w:ascii="Adobe Caslon Pro" w:hAnsi="Adobe Caslon Pro" w:cs="Arial"/>
        </w:rPr>
        <w:t xml:space="preserve">. </w:t>
      </w:r>
    </w:p>
    <w:p w:rsidR="00D25F5B" w:rsidRDefault="00D25F5B" w:rsidP="0043286B">
      <w:pPr>
        <w:spacing w:after="120" w:line="240" w:lineRule="auto"/>
        <w:jc w:val="both"/>
        <w:rPr>
          <w:rFonts w:ascii="Adobe Caslon Pro" w:hAnsi="Adobe Caslon Pro" w:cs="Arial"/>
        </w:rPr>
      </w:pPr>
      <w:r w:rsidRPr="000907D3">
        <w:rPr>
          <w:rFonts w:ascii="Adobe Caslon Pro" w:hAnsi="Adobe Caslon Pro" w:cs="Arial"/>
        </w:rPr>
        <w:t>Se encontraron cinco causas principales que originan este problema: la primera es que</w:t>
      </w:r>
      <w:r w:rsidRPr="00304961">
        <w:rPr>
          <w:rFonts w:ascii="Adobe Caslon Pro" w:hAnsi="Adobe Caslon Pro" w:cs="Arial"/>
        </w:rPr>
        <w:t xml:space="preserve"> existen</w:t>
      </w:r>
      <w:r w:rsidRPr="000907D3">
        <w:rPr>
          <w:rFonts w:ascii="Adobe Caslon Pro" w:hAnsi="Adobe Caslon Pro" w:cs="Arial"/>
          <w:b/>
        </w:rPr>
        <w:t xml:space="preserve"> insuficientes mecanismos para la articulación entre actores sociales y gubernamentales </w:t>
      </w:r>
      <w:r w:rsidRPr="000907D3">
        <w:rPr>
          <w:rFonts w:ascii="Adobe Caslon Pro" w:hAnsi="Adobe Caslon Pro" w:cs="Arial"/>
        </w:rPr>
        <w:t>en torno a acciones que puedan incidir en el desarrollo social. La insuficiencia de dichos mecanismos o el desaprovechamiento de los existentes</w:t>
      </w:r>
      <w:r w:rsidR="00A25B33">
        <w:rPr>
          <w:rFonts w:ascii="Adobe Caslon Pro" w:hAnsi="Adobe Caslon Pro" w:cs="Arial"/>
        </w:rPr>
        <w:t>,</w:t>
      </w:r>
      <w:r w:rsidRPr="000907D3">
        <w:rPr>
          <w:rFonts w:ascii="Adobe Caslon Pro" w:hAnsi="Adobe Caslon Pro" w:cs="Arial"/>
        </w:rPr>
        <w:t xml:space="preserve"> se deriva de un limitado interés político</w:t>
      </w:r>
      <w:r w:rsidR="00A25B33">
        <w:rPr>
          <w:rFonts w:ascii="Adobe Caslon Pro" w:hAnsi="Adobe Caslon Pro" w:cs="Arial"/>
        </w:rPr>
        <w:t xml:space="preserve"> y social</w:t>
      </w:r>
      <w:r w:rsidRPr="000907D3">
        <w:rPr>
          <w:rFonts w:ascii="Adobe Caslon Pro" w:hAnsi="Adobe Caslon Pro" w:cs="Arial"/>
        </w:rPr>
        <w:t xml:space="preserve"> que no permite el desarrollo y el fortalecimiento de los actores sociales a escalas mayores. </w:t>
      </w:r>
    </w:p>
    <w:p w:rsidR="00D25F5B" w:rsidRDefault="00D25F5B" w:rsidP="0043286B">
      <w:pPr>
        <w:spacing w:after="120" w:line="240" w:lineRule="auto"/>
        <w:jc w:val="both"/>
        <w:rPr>
          <w:rFonts w:ascii="Adobe Caslon Pro" w:hAnsi="Adobe Caslon Pro" w:cs="Arial"/>
        </w:rPr>
      </w:pPr>
      <w:r w:rsidRPr="000907D3">
        <w:rPr>
          <w:rFonts w:ascii="Adobe Caslon Pro" w:hAnsi="Adobe Caslon Pro" w:cs="Arial"/>
        </w:rPr>
        <w:t xml:space="preserve">La segunda causa son los </w:t>
      </w:r>
      <w:r w:rsidRPr="000907D3">
        <w:rPr>
          <w:rFonts w:ascii="Adobe Caslon Pro" w:hAnsi="Adobe Caslon Pro" w:cs="Arial"/>
          <w:b/>
        </w:rPr>
        <w:t>limitados recursos públicos para la realización de acciones por parte de los actores sociales</w:t>
      </w:r>
      <w:r w:rsidRPr="000907D3">
        <w:rPr>
          <w:rFonts w:ascii="Adobe Caslon Pro" w:hAnsi="Adobe Caslon Pro" w:cs="Arial"/>
        </w:rPr>
        <w:t>, la cual se vincula con el interés político y entendimiento del gobierno para que puedan desarrollar sus actividades</w:t>
      </w:r>
      <w:r w:rsidR="00233C6C">
        <w:rPr>
          <w:rFonts w:ascii="Adobe Caslon Pro" w:hAnsi="Adobe Caslon Pro" w:cs="Arial"/>
        </w:rPr>
        <w:t xml:space="preserve"> (a </w:t>
      </w:r>
      <w:r w:rsidR="00233C6C" w:rsidRPr="00233C6C">
        <w:rPr>
          <w:rFonts w:ascii="Adobe Caslon Pro" w:hAnsi="Adobe Caslon Pro" w:cs="Arial"/>
        </w:rPr>
        <w:t>pesar de que realizan acciones y servicios que no atienden el sector gubernamental)</w:t>
      </w:r>
      <w:r w:rsidRPr="000907D3">
        <w:rPr>
          <w:rFonts w:ascii="Adobe Caslon Pro" w:hAnsi="Adobe Caslon Pro" w:cs="Arial"/>
        </w:rPr>
        <w:t xml:space="preserve">. Los actores sociales requieren de recursos para lograr su objeto social y una de las fuentes de financiamiento son los recursos públicos, no obstante, ésta es relativamente reducida en comparación con otros países. </w:t>
      </w:r>
    </w:p>
    <w:p w:rsidR="00D25F5B" w:rsidRDefault="00D25F5B" w:rsidP="0043286B">
      <w:pPr>
        <w:spacing w:after="120" w:line="240" w:lineRule="auto"/>
        <w:jc w:val="both"/>
        <w:rPr>
          <w:rFonts w:ascii="Adobe Caslon Pro" w:hAnsi="Adobe Caslon Pro" w:cs="Arial"/>
        </w:rPr>
      </w:pPr>
      <w:r w:rsidRPr="000907D3">
        <w:rPr>
          <w:rFonts w:ascii="Adobe Caslon Pro" w:hAnsi="Adobe Caslon Pro" w:cs="Arial"/>
        </w:rPr>
        <w:t xml:space="preserve">La tercera causa es </w:t>
      </w:r>
      <w:r w:rsidR="00123E4C" w:rsidRPr="000907D3">
        <w:rPr>
          <w:rFonts w:ascii="Adobe Caslon Pro" w:hAnsi="Adobe Caslon Pro" w:cs="Arial"/>
          <w:b/>
        </w:rPr>
        <w:t xml:space="preserve">el insuficiente </w:t>
      </w:r>
      <w:r w:rsidRPr="000907D3">
        <w:rPr>
          <w:rFonts w:ascii="Adobe Caslon Pro" w:hAnsi="Adobe Caslon Pro" w:cs="Arial"/>
          <w:b/>
        </w:rPr>
        <w:t>desarrollo institucional de los actores sociales</w:t>
      </w:r>
      <w:r w:rsidRPr="000907D3">
        <w:rPr>
          <w:rFonts w:ascii="Adobe Caslon Pro" w:hAnsi="Adobe Caslon Pro" w:cs="Arial"/>
        </w:rPr>
        <w:t xml:space="preserve"> caracterizado por insuficiencia de capacidades técnicas, administrativas y operativas que les impiden tener más y mejores alcances con las actividades que realizan. Sin embargo, esto es resultado de una combinación de otros factores como se verá más adelante.</w:t>
      </w:r>
    </w:p>
    <w:p w:rsidR="00D25F5B" w:rsidRDefault="00D25F5B" w:rsidP="0043286B">
      <w:pPr>
        <w:autoSpaceDE w:val="0"/>
        <w:autoSpaceDN w:val="0"/>
        <w:adjustRightInd w:val="0"/>
        <w:spacing w:after="120" w:line="240" w:lineRule="auto"/>
        <w:jc w:val="both"/>
        <w:rPr>
          <w:rFonts w:ascii="Adobe Caslon Pro" w:hAnsi="Adobe Caslon Pro" w:cs="Arial"/>
        </w:rPr>
      </w:pPr>
      <w:r w:rsidRPr="000907D3">
        <w:rPr>
          <w:rFonts w:ascii="Adobe Caslon Pro" w:hAnsi="Adobe Caslon Pro" w:cs="Arial"/>
        </w:rPr>
        <w:t xml:space="preserve">La cuarta causa es </w:t>
      </w:r>
      <w:r w:rsidRPr="000907D3">
        <w:rPr>
          <w:rFonts w:ascii="Adobe Caslon Pro" w:hAnsi="Adobe Caslon Pro" w:cs="Arial"/>
          <w:b/>
        </w:rPr>
        <w:t>la insuficiente info</w:t>
      </w:r>
      <w:r w:rsidR="00123E4C" w:rsidRPr="000907D3">
        <w:rPr>
          <w:rFonts w:ascii="Adobe Caslon Pro" w:hAnsi="Adobe Caslon Pro" w:cs="Arial"/>
          <w:b/>
        </w:rPr>
        <w:t>rmación sobre el impacto e incidencia</w:t>
      </w:r>
      <w:r w:rsidRPr="000907D3">
        <w:rPr>
          <w:rFonts w:ascii="Adobe Caslon Pro" w:hAnsi="Adobe Caslon Pro" w:cs="Arial"/>
          <w:b/>
        </w:rPr>
        <w:t xml:space="preserve"> del trabajo de los actores sociales</w:t>
      </w:r>
      <w:r w:rsidRPr="000907D3">
        <w:rPr>
          <w:rFonts w:ascii="Adobe Caslon Pro" w:hAnsi="Adobe Caslon Pro" w:cs="Arial"/>
        </w:rPr>
        <w:t>, que se traduce</w:t>
      </w:r>
      <w:r w:rsidR="00D17A7C">
        <w:rPr>
          <w:rFonts w:ascii="Adobe Caslon Pro" w:hAnsi="Adobe Caslon Pro" w:cs="Arial"/>
        </w:rPr>
        <w:t xml:space="preserve"> en</w:t>
      </w:r>
      <w:r w:rsidRPr="000907D3">
        <w:rPr>
          <w:rFonts w:ascii="Adobe Caslon Pro" w:hAnsi="Adobe Caslon Pro" w:cs="Arial"/>
        </w:rPr>
        <w:t xml:space="preserve"> </w:t>
      </w:r>
      <w:r w:rsidR="00304961">
        <w:rPr>
          <w:rFonts w:ascii="Adobe Caslon Pro" w:hAnsi="Adobe Caslon Pro" w:cs="Arial"/>
        </w:rPr>
        <w:t>la invisibilización</w:t>
      </w:r>
      <w:r w:rsidRPr="000907D3">
        <w:rPr>
          <w:rFonts w:ascii="Adobe Caslon Pro" w:hAnsi="Adobe Caslon Pro" w:cs="Arial"/>
        </w:rPr>
        <w:t xml:space="preserve"> del trabajo realizado y en falta de datos para valorar si los recursos destinados a estos actores están realmente lo</w:t>
      </w:r>
      <w:r w:rsidR="00304961">
        <w:rPr>
          <w:rFonts w:ascii="Adobe Caslon Pro" w:hAnsi="Adobe Caslon Pro" w:cs="Arial"/>
        </w:rPr>
        <w:t>grando los objetivos previstos así como</w:t>
      </w:r>
      <w:r w:rsidRPr="000907D3">
        <w:rPr>
          <w:rFonts w:ascii="Adobe Caslon Pro" w:hAnsi="Adobe Caslon Pro" w:cs="Arial"/>
        </w:rPr>
        <w:t xml:space="preserve"> conocer la forma en que se están ejecutando.</w:t>
      </w:r>
    </w:p>
    <w:p w:rsidR="00D25F5B" w:rsidRDefault="00D25F5B" w:rsidP="0043286B">
      <w:pPr>
        <w:autoSpaceDE w:val="0"/>
        <w:autoSpaceDN w:val="0"/>
        <w:adjustRightInd w:val="0"/>
        <w:spacing w:after="120" w:line="240" w:lineRule="auto"/>
        <w:jc w:val="both"/>
        <w:rPr>
          <w:rFonts w:ascii="Adobe Caslon Pro" w:hAnsi="Adobe Caslon Pro" w:cs="Arial"/>
        </w:rPr>
      </w:pPr>
      <w:r w:rsidRPr="000907D3">
        <w:rPr>
          <w:rFonts w:ascii="Adobe Caslon Pro" w:hAnsi="Adobe Caslon Pro" w:cs="Arial"/>
        </w:rPr>
        <w:lastRenderedPageBreak/>
        <w:t xml:space="preserve">La quinta causa es la </w:t>
      </w:r>
      <w:r w:rsidRPr="000907D3">
        <w:rPr>
          <w:rFonts w:ascii="Adobe Caslon Pro" w:hAnsi="Adobe Caslon Pro" w:cs="Arial"/>
          <w:b/>
        </w:rPr>
        <w:t>nula o escasa sinergia entre actores sociales</w:t>
      </w:r>
      <w:r w:rsidRPr="000907D3">
        <w:rPr>
          <w:rFonts w:ascii="Adobe Caslon Pro" w:hAnsi="Adobe Caslon Pro" w:cs="Arial"/>
        </w:rPr>
        <w:t>, que hace que se desaprovechen importantes beneficios y cuyo origen es el desconocimiento existente entre las propias OSC, y la desconfianza que genera no conocer la actuación de sus similares.</w:t>
      </w:r>
    </w:p>
    <w:p w:rsidR="00D25F5B" w:rsidRDefault="00D25F5B" w:rsidP="0043286B">
      <w:pPr>
        <w:spacing w:after="120" w:line="240" w:lineRule="auto"/>
        <w:jc w:val="both"/>
        <w:rPr>
          <w:rFonts w:ascii="Adobe Caslon Pro" w:hAnsi="Adobe Caslon Pro" w:cs="Arial"/>
        </w:rPr>
      </w:pPr>
      <w:r w:rsidRPr="000907D3">
        <w:rPr>
          <w:rFonts w:ascii="Adobe Caslon Pro" w:hAnsi="Adobe Caslon Pro" w:cs="Arial"/>
        </w:rPr>
        <w:t>En conjunto, las cinco causas afectan el nivel de consolidación y fortalecimiento con el que los actores sociales puedan realizar y continuar sus acciones en favor del desarrollo de la cohesión y capital social de los grupos y regiones vulnerables.</w:t>
      </w:r>
    </w:p>
    <w:p w:rsidR="00D25F5B" w:rsidRDefault="00D25F5B" w:rsidP="0043286B">
      <w:pPr>
        <w:spacing w:after="120" w:line="240" w:lineRule="auto"/>
        <w:jc w:val="both"/>
        <w:rPr>
          <w:rFonts w:ascii="Adobe Caslon Pro" w:hAnsi="Adobe Caslon Pro" w:cs="Arial"/>
        </w:rPr>
      </w:pPr>
      <w:r w:rsidRPr="000907D3">
        <w:rPr>
          <w:rFonts w:ascii="Adobe Caslon Pro" w:hAnsi="Adobe Caslon Pro" w:cs="Arial"/>
        </w:rPr>
        <w:t xml:space="preserve">Uno de los efectos del problema central es que </w:t>
      </w:r>
      <w:r w:rsidRPr="000907D3">
        <w:rPr>
          <w:rFonts w:ascii="Adobe Caslon Pro" w:hAnsi="Adobe Caslon Pro" w:cs="Arial"/>
          <w:b/>
        </w:rPr>
        <w:t>las políticas sociales no logran cabalmente sus objetivos de desarrollo comunitario</w:t>
      </w:r>
      <w:r w:rsidR="00123E4C" w:rsidRPr="000907D3">
        <w:rPr>
          <w:rFonts w:ascii="Adobe Caslon Pro" w:hAnsi="Adobe Caslon Pro" w:cs="Arial"/>
          <w:b/>
        </w:rPr>
        <w:t xml:space="preserve"> y social </w:t>
      </w:r>
      <w:r w:rsidRPr="000907D3">
        <w:rPr>
          <w:rFonts w:ascii="Adobe Caslon Pro" w:hAnsi="Adobe Caslon Pro" w:cs="Arial"/>
          <w:b/>
        </w:rPr>
        <w:t>a través de esquemas de inclusión y cohesión social</w:t>
      </w:r>
      <w:r w:rsidRPr="000907D3">
        <w:rPr>
          <w:rFonts w:ascii="Adobe Caslon Pro" w:hAnsi="Adobe Caslon Pro" w:cs="Arial"/>
        </w:rPr>
        <w:t xml:space="preserve">. El otro efecto es </w:t>
      </w:r>
      <w:r w:rsidRPr="000907D3">
        <w:rPr>
          <w:rFonts w:ascii="Adobe Caslon Pro" w:hAnsi="Adobe Caslon Pro" w:cs="Arial"/>
          <w:b/>
        </w:rPr>
        <w:t xml:space="preserve">la reducción de las actividades de los actores sociales y desvinculación con la sociedad. </w:t>
      </w:r>
      <w:r w:rsidRPr="000907D3">
        <w:rPr>
          <w:rFonts w:ascii="Adobe Caslon Pro" w:hAnsi="Adobe Caslon Pro" w:cs="Arial"/>
        </w:rPr>
        <w:t xml:space="preserve">Todo lo anterior, se traduce finalmente en </w:t>
      </w:r>
      <w:r w:rsidRPr="000907D3">
        <w:rPr>
          <w:rFonts w:ascii="Adobe Caslon Pro" w:hAnsi="Adobe Caslon Pro" w:cs="Arial"/>
          <w:b/>
        </w:rPr>
        <w:t>una limitada participación social en el desarrollo comunitario</w:t>
      </w:r>
      <w:r w:rsidRPr="000907D3">
        <w:rPr>
          <w:rFonts w:ascii="Adobe Caslon Pro" w:hAnsi="Adobe Caslon Pro" w:cs="Arial"/>
        </w:rPr>
        <w:t xml:space="preserve">. </w:t>
      </w:r>
    </w:p>
    <w:p w:rsidR="00E32DDC" w:rsidRDefault="00E32DDC" w:rsidP="0043286B">
      <w:pPr>
        <w:spacing w:after="120" w:line="240" w:lineRule="auto"/>
        <w:jc w:val="both"/>
        <w:rPr>
          <w:rFonts w:ascii="Adobe Caslon Pro" w:hAnsi="Adobe Caslon Pro" w:cs="Arial"/>
        </w:rPr>
      </w:pPr>
      <w:r w:rsidRPr="00E32DDC">
        <w:rPr>
          <w:rFonts w:ascii="Adobe Caslon Pro" w:hAnsi="Adobe Caslon Pro" w:cs="Arial"/>
        </w:rPr>
        <w:t xml:space="preserve">Finalmente, cabe señalar que la atención del efecto último plasmado en el árbol del problema del </w:t>
      </w:r>
      <w:r>
        <w:rPr>
          <w:rFonts w:ascii="Adobe Caslon Pro" w:hAnsi="Adobe Caslon Pro" w:cs="Arial"/>
        </w:rPr>
        <w:t>PCS</w:t>
      </w:r>
      <w:r w:rsidRPr="00E32DDC">
        <w:rPr>
          <w:rFonts w:ascii="Adobe Caslon Pro" w:hAnsi="Adobe Caslon Pro" w:cs="Arial"/>
        </w:rPr>
        <w:t>: “</w:t>
      </w:r>
      <w:r w:rsidRPr="00604153">
        <w:rPr>
          <w:rFonts w:ascii="Adobe Caslon Pro" w:hAnsi="Adobe Caslon Pro" w:cs="Arial"/>
          <w:i/>
        </w:rPr>
        <w:t>limitada participación social en el desarrollo comunitario</w:t>
      </w:r>
      <w:r>
        <w:rPr>
          <w:rFonts w:ascii="Adobe Caslon Pro" w:hAnsi="Adobe Caslon Pro" w:cs="Arial"/>
        </w:rPr>
        <w:t>”</w:t>
      </w:r>
      <w:r w:rsidR="00E81F3F">
        <w:rPr>
          <w:rFonts w:ascii="Adobe Caslon Pro" w:hAnsi="Adobe Caslon Pro" w:cs="Arial"/>
        </w:rPr>
        <w:t xml:space="preserve">, corresponde a la estrategia </w:t>
      </w:r>
      <w:r w:rsidR="00604153">
        <w:rPr>
          <w:rFonts w:ascii="Adobe Caslon Pro" w:hAnsi="Adobe Caslon Pro" w:cs="Arial"/>
        </w:rPr>
        <w:t>5</w:t>
      </w:r>
      <w:r w:rsidRPr="00E32DDC">
        <w:rPr>
          <w:rFonts w:ascii="Adobe Caslon Pro" w:hAnsi="Adobe Caslon Pro" w:cs="Arial"/>
        </w:rPr>
        <w:t xml:space="preserve">.1 del PSDS: </w:t>
      </w:r>
      <w:r w:rsidR="00604153">
        <w:rPr>
          <w:rFonts w:ascii="Adobe Caslon Pro" w:hAnsi="Adobe Caslon Pro" w:cs="Arial"/>
        </w:rPr>
        <w:t>“</w:t>
      </w:r>
      <w:r w:rsidR="00604153" w:rsidRPr="00604153">
        <w:rPr>
          <w:rFonts w:ascii="Adobe Caslon Pro" w:hAnsi="Adobe Caslon Pro" w:cs="Arial"/>
          <w:i/>
        </w:rPr>
        <w:t>[f]ortalecer a los actores sociales para que a través de sus actividades promuevan el desarrollo de la cohesión y el capital social de grupos y regiones que viven en situación de vulnerabilidad y exclusión</w:t>
      </w:r>
      <w:r w:rsidRPr="00E32DDC">
        <w:rPr>
          <w:rFonts w:ascii="Adobe Caslon Pro" w:hAnsi="Adobe Caslon Pro" w:cs="Arial"/>
        </w:rPr>
        <w:t>”;  de tal manera que el diagnóstico es un documento que guarda congruencia con cada uno de los elementos de la planeación, diseño y evaluación de los programas sociales de la SEDESOL, así como con los objetivos nacionales y sectoriales.</w:t>
      </w:r>
    </w:p>
    <w:p w:rsidR="00E32DDC" w:rsidRPr="000907D3" w:rsidRDefault="00E32DDC" w:rsidP="0043286B">
      <w:pPr>
        <w:spacing w:after="120" w:line="240" w:lineRule="auto"/>
        <w:jc w:val="both"/>
        <w:rPr>
          <w:rFonts w:ascii="Adobe Caslon Pro" w:hAnsi="Adobe Caslon Pro" w:cs="Arial"/>
          <w:u w:val="single"/>
        </w:rPr>
      </w:pPr>
    </w:p>
    <w:p w:rsidR="00D25F5B" w:rsidRPr="000907D3" w:rsidRDefault="00D25F5B" w:rsidP="0043286B">
      <w:pPr>
        <w:spacing w:after="120" w:line="240" w:lineRule="auto"/>
        <w:rPr>
          <w:rFonts w:ascii="Adobe Caslon Pro" w:hAnsi="Adobe Caslon Pro" w:cs="Arial"/>
        </w:rPr>
        <w:sectPr w:rsidR="00D25F5B" w:rsidRPr="000907D3" w:rsidSect="0048606E">
          <w:headerReference w:type="default" r:id="rId13"/>
          <w:footerReference w:type="default" r:id="rId14"/>
          <w:footerReference w:type="first" r:id="rId15"/>
          <w:type w:val="oddPage"/>
          <w:pgSz w:w="12240" w:h="15840" w:code="1"/>
          <w:pgMar w:top="1309" w:right="1339" w:bottom="1419" w:left="1514" w:header="720" w:footer="720" w:gutter="0"/>
          <w:pgNumType w:start="0"/>
          <w:cols w:space="720"/>
          <w:noEndnote/>
          <w:titlePg/>
          <w:docGrid w:linePitch="299"/>
        </w:sectPr>
      </w:pPr>
    </w:p>
    <w:p w:rsidR="00D25F5B" w:rsidRPr="000907D3" w:rsidRDefault="00D25F5B" w:rsidP="0043286B">
      <w:pPr>
        <w:pStyle w:val="Epgrafe"/>
        <w:spacing w:after="120"/>
        <w:jc w:val="center"/>
        <w:rPr>
          <w:rFonts w:ascii="Adobe Caslon Pro" w:hAnsi="Adobe Caslon Pro" w:cs="Arial"/>
          <w:color w:val="000000"/>
          <w:sz w:val="22"/>
          <w:szCs w:val="22"/>
        </w:rPr>
      </w:pPr>
      <w:bookmarkStart w:id="42" w:name="_Toc379367330"/>
      <w:r w:rsidRPr="000907D3">
        <w:rPr>
          <w:rFonts w:ascii="Adobe Caslon Pro" w:hAnsi="Adobe Caslon Pro" w:cs="Arial"/>
          <w:color w:val="000000"/>
          <w:sz w:val="22"/>
          <w:szCs w:val="22"/>
        </w:rPr>
        <w:lastRenderedPageBreak/>
        <w:t xml:space="preserve">Figura </w:t>
      </w:r>
      <w:r w:rsidR="007A6D2B" w:rsidRPr="000907D3">
        <w:rPr>
          <w:rFonts w:ascii="Adobe Caslon Pro" w:hAnsi="Adobe Caslon Pro" w:cs="Arial"/>
          <w:color w:val="000000"/>
          <w:sz w:val="22"/>
          <w:szCs w:val="22"/>
        </w:rPr>
        <w:fldChar w:fldCharType="begin"/>
      </w:r>
      <w:r w:rsidRPr="000907D3">
        <w:rPr>
          <w:rFonts w:ascii="Adobe Caslon Pro" w:hAnsi="Adobe Caslon Pro" w:cs="Arial"/>
          <w:color w:val="000000"/>
          <w:sz w:val="22"/>
          <w:szCs w:val="22"/>
        </w:rPr>
        <w:instrText xml:space="preserve"> SEQ Figura \* ARABIC </w:instrText>
      </w:r>
      <w:r w:rsidR="007A6D2B" w:rsidRPr="000907D3">
        <w:rPr>
          <w:rFonts w:ascii="Adobe Caslon Pro" w:hAnsi="Adobe Caslon Pro" w:cs="Arial"/>
          <w:color w:val="000000"/>
          <w:sz w:val="22"/>
          <w:szCs w:val="22"/>
        </w:rPr>
        <w:fldChar w:fldCharType="separate"/>
      </w:r>
      <w:r w:rsidR="004112D2">
        <w:rPr>
          <w:rFonts w:ascii="Adobe Caslon Pro" w:hAnsi="Adobe Caslon Pro" w:cs="Arial"/>
          <w:noProof/>
          <w:color w:val="000000"/>
          <w:sz w:val="22"/>
          <w:szCs w:val="22"/>
        </w:rPr>
        <w:t>1</w:t>
      </w:r>
      <w:r w:rsidR="007A6D2B" w:rsidRPr="000907D3">
        <w:rPr>
          <w:rFonts w:ascii="Adobe Caslon Pro" w:hAnsi="Adobe Caslon Pro" w:cs="Arial"/>
          <w:color w:val="000000"/>
          <w:sz w:val="22"/>
          <w:szCs w:val="22"/>
        </w:rPr>
        <w:fldChar w:fldCharType="end"/>
      </w:r>
      <w:r w:rsidRPr="000907D3">
        <w:rPr>
          <w:rFonts w:ascii="Adobe Caslon Pro" w:hAnsi="Adobe Caslon Pro" w:cs="Arial"/>
          <w:color w:val="000000"/>
          <w:sz w:val="22"/>
          <w:szCs w:val="22"/>
        </w:rPr>
        <w:t>. Árbol de</w:t>
      </w:r>
      <w:r w:rsidR="0085419D" w:rsidRPr="000907D3">
        <w:rPr>
          <w:rFonts w:ascii="Adobe Caslon Pro" w:hAnsi="Adobe Caslon Pro" w:cs="Arial"/>
          <w:color w:val="000000"/>
          <w:sz w:val="22"/>
          <w:szCs w:val="22"/>
        </w:rPr>
        <w:t>l</w:t>
      </w:r>
      <w:r w:rsidRPr="000907D3">
        <w:rPr>
          <w:rFonts w:ascii="Adobe Caslon Pro" w:hAnsi="Adobe Caslon Pro" w:cs="Arial"/>
          <w:color w:val="000000"/>
          <w:sz w:val="22"/>
          <w:szCs w:val="22"/>
        </w:rPr>
        <w:t xml:space="preserve"> Problema</w:t>
      </w:r>
      <w:bookmarkEnd w:id="42"/>
    </w:p>
    <w:p w:rsidR="0026358A" w:rsidRPr="000907D3" w:rsidRDefault="001328C5" w:rsidP="0043286B">
      <w:pPr>
        <w:spacing w:after="120" w:line="240" w:lineRule="auto"/>
      </w:pPr>
      <w:r w:rsidRPr="000907D3">
        <w:rPr>
          <w:noProof/>
          <w:lang w:eastAsia="es-MX"/>
        </w:rPr>
        <w:drawing>
          <wp:inline distT="0" distB="0" distL="0" distR="0" wp14:anchorId="0A5EE3D3" wp14:editId="7556C873">
            <wp:extent cx="8176438" cy="5394563"/>
            <wp:effectExtent l="0" t="0" r="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85999" cy="5400871"/>
                    </a:xfrm>
                    <a:prstGeom prst="rect">
                      <a:avLst/>
                    </a:prstGeom>
                    <a:noFill/>
                  </pic:spPr>
                </pic:pic>
              </a:graphicData>
            </a:graphic>
          </wp:inline>
        </w:drawing>
      </w:r>
    </w:p>
    <w:p w:rsidR="0026358A" w:rsidRPr="000907D3" w:rsidRDefault="0026358A" w:rsidP="0043286B">
      <w:pPr>
        <w:spacing w:after="120" w:line="240" w:lineRule="auto"/>
        <w:sectPr w:rsidR="0026358A" w:rsidRPr="000907D3" w:rsidSect="005F0DC4">
          <w:pgSz w:w="15840" w:h="12240" w:orient="landscape" w:code="1"/>
          <w:pgMar w:top="1514" w:right="1310" w:bottom="1338" w:left="1418" w:header="720" w:footer="720" w:gutter="0"/>
          <w:cols w:space="720"/>
          <w:noEndnote/>
          <w:titlePg/>
          <w:docGrid w:linePitch="299"/>
        </w:sectPr>
      </w:pPr>
    </w:p>
    <w:p w:rsidR="00D25F5B" w:rsidRDefault="00D25F5B" w:rsidP="0043286B">
      <w:pPr>
        <w:spacing w:after="120" w:line="240" w:lineRule="auto"/>
        <w:rPr>
          <w:rFonts w:ascii="Adobe Caslon Pro" w:hAnsi="Adobe Caslon Pro" w:cs="Arial"/>
          <w:b/>
          <w:sz w:val="24"/>
        </w:rPr>
      </w:pPr>
      <w:bookmarkStart w:id="43" w:name="_Toc376184694"/>
      <w:bookmarkStart w:id="44" w:name="_Toc380497358"/>
      <w:r w:rsidRPr="004D5D2F">
        <w:rPr>
          <w:rFonts w:ascii="Adobe Caslon Pro" w:hAnsi="Adobe Caslon Pro" w:cs="Arial"/>
          <w:b/>
          <w:sz w:val="24"/>
        </w:rPr>
        <w:lastRenderedPageBreak/>
        <w:t>Descripción de las principales causas del problema</w:t>
      </w:r>
      <w:bookmarkEnd w:id="43"/>
      <w:bookmarkEnd w:id="44"/>
    </w:p>
    <w:p w:rsidR="00D25F5B" w:rsidRDefault="009A7A25" w:rsidP="0043286B">
      <w:pPr>
        <w:pStyle w:val="Ttulo3"/>
        <w:spacing w:before="0" w:after="120" w:line="240" w:lineRule="auto"/>
      </w:pPr>
      <w:bookmarkStart w:id="45" w:name="_Toc376184696"/>
      <w:bookmarkStart w:id="46" w:name="_Toc380497360"/>
      <w:bookmarkStart w:id="47" w:name="_Toc391925219"/>
      <w:r>
        <w:t xml:space="preserve">2.2.3 </w:t>
      </w:r>
      <w:r w:rsidR="00D17A7C">
        <w:t>Las causas del p</w:t>
      </w:r>
      <w:r w:rsidR="00D25F5B" w:rsidRPr="000907D3">
        <w:t>roblema</w:t>
      </w:r>
      <w:bookmarkEnd w:id="45"/>
      <w:bookmarkEnd w:id="46"/>
      <w:bookmarkEnd w:id="47"/>
    </w:p>
    <w:p w:rsidR="0056695B" w:rsidRPr="00271526" w:rsidRDefault="0056695B" w:rsidP="0043286B">
      <w:pPr>
        <w:spacing w:after="120" w:line="240" w:lineRule="auto"/>
        <w:jc w:val="both"/>
        <w:rPr>
          <w:rFonts w:ascii="Adobe Caslon Pro" w:hAnsi="Adobe Caslon Pro" w:cs="Arial"/>
          <w:sz w:val="12"/>
        </w:rPr>
      </w:pPr>
    </w:p>
    <w:p w:rsidR="00D25F5B" w:rsidRPr="000907D3" w:rsidRDefault="00D25F5B" w:rsidP="0043286B">
      <w:pPr>
        <w:spacing w:after="120" w:line="240" w:lineRule="auto"/>
        <w:jc w:val="both"/>
        <w:rPr>
          <w:rFonts w:ascii="Adobe Caslon Pro" w:hAnsi="Adobe Caslon Pro" w:cs="Arial"/>
          <w:b/>
        </w:rPr>
      </w:pPr>
      <w:r w:rsidRPr="000907D3">
        <w:rPr>
          <w:rFonts w:ascii="Adobe Caslon Pro" w:hAnsi="Adobe Caslon Pro" w:cs="Arial"/>
          <w:b/>
        </w:rPr>
        <w:t xml:space="preserve">Insuficientes mecanismos para la articulación entre actores sociales y gubernamentales </w:t>
      </w:r>
    </w:p>
    <w:p w:rsidR="00D25F5B" w:rsidRDefault="00D25F5B" w:rsidP="0043286B">
      <w:pPr>
        <w:spacing w:after="120" w:line="240" w:lineRule="auto"/>
        <w:jc w:val="both"/>
        <w:rPr>
          <w:rFonts w:ascii="Adobe Caslon Pro" w:hAnsi="Adobe Caslon Pro" w:cs="Arial"/>
        </w:rPr>
      </w:pPr>
      <w:r w:rsidRPr="000907D3">
        <w:rPr>
          <w:rFonts w:ascii="Adobe Caslon Pro" w:hAnsi="Adobe Caslon Pro" w:cs="Arial"/>
        </w:rPr>
        <w:t>En América Latina “</w:t>
      </w:r>
      <w:r w:rsidRPr="000907D3">
        <w:rPr>
          <w:rFonts w:ascii="Adobe Caslon Pro" w:hAnsi="Adobe Caslon Pro" w:cs="Arial"/>
          <w:i/>
        </w:rPr>
        <w:t>los procesos de democratización han conducido a la incorporación de distintos mecanismos de participación ciudadana en asuntos del gobierno</w:t>
      </w:r>
      <w:r w:rsidRPr="000907D3">
        <w:rPr>
          <w:rFonts w:ascii="Adobe Caslon Pro" w:hAnsi="Adobe Caslon Pro" w:cs="Arial"/>
        </w:rPr>
        <w:t xml:space="preserve">” más allá de los asuntos electorales (Hevia et al, 2011). Por su parte, México ha realizado importantes cambios y avances en materia legal tanto a nivel federal como a nivel estatal en favor de promover la participación ciudadana en los tres niveles de gobierno, así como transparentar la gestión gubernamental. </w:t>
      </w:r>
    </w:p>
    <w:p w:rsidR="00D25F5B" w:rsidRDefault="00D25F5B" w:rsidP="0043286B">
      <w:pPr>
        <w:spacing w:after="120" w:line="240" w:lineRule="auto"/>
        <w:jc w:val="both"/>
        <w:rPr>
          <w:rFonts w:ascii="Adobe Caslon Pro" w:hAnsi="Adobe Caslon Pro" w:cs="Arial"/>
        </w:rPr>
      </w:pPr>
      <w:r w:rsidRPr="000907D3">
        <w:rPr>
          <w:rFonts w:ascii="Adobe Caslon Pro" w:hAnsi="Adobe Caslon Pro" w:cs="Arial"/>
        </w:rPr>
        <w:t xml:space="preserve">A partir del 2000 se introdujeron leyes, reglamentos y otros mecanismos que ampliaron el marco de actuación de la participación ciudadana, destacan las publicaciones de la </w:t>
      </w:r>
      <w:r w:rsidR="003F1EB3" w:rsidRPr="000907D3">
        <w:rPr>
          <w:rFonts w:ascii="Adobe Caslon Pro" w:hAnsi="Adobe Caslon Pro" w:cs="Arial"/>
        </w:rPr>
        <w:t>LFTAIPG</w:t>
      </w:r>
      <w:r w:rsidR="00A711AD">
        <w:rPr>
          <w:rFonts w:ascii="Adobe Caslon Pro" w:hAnsi="Adobe Caslon Pro" w:cs="Arial"/>
        </w:rPr>
        <w:t xml:space="preserve"> (</w:t>
      </w:r>
      <w:r w:rsidR="003F1EB3" w:rsidRPr="000907D3">
        <w:rPr>
          <w:rFonts w:ascii="Adobe Caslon Pro" w:hAnsi="Adobe Caslon Pro" w:cs="Arial"/>
        </w:rPr>
        <w:t xml:space="preserve">2003) y </w:t>
      </w:r>
      <w:r w:rsidRPr="000907D3">
        <w:rPr>
          <w:rFonts w:ascii="Adobe Caslon Pro" w:hAnsi="Adobe Caslon Pro" w:cs="Arial"/>
        </w:rPr>
        <w:t xml:space="preserve">la </w:t>
      </w:r>
      <w:r w:rsidR="00A711AD">
        <w:rPr>
          <w:rFonts w:ascii="Adobe Caslon Pro" w:hAnsi="Adobe Caslon Pro" w:cs="Arial"/>
        </w:rPr>
        <w:t>LGDS (</w:t>
      </w:r>
      <w:r w:rsidRPr="000907D3">
        <w:rPr>
          <w:rFonts w:ascii="Adobe Caslon Pro" w:hAnsi="Adobe Caslon Pro" w:cs="Arial"/>
        </w:rPr>
        <w:t>2004) las cuales posibilitaron la vigilancia de la aplicación de la política social</w:t>
      </w:r>
      <w:r w:rsidR="003F1EB3" w:rsidRPr="000907D3">
        <w:rPr>
          <w:rFonts w:ascii="Adobe Caslon Pro" w:hAnsi="Adobe Caslon Pro" w:cs="Arial"/>
        </w:rPr>
        <w:t>,</w:t>
      </w:r>
      <w:r w:rsidRPr="000907D3">
        <w:rPr>
          <w:rFonts w:ascii="Adobe Caslon Pro" w:hAnsi="Adobe Caslon Pro" w:cs="Arial"/>
        </w:rPr>
        <w:t xml:space="preserve"> lo que permitió que aumentara el número de organizaciones vigilantes del quehacer gubernamental. También se creó la </w:t>
      </w:r>
      <w:r w:rsidR="003F1EB3" w:rsidRPr="000907D3">
        <w:rPr>
          <w:rFonts w:ascii="Adobe Caslon Pro" w:hAnsi="Adobe Caslon Pro" w:cs="Arial"/>
        </w:rPr>
        <w:t>LFFAROSC</w:t>
      </w:r>
      <w:r w:rsidR="00D17A7C">
        <w:rPr>
          <w:rFonts w:ascii="Adobe Caslon Pro" w:hAnsi="Adobe Caslon Pro" w:cs="Arial"/>
        </w:rPr>
        <w:t>,</w:t>
      </w:r>
      <w:r w:rsidR="003F1EB3" w:rsidRPr="000907D3">
        <w:rPr>
          <w:rFonts w:ascii="Adobe Caslon Pro" w:hAnsi="Adobe Caslon Pro" w:cs="Arial"/>
        </w:rPr>
        <w:t xml:space="preserve"> y a</w:t>
      </w:r>
      <w:r w:rsidRPr="000907D3">
        <w:rPr>
          <w:rFonts w:ascii="Adobe Caslon Pro" w:hAnsi="Adobe Caslon Pro" w:cs="Arial"/>
        </w:rPr>
        <w:t xml:space="preserve">l </w:t>
      </w:r>
      <w:r w:rsidR="002F714E">
        <w:rPr>
          <w:rFonts w:ascii="Adobe Caslon Pro" w:hAnsi="Adobe Caslon Pro" w:cs="Arial"/>
        </w:rPr>
        <w:t>INDESOL</w:t>
      </w:r>
      <w:r w:rsidRPr="000907D3">
        <w:rPr>
          <w:rFonts w:ascii="Adobe Caslon Pro" w:hAnsi="Adobe Caslon Pro" w:cs="Arial"/>
        </w:rPr>
        <w:t xml:space="preserve"> se le encomendó procurar la visibilidad de la sociedad civil organizada</w:t>
      </w:r>
      <w:r w:rsidR="00366FCE">
        <w:rPr>
          <w:rFonts w:ascii="Adobe Caslon Pro" w:hAnsi="Adobe Caslon Pro" w:cs="Arial"/>
        </w:rPr>
        <w:t xml:space="preserve"> </w:t>
      </w:r>
      <w:r w:rsidRPr="000907D3">
        <w:rPr>
          <w:rFonts w:ascii="Adobe Caslon Pro" w:hAnsi="Adobe Caslon Pro" w:cs="Arial"/>
        </w:rPr>
        <w:t>así como la investigación sobre la misma (Olvera, 2009). Además, en los Planes Nacionales de Desarrollo</w:t>
      </w:r>
      <w:r w:rsidR="00304961">
        <w:rPr>
          <w:rFonts w:ascii="Adobe Caslon Pro" w:hAnsi="Adobe Caslon Pro" w:cs="Arial"/>
        </w:rPr>
        <w:t xml:space="preserve"> </w:t>
      </w:r>
      <w:r w:rsidRPr="000907D3">
        <w:rPr>
          <w:rFonts w:ascii="Adobe Caslon Pro" w:hAnsi="Adobe Caslon Pro" w:cs="Arial"/>
        </w:rPr>
        <w:t xml:space="preserve">de los últimos tres sexenios (incluyendo el actual) se ha expresado la relevancia de involucrar la participación ciudadana tanto en el diseño como </w:t>
      </w:r>
      <w:r w:rsidR="00DC6D24">
        <w:rPr>
          <w:rFonts w:ascii="Adobe Caslon Pro" w:hAnsi="Adobe Caslon Pro" w:cs="Arial"/>
        </w:rPr>
        <w:t xml:space="preserve">en </w:t>
      </w:r>
      <w:r w:rsidRPr="000907D3">
        <w:rPr>
          <w:rFonts w:ascii="Adobe Caslon Pro" w:hAnsi="Adobe Caslon Pro" w:cs="Arial"/>
        </w:rPr>
        <w:t>la evaluación de las políticas públicas.</w:t>
      </w:r>
      <w:r w:rsidRPr="000907D3">
        <w:rPr>
          <w:vertAlign w:val="superscript"/>
        </w:rPr>
        <w:footnoteReference w:id="5"/>
      </w:r>
    </w:p>
    <w:p w:rsidR="00D25F5B" w:rsidRDefault="00D25F5B" w:rsidP="0043286B">
      <w:pPr>
        <w:spacing w:after="120" w:line="240" w:lineRule="auto"/>
        <w:jc w:val="both"/>
        <w:rPr>
          <w:rFonts w:ascii="Adobe Caslon Pro" w:hAnsi="Adobe Caslon Pro" w:cs="Arial"/>
        </w:rPr>
      </w:pPr>
      <w:r w:rsidRPr="000907D3">
        <w:rPr>
          <w:rFonts w:ascii="Adobe Caslon Pro" w:hAnsi="Adobe Caslon Pro" w:cs="Arial"/>
        </w:rPr>
        <w:t xml:space="preserve">Entre las figuras legales a través de las cuales se regula la participación ciudadana destacan los consejos, comités y otras instancias colegiadas. La LFFAROSC </w:t>
      </w:r>
      <w:r w:rsidR="00D17A7C">
        <w:rPr>
          <w:rFonts w:ascii="Adobe Caslon Pro" w:hAnsi="Adobe Caslon Pro" w:cs="Arial"/>
        </w:rPr>
        <w:t>dispuso la creación de</w:t>
      </w:r>
      <w:r w:rsidRPr="000907D3">
        <w:rPr>
          <w:rFonts w:ascii="Adobe Caslon Pro" w:hAnsi="Adobe Caslon Pro" w:cs="Arial"/>
        </w:rPr>
        <w:t>l Consejo Técnico Consultivo conformado por representantes de las OSC, de la academia, del Poder Legislativo</w:t>
      </w:r>
      <w:r w:rsidR="00D17A7C">
        <w:rPr>
          <w:rFonts w:ascii="Adobe Caslon Pro" w:hAnsi="Adobe Caslon Pro" w:cs="Arial"/>
        </w:rPr>
        <w:t>, el cual</w:t>
      </w:r>
      <w:r w:rsidRPr="000907D3">
        <w:rPr>
          <w:rFonts w:ascii="Adobe Caslon Pro" w:hAnsi="Adobe Caslon Pro" w:cs="Arial"/>
        </w:rPr>
        <w:t xml:space="preserve"> es presidido por un servidor público designado por la</w:t>
      </w:r>
      <w:r w:rsidR="00F603C2" w:rsidRPr="000907D3">
        <w:rPr>
          <w:rFonts w:ascii="Adobe Caslon Pro" w:hAnsi="Adobe Caslon Pro" w:cs="Arial"/>
        </w:rPr>
        <w:t xml:space="preserve"> Comisión de Fomento;</w:t>
      </w:r>
      <w:r w:rsidRPr="000907D3">
        <w:rPr>
          <w:rFonts w:ascii="Adobe Caslon Pro" w:hAnsi="Adobe Caslon Pro" w:cs="Arial"/>
        </w:rPr>
        <w:t xml:space="preserve"> la </w:t>
      </w:r>
      <w:r w:rsidR="002F714E">
        <w:rPr>
          <w:rFonts w:ascii="Adobe Caslon Pro" w:hAnsi="Adobe Caslon Pro" w:cs="Arial"/>
        </w:rPr>
        <w:t>SEDESOL</w:t>
      </w:r>
      <w:r w:rsidRPr="000907D3">
        <w:rPr>
          <w:rFonts w:ascii="Adobe Caslon Pro" w:hAnsi="Adobe Caslon Pro" w:cs="Arial"/>
        </w:rPr>
        <w:t xml:space="preserve"> tiene su correspondien</w:t>
      </w:r>
      <w:r w:rsidR="00F603C2" w:rsidRPr="000907D3">
        <w:rPr>
          <w:rFonts w:ascii="Adobe Caslon Pro" w:hAnsi="Adobe Caslon Pro" w:cs="Arial"/>
        </w:rPr>
        <w:t>te Consejo de Desarrollo Social;</w:t>
      </w:r>
      <w:r w:rsidRPr="000907D3">
        <w:rPr>
          <w:rFonts w:ascii="Adobe Caslon Pro" w:hAnsi="Adobe Caslon Pro" w:cs="Arial"/>
        </w:rPr>
        <w:t xml:space="preserve"> el </w:t>
      </w:r>
      <w:r w:rsidR="002F714E">
        <w:rPr>
          <w:rFonts w:ascii="Adobe Caslon Pro" w:hAnsi="Adobe Caslon Pro" w:cs="Arial"/>
        </w:rPr>
        <w:t>INDESOL</w:t>
      </w:r>
      <w:r w:rsidRPr="000907D3">
        <w:rPr>
          <w:rFonts w:ascii="Adobe Caslon Pro" w:hAnsi="Adobe Caslon Pro" w:cs="Arial"/>
        </w:rPr>
        <w:t xml:space="preserve"> tiene dictaminadores del P</w:t>
      </w:r>
      <w:r w:rsidR="00F603C2" w:rsidRPr="000907D3">
        <w:rPr>
          <w:rFonts w:ascii="Adobe Caslon Pro" w:hAnsi="Adobe Caslon Pro" w:cs="Arial"/>
        </w:rPr>
        <w:t xml:space="preserve">CS </w:t>
      </w:r>
      <w:r w:rsidRPr="000907D3">
        <w:rPr>
          <w:rFonts w:ascii="Adobe Caslon Pro" w:hAnsi="Adobe Caslon Pro" w:cs="Arial"/>
        </w:rPr>
        <w:t xml:space="preserve">y </w:t>
      </w:r>
      <w:r w:rsidR="00C10FA8">
        <w:rPr>
          <w:rFonts w:ascii="Adobe Caslon Pro" w:hAnsi="Adobe Caslon Pro" w:cs="Arial"/>
        </w:rPr>
        <w:t>é</w:t>
      </w:r>
      <w:r w:rsidR="00C10FA8" w:rsidRPr="000907D3">
        <w:rPr>
          <w:rFonts w:ascii="Adobe Caslon Pro" w:hAnsi="Adobe Caslon Pro" w:cs="Arial"/>
        </w:rPr>
        <w:t xml:space="preserve">ste </w:t>
      </w:r>
      <w:r w:rsidRPr="000907D3">
        <w:rPr>
          <w:rFonts w:ascii="Adobe Caslon Pro" w:hAnsi="Adobe Caslon Pro" w:cs="Arial"/>
        </w:rPr>
        <w:t>último incluye en uno de sus procesos (el de Dictaminación) a una persona integrante de las OSC y otra especialista en la materia o del ámbito académico, además de un servidor o servidora pública federal.</w:t>
      </w:r>
      <w:r w:rsidRPr="000907D3">
        <w:rPr>
          <w:vertAlign w:val="superscript"/>
        </w:rPr>
        <w:footnoteReference w:id="6"/>
      </w:r>
      <w:r w:rsidR="00233C6C">
        <w:rPr>
          <w:rFonts w:ascii="Adobe Caslon Pro" w:hAnsi="Adobe Caslon Pro" w:cs="Arial"/>
        </w:rPr>
        <w:t xml:space="preserve"> </w:t>
      </w:r>
      <w:r w:rsidRPr="000907D3">
        <w:rPr>
          <w:rFonts w:ascii="Adobe Caslon Pro" w:hAnsi="Adobe Caslon Pro" w:cs="Arial"/>
        </w:rPr>
        <w:t xml:space="preserve">Cabe aclarar que dichos órganos surgieron de abajo hacia arriba, es decir, por presiones de los actores sociales hacia el gobierno (Hevia et al, 2011). No obstante, lo escrito en la normatividad en materia de participación ciudadana y la forma en que ésta se ha llevado a la práctica (de arriba hacia abajo), aunada a los vacíos que aún existen en el marco legal, hace del </w:t>
      </w:r>
      <w:r w:rsidRPr="000907D3">
        <w:rPr>
          <w:rFonts w:ascii="Adobe Caslon Pro" w:hAnsi="Adobe Caslon Pro" w:cs="Arial"/>
        </w:rPr>
        <w:lastRenderedPageBreak/>
        <w:t>nivel de involucramiento de los actores sociales un área de oportunidad tanto para la sociedad como para el Estado.</w:t>
      </w:r>
    </w:p>
    <w:p w:rsidR="00D25F5B" w:rsidRPr="000907D3" w:rsidRDefault="00D25F5B" w:rsidP="0043286B">
      <w:pPr>
        <w:spacing w:after="120" w:line="240" w:lineRule="auto"/>
        <w:jc w:val="both"/>
        <w:rPr>
          <w:rFonts w:ascii="Adobe Caslon Pro" w:hAnsi="Adobe Caslon Pro" w:cs="Arial"/>
        </w:rPr>
      </w:pPr>
      <w:r w:rsidRPr="000907D3">
        <w:rPr>
          <w:rFonts w:ascii="Adobe Caslon Pro" w:hAnsi="Adobe Caslon Pro" w:cs="Arial"/>
        </w:rPr>
        <w:t xml:space="preserve">No obstante la existencia de mecanismos institucionalizados tales como leyes, reglamentos e instancias colegiadas para la participación ciudadana, se puede frenar o limitar el involucramiento de la sociedad si no funcionan con cabal cumplimiento de la ley o simplemente se desaprovechan. De acuerdo con Ocejo (2011) la lejanía entre lo escrito en los ordenamientos legales y lo llevado a la práctica se debe a tres debilidades: </w:t>
      </w:r>
    </w:p>
    <w:p w:rsidR="00D25F5B" w:rsidRPr="000907D3" w:rsidRDefault="00D25F5B" w:rsidP="0043286B">
      <w:pPr>
        <w:pStyle w:val="Prrafodelista"/>
        <w:numPr>
          <w:ilvl w:val="0"/>
          <w:numId w:val="4"/>
        </w:numPr>
        <w:spacing w:after="120" w:line="240" w:lineRule="auto"/>
        <w:jc w:val="both"/>
        <w:rPr>
          <w:rFonts w:ascii="Adobe Caslon Pro" w:hAnsi="Adobe Caslon Pro" w:cs="Arial"/>
        </w:rPr>
      </w:pPr>
      <w:r w:rsidRPr="000907D3">
        <w:rPr>
          <w:rFonts w:ascii="Adobe Caslon Pro" w:hAnsi="Adobe Caslon Pro" w:cs="Arial"/>
        </w:rPr>
        <w:t xml:space="preserve">Predominio de mecanismos diseñados del gobierno a la sociedad (de arriba hacia abajo). </w:t>
      </w:r>
    </w:p>
    <w:p w:rsidR="00D25F5B" w:rsidRPr="000907D3" w:rsidRDefault="00D25F5B" w:rsidP="0043286B">
      <w:pPr>
        <w:pStyle w:val="Prrafodelista"/>
        <w:numPr>
          <w:ilvl w:val="0"/>
          <w:numId w:val="4"/>
        </w:numPr>
        <w:spacing w:after="120" w:line="240" w:lineRule="auto"/>
        <w:jc w:val="both"/>
        <w:rPr>
          <w:rFonts w:ascii="Adobe Caslon Pro" w:hAnsi="Adobe Caslon Pro" w:cs="Arial"/>
        </w:rPr>
      </w:pPr>
      <w:r w:rsidRPr="000907D3">
        <w:rPr>
          <w:rFonts w:ascii="Adobe Caslon Pro" w:hAnsi="Adobe Caslon Pro" w:cs="Arial"/>
        </w:rPr>
        <w:t>Los mecanismos establecidos favorecen los procesos de consulta (voz) pero no aquellos que incorporan la efectiva participación en la toma de decisiones públicas (voto).</w:t>
      </w:r>
    </w:p>
    <w:p w:rsidR="00D25F5B" w:rsidRDefault="00D25F5B" w:rsidP="0043286B">
      <w:pPr>
        <w:pStyle w:val="Prrafodelista"/>
        <w:numPr>
          <w:ilvl w:val="0"/>
          <w:numId w:val="4"/>
        </w:numPr>
        <w:spacing w:after="120" w:line="240" w:lineRule="auto"/>
        <w:jc w:val="both"/>
        <w:rPr>
          <w:rFonts w:ascii="Adobe Caslon Pro" w:hAnsi="Adobe Caslon Pro" w:cs="Arial"/>
        </w:rPr>
      </w:pPr>
      <w:r w:rsidRPr="000907D3">
        <w:rPr>
          <w:rFonts w:ascii="Adobe Caslon Pro" w:hAnsi="Adobe Caslon Pro" w:cs="Arial"/>
        </w:rPr>
        <w:t>Ninguno de los mecanismos participativos incluye medios efectivos que sancionen las irregularidades o modifiquen las conductas de los involucrados.</w:t>
      </w:r>
    </w:p>
    <w:p w:rsidR="00D25F5B" w:rsidRPr="000907D3" w:rsidRDefault="00D25F5B" w:rsidP="0043286B">
      <w:pPr>
        <w:spacing w:after="120" w:line="240" w:lineRule="auto"/>
        <w:jc w:val="both"/>
        <w:rPr>
          <w:rFonts w:ascii="Adobe Caslon Pro" w:hAnsi="Adobe Caslon Pro" w:cs="Arial"/>
        </w:rPr>
      </w:pPr>
      <w:r w:rsidRPr="000907D3">
        <w:rPr>
          <w:rFonts w:ascii="Adobe Caslon Pro" w:hAnsi="Adobe Caslon Pro" w:cs="Arial"/>
        </w:rPr>
        <w:t xml:space="preserve">Además existen insuficientes espacios para una participación social más efectiva y participativa en la toma de decisiones. Hevia </w:t>
      </w:r>
      <w:r w:rsidRPr="000907D3">
        <w:rPr>
          <w:rFonts w:ascii="Adobe Caslon Pro" w:hAnsi="Adobe Caslon Pro" w:cs="Arial"/>
          <w:i/>
        </w:rPr>
        <w:t>et al</w:t>
      </w:r>
      <w:r w:rsidRPr="000907D3">
        <w:rPr>
          <w:rFonts w:ascii="Adobe Caslon Pro" w:hAnsi="Adobe Caslon Pro" w:cs="Arial"/>
        </w:rPr>
        <w:t xml:space="preserve"> (2011) analizaron para el año 2008: 256 leyes y reglamentos de la </w:t>
      </w:r>
      <w:r w:rsidR="00F603C2" w:rsidRPr="000907D3">
        <w:rPr>
          <w:rFonts w:ascii="Adobe Caslon Pro" w:hAnsi="Adobe Caslon Pro" w:cs="Arial"/>
        </w:rPr>
        <w:t>APF</w:t>
      </w:r>
      <w:r w:rsidRPr="000907D3">
        <w:rPr>
          <w:rFonts w:ascii="Adobe Caslon Pro" w:hAnsi="Adobe Caslon Pro" w:cs="Arial"/>
        </w:rPr>
        <w:t xml:space="preserve"> (el 100% de las leyes y reglamentos vigentes de ese año); 136 reglas de operación y </w:t>
      </w:r>
      <w:r w:rsidR="0038718A">
        <w:rPr>
          <w:rFonts w:ascii="Adobe Caslon Pro" w:hAnsi="Adobe Caslon Pro" w:cs="Arial"/>
        </w:rPr>
        <w:t>lineamientos vigentes</w:t>
      </w:r>
      <w:r w:rsidRPr="000907D3">
        <w:rPr>
          <w:rFonts w:ascii="Adobe Caslon Pro" w:hAnsi="Adobe Caslon Pro" w:cs="Arial"/>
        </w:rPr>
        <w:t xml:space="preserve"> (100% de las reglas de operación vigentes de ese año); </w:t>
      </w:r>
      <w:r w:rsidR="00D17A7C">
        <w:rPr>
          <w:rFonts w:ascii="Adobe Caslon Pro" w:hAnsi="Adobe Caslon Pro" w:cs="Arial"/>
        </w:rPr>
        <w:t xml:space="preserve">el </w:t>
      </w:r>
      <w:r w:rsidRPr="000907D3">
        <w:rPr>
          <w:rFonts w:ascii="Adobe Caslon Pro" w:hAnsi="Adobe Caslon Pro" w:cs="Arial"/>
        </w:rPr>
        <w:t>portal de obligaciones de transparencia (IFAI, 2009); y otras fuentes secundarias. Para cada una de las anteriores se identificaron los órganos colegiados de consulta o deliberativos dando un total de 409 instancias colegiadas,</w:t>
      </w:r>
      <w:r w:rsidRPr="000907D3">
        <w:rPr>
          <w:rStyle w:val="Refdenotaalpie"/>
          <w:rFonts w:ascii="Adobe Caslon Pro" w:hAnsi="Adobe Caslon Pro" w:cs="Arial"/>
        </w:rPr>
        <w:footnoteReference w:id="7"/>
      </w:r>
      <w:r w:rsidRPr="000907D3">
        <w:rPr>
          <w:rFonts w:ascii="Adobe Caslon Pro" w:hAnsi="Adobe Caslon Pro" w:cs="Arial"/>
        </w:rPr>
        <w:t xml:space="preserve"> y concluyeron que:</w:t>
      </w:r>
    </w:p>
    <w:p w:rsidR="00D25F5B" w:rsidRPr="000907D3" w:rsidRDefault="00D25F5B" w:rsidP="0043286B">
      <w:pPr>
        <w:pStyle w:val="Prrafodelista"/>
        <w:numPr>
          <w:ilvl w:val="0"/>
          <w:numId w:val="2"/>
        </w:numPr>
        <w:spacing w:after="120" w:line="240" w:lineRule="auto"/>
        <w:jc w:val="both"/>
        <w:rPr>
          <w:rFonts w:ascii="Adobe Caslon Pro" w:hAnsi="Adobe Caslon Pro" w:cs="Arial"/>
        </w:rPr>
      </w:pPr>
      <w:r w:rsidRPr="000907D3">
        <w:rPr>
          <w:rFonts w:ascii="Adobe Caslon Pro" w:hAnsi="Adobe Caslon Pro" w:cs="Arial"/>
        </w:rPr>
        <w:t>El 44.5% (182) de instancias son intra-estatales, donde sólo se encuentran actores gubernamentales.</w:t>
      </w:r>
    </w:p>
    <w:p w:rsidR="00D25F5B" w:rsidRPr="000907D3" w:rsidRDefault="00D25F5B" w:rsidP="0043286B">
      <w:pPr>
        <w:pStyle w:val="Prrafodelista"/>
        <w:numPr>
          <w:ilvl w:val="0"/>
          <w:numId w:val="2"/>
        </w:numPr>
        <w:spacing w:after="120" w:line="240" w:lineRule="auto"/>
        <w:jc w:val="both"/>
        <w:rPr>
          <w:rFonts w:ascii="Adobe Caslon Pro" w:hAnsi="Adobe Caslon Pro" w:cs="Arial"/>
        </w:rPr>
      </w:pPr>
      <w:r w:rsidRPr="000907D3">
        <w:rPr>
          <w:rFonts w:ascii="Adobe Caslon Pro" w:hAnsi="Adobe Caslon Pro" w:cs="Arial"/>
        </w:rPr>
        <w:t xml:space="preserve">El 31.8%(130) de las instancias públicas deliberativas son de tipo socio-estatal, es decir, participan instancias gubernamentales y no gubernamentales. </w:t>
      </w:r>
    </w:p>
    <w:p w:rsidR="00D25F5B" w:rsidRPr="000907D3" w:rsidRDefault="00D25F5B" w:rsidP="0043286B">
      <w:pPr>
        <w:pStyle w:val="Prrafodelista"/>
        <w:numPr>
          <w:ilvl w:val="0"/>
          <w:numId w:val="2"/>
        </w:numPr>
        <w:spacing w:after="120" w:line="240" w:lineRule="auto"/>
        <w:jc w:val="both"/>
        <w:rPr>
          <w:rFonts w:ascii="Adobe Caslon Pro" w:hAnsi="Adobe Caslon Pro" w:cs="Arial"/>
        </w:rPr>
      </w:pPr>
      <w:r w:rsidRPr="000907D3">
        <w:rPr>
          <w:rFonts w:ascii="Adobe Caslon Pro" w:hAnsi="Adobe Caslon Pro" w:cs="Arial"/>
        </w:rPr>
        <w:t xml:space="preserve">El 15.6% (64) son solamente sociales (no hay participantes gubernamentales) entre ellas se encuentran los Comités de Promoción Comunitaria del Programa de Desarrollo Humano Oportunidades, los Comités Locales de Salud del Programa Caravanas de Salud. </w:t>
      </w:r>
    </w:p>
    <w:p w:rsidR="00D25F5B" w:rsidRPr="000907D3" w:rsidRDefault="00D25F5B" w:rsidP="0043286B">
      <w:pPr>
        <w:pStyle w:val="Prrafodelista"/>
        <w:numPr>
          <w:ilvl w:val="0"/>
          <w:numId w:val="2"/>
        </w:numPr>
        <w:spacing w:after="120" w:line="240" w:lineRule="auto"/>
        <w:jc w:val="both"/>
        <w:rPr>
          <w:rFonts w:ascii="Adobe Caslon Pro" w:hAnsi="Adobe Caslon Pro" w:cs="Arial"/>
        </w:rPr>
      </w:pPr>
      <w:r w:rsidRPr="000907D3">
        <w:rPr>
          <w:rFonts w:ascii="Adobe Caslon Pro" w:hAnsi="Adobe Caslon Pro" w:cs="Arial"/>
        </w:rPr>
        <w:t>Sólo el 8.1% (33) son instancias estatal</w:t>
      </w:r>
      <w:r w:rsidR="0039496C">
        <w:rPr>
          <w:rFonts w:ascii="Adobe Caslon Pro" w:hAnsi="Adobe Caslon Pro" w:cs="Arial"/>
        </w:rPr>
        <w:t>es</w:t>
      </w:r>
      <w:r w:rsidRPr="000907D3">
        <w:rPr>
          <w:rFonts w:ascii="Adobe Caslon Pro" w:hAnsi="Adobe Caslon Pro" w:cs="Arial"/>
        </w:rPr>
        <w:t>-social</w:t>
      </w:r>
      <w:r w:rsidR="0039496C">
        <w:rPr>
          <w:rFonts w:ascii="Adobe Caslon Pro" w:hAnsi="Adobe Caslon Pro" w:cs="Arial"/>
        </w:rPr>
        <w:t>es</w:t>
      </w:r>
      <w:r w:rsidRPr="000907D3">
        <w:rPr>
          <w:rFonts w:ascii="Adobe Caslon Pro" w:hAnsi="Adobe Caslon Pro" w:cs="Arial"/>
        </w:rPr>
        <w:t xml:space="preserve"> en las que se puede invitar a reuniones específicas a actores no gubernamentales, pero sólo con voz, (ejemplo: Comités Estatales del Programa de Empleo Temporal de </w:t>
      </w:r>
      <w:r w:rsidR="002F714E">
        <w:rPr>
          <w:rFonts w:ascii="Adobe Caslon Pro" w:hAnsi="Adobe Caslon Pro" w:cs="Arial"/>
        </w:rPr>
        <w:t>SEDESOL</w:t>
      </w:r>
      <w:r w:rsidRPr="000907D3">
        <w:rPr>
          <w:rFonts w:ascii="Adobe Caslon Pro" w:hAnsi="Adobe Caslon Pro" w:cs="Arial"/>
        </w:rPr>
        <w:t xml:space="preserve">). </w:t>
      </w:r>
    </w:p>
    <w:p w:rsidR="00D25F5B" w:rsidRPr="000907D3" w:rsidRDefault="00D25F5B" w:rsidP="0043286B">
      <w:pPr>
        <w:pStyle w:val="Prrafodelista"/>
        <w:numPr>
          <w:ilvl w:val="0"/>
          <w:numId w:val="2"/>
        </w:numPr>
        <w:spacing w:after="120" w:line="240" w:lineRule="auto"/>
        <w:jc w:val="both"/>
        <w:rPr>
          <w:rFonts w:ascii="Adobe Caslon Pro" w:hAnsi="Adobe Caslon Pro" w:cs="Arial"/>
        </w:rPr>
      </w:pPr>
      <w:r w:rsidRPr="000907D3">
        <w:rPr>
          <w:rFonts w:ascii="Adobe Caslon Pro" w:hAnsi="Adobe Caslon Pro" w:cs="Arial"/>
        </w:rPr>
        <w:t xml:space="preserve">De las 409 instancias, 120 corresponden a políticas públicas de desarrollo social y recursos renovables, de las cuales 37 son socio-estatales y 28 sociales. </w:t>
      </w:r>
    </w:p>
    <w:p w:rsidR="00D25F5B" w:rsidRPr="000907D3" w:rsidRDefault="00D25F5B" w:rsidP="0043286B">
      <w:pPr>
        <w:spacing w:after="120" w:line="240" w:lineRule="auto"/>
        <w:jc w:val="both"/>
        <w:rPr>
          <w:rFonts w:ascii="Adobe Caslon Pro" w:hAnsi="Adobe Caslon Pro" w:cs="Arial"/>
        </w:rPr>
      </w:pPr>
      <w:r w:rsidRPr="000907D3">
        <w:rPr>
          <w:rFonts w:ascii="Adobe Caslon Pro" w:hAnsi="Adobe Caslon Pro" w:cs="Arial"/>
        </w:rPr>
        <w:t xml:space="preserve">Lo anterior evidencia que el mayor porcentaje de instancias colegiadas no involucra a la participación ciudadana. Las instancias que son casi en su totalidad ciudadanas (socio-estatales) son menos del 10%. En adición, el estudio reveló que de acuerdo con los ordenamientos legales correspondientes a las funciones de </w:t>
      </w:r>
      <w:r w:rsidRPr="000907D3">
        <w:rPr>
          <w:rFonts w:ascii="Adobe Caslon Pro" w:hAnsi="Adobe Caslon Pro" w:cs="Arial"/>
        </w:rPr>
        <w:lastRenderedPageBreak/>
        <w:t xml:space="preserve">los 409 ordenamientos, las que predominan son las de </w:t>
      </w:r>
      <w:r w:rsidRPr="000907D3">
        <w:rPr>
          <w:rFonts w:ascii="Adobe Caslon Pro" w:hAnsi="Adobe Caslon Pro" w:cs="Arial"/>
          <w:i/>
        </w:rPr>
        <w:t>consulta</w:t>
      </w:r>
      <w:r w:rsidRPr="000907D3">
        <w:rPr>
          <w:rFonts w:ascii="Adobe Caslon Pro" w:hAnsi="Adobe Caslon Pro" w:cs="Arial"/>
        </w:rPr>
        <w:t xml:space="preserve"> bajo la relación socio-estatal. En contraste, las actividades de </w:t>
      </w:r>
      <w:r w:rsidRPr="000907D3">
        <w:rPr>
          <w:rFonts w:ascii="Adobe Caslon Pro" w:hAnsi="Adobe Caslon Pro" w:cs="Arial"/>
          <w:i/>
        </w:rPr>
        <w:t>cogestión, planeación</w:t>
      </w:r>
      <w:r w:rsidRPr="000907D3">
        <w:rPr>
          <w:rFonts w:ascii="Adobe Caslon Pro" w:hAnsi="Adobe Caslon Pro" w:cs="Arial"/>
        </w:rPr>
        <w:t xml:space="preserve"> o </w:t>
      </w:r>
      <w:r w:rsidR="00506C95">
        <w:rPr>
          <w:rFonts w:ascii="Adobe Caslon Pro" w:hAnsi="Adobe Caslon Pro" w:cs="Arial"/>
          <w:i/>
        </w:rPr>
        <w:t>d</w:t>
      </w:r>
      <w:r w:rsidR="00506C95" w:rsidRPr="000907D3">
        <w:rPr>
          <w:rFonts w:ascii="Adobe Caslon Pro" w:hAnsi="Adobe Caslon Pro" w:cs="Arial"/>
          <w:i/>
        </w:rPr>
        <w:t>ictaminación</w:t>
      </w:r>
      <w:r w:rsidRPr="000907D3">
        <w:rPr>
          <w:rFonts w:ascii="Adobe Caslon Pro" w:hAnsi="Adobe Caslon Pro" w:cs="Arial"/>
          <w:i/>
        </w:rPr>
        <w:t xml:space="preserve"> de proyectos</w:t>
      </w:r>
      <w:r w:rsidRPr="000907D3">
        <w:rPr>
          <w:rFonts w:ascii="Adobe Caslon Pro" w:hAnsi="Adobe Caslon Pro" w:cs="Arial"/>
        </w:rPr>
        <w:t xml:space="preserve"> están en espacios deliberativos de carácter intra-gubernamental. </w:t>
      </w:r>
    </w:p>
    <w:p w:rsidR="00D25F5B" w:rsidRPr="000907D3" w:rsidRDefault="00A6528F" w:rsidP="0043286B">
      <w:pPr>
        <w:spacing w:after="120" w:line="240" w:lineRule="auto"/>
        <w:jc w:val="both"/>
        <w:rPr>
          <w:rFonts w:ascii="Adobe Caslon Pro" w:hAnsi="Adobe Caslon Pro" w:cs="Arial"/>
        </w:rPr>
      </w:pPr>
      <w:r w:rsidRPr="000907D3">
        <w:rPr>
          <w:rFonts w:ascii="Adobe Caslon Pro" w:hAnsi="Adobe Caslon Pro" w:cs="Arial"/>
        </w:rPr>
        <w:t>No obstante lo anterior, el g</w:t>
      </w:r>
      <w:r w:rsidR="00D25F5B" w:rsidRPr="000907D3">
        <w:rPr>
          <w:rFonts w:ascii="Adobe Caslon Pro" w:hAnsi="Adobe Caslon Pro" w:cs="Arial"/>
        </w:rPr>
        <w:t xml:space="preserve">obierno </w:t>
      </w:r>
      <w:r w:rsidRPr="000907D3">
        <w:rPr>
          <w:rFonts w:ascii="Adobe Caslon Pro" w:hAnsi="Adobe Caslon Pro" w:cs="Arial"/>
        </w:rPr>
        <w:t>federal</w:t>
      </w:r>
      <w:r w:rsidR="00D25F5B" w:rsidRPr="000907D3">
        <w:rPr>
          <w:rFonts w:ascii="Adobe Caslon Pro" w:hAnsi="Adobe Caslon Pro" w:cs="Arial"/>
        </w:rPr>
        <w:t xml:space="preserve"> ha impulsado figuras de participación social como son los comités comunitarios a través de los cuales </w:t>
      </w:r>
      <w:r w:rsidRPr="000907D3">
        <w:rPr>
          <w:rFonts w:ascii="Adobe Caslon Pro" w:hAnsi="Adobe Caslon Pro" w:cs="Arial"/>
        </w:rPr>
        <w:t>se</w:t>
      </w:r>
      <w:r w:rsidR="00D25F5B" w:rsidRPr="000907D3">
        <w:rPr>
          <w:rFonts w:ascii="Adobe Caslon Pro" w:hAnsi="Adobe Caslon Pro" w:cs="Arial"/>
        </w:rPr>
        <w:t xml:space="preserve"> at</w:t>
      </w:r>
      <w:r w:rsidR="0038718A">
        <w:rPr>
          <w:rFonts w:ascii="Adobe Caslon Pro" w:hAnsi="Adobe Caslon Pro" w:cs="Arial"/>
        </w:rPr>
        <w:t>ienden</w:t>
      </w:r>
      <w:r w:rsidR="00D25F5B" w:rsidRPr="000907D3">
        <w:rPr>
          <w:rFonts w:ascii="Adobe Caslon Pro" w:hAnsi="Adobe Caslon Pro" w:cs="Arial"/>
        </w:rPr>
        <w:t xml:space="preserve"> las demandas y necesidades prioritarias de las comunidades del país en el marco de la </w:t>
      </w:r>
      <w:r w:rsidR="002F714E">
        <w:rPr>
          <w:rFonts w:ascii="Adobe Caslon Pro" w:hAnsi="Adobe Caslon Pro" w:cs="Arial"/>
        </w:rPr>
        <w:t>CNcH</w:t>
      </w:r>
      <w:r w:rsidR="00D25F5B" w:rsidRPr="000907D3">
        <w:rPr>
          <w:rFonts w:ascii="Adobe Caslon Pro" w:hAnsi="Adobe Caslon Pro" w:cs="Arial"/>
        </w:rPr>
        <w:t>. Los comités comunitarios son el mecanismo tanto para conocer como para solucionar las carencias particulares de las localidades donde residen los grupos de población más vulnerables.</w:t>
      </w:r>
      <w:r w:rsidR="00D25F5B" w:rsidRPr="000907D3">
        <w:rPr>
          <w:rStyle w:val="Refdenotaalpie"/>
          <w:rFonts w:ascii="Adobe Caslon Pro" w:hAnsi="Adobe Caslon Pro" w:cs="Arial"/>
        </w:rPr>
        <w:footnoteReference w:id="8"/>
      </w:r>
    </w:p>
    <w:p w:rsidR="00D25F5B" w:rsidRPr="000907D3" w:rsidRDefault="00D25F5B" w:rsidP="0043286B">
      <w:pPr>
        <w:spacing w:after="120" w:line="240" w:lineRule="auto"/>
        <w:jc w:val="both"/>
        <w:rPr>
          <w:rFonts w:ascii="Adobe Caslon Pro" w:hAnsi="Adobe Caslon Pro" w:cs="Arial"/>
        </w:rPr>
      </w:pPr>
      <w:r w:rsidRPr="000907D3">
        <w:rPr>
          <w:rFonts w:ascii="Adobe Caslon Pro" w:hAnsi="Adobe Caslon Pro" w:cs="Arial"/>
        </w:rPr>
        <w:t xml:space="preserve">Entonces, </w:t>
      </w:r>
      <w:r w:rsidR="008C6458">
        <w:rPr>
          <w:rFonts w:ascii="Adobe Caslon Pro" w:hAnsi="Adobe Caslon Pro" w:cs="Arial"/>
        </w:rPr>
        <w:t>a pesar de que existen</w:t>
      </w:r>
      <w:r w:rsidRPr="000907D3">
        <w:rPr>
          <w:rFonts w:ascii="Adobe Caslon Pro" w:hAnsi="Adobe Caslon Pro" w:cs="Arial"/>
        </w:rPr>
        <w:t xml:space="preserve"> mecanismos que </w:t>
      </w:r>
      <w:r w:rsidR="00163E84" w:rsidRPr="000907D3">
        <w:rPr>
          <w:rFonts w:ascii="Adobe Caslon Pro" w:hAnsi="Adobe Caslon Pro" w:cs="Arial"/>
        </w:rPr>
        <w:t>tienen el objetivo de</w:t>
      </w:r>
      <w:r w:rsidRPr="000907D3">
        <w:rPr>
          <w:rFonts w:ascii="Adobe Caslon Pro" w:hAnsi="Adobe Caslon Pro" w:cs="Arial"/>
        </w:rPr>
        <w:t xml:space="preserve"> articular al </w:t>
      </w:r>
      <w:r w:rsidR="00163E84" w:rsidRPr="000907D3">
        <w:rPr>
          <w:rFonts w:ascii="Adobe Caslon Pro" w:hAnsi="Adobe Caslon Pro" w:cs="Arial"/>
        </w:rPr>
        <w:t>gobierno</w:t>
      </w:r>
      <w:r w:rsidRPr="000907D3">
        <w:rPr>
          <w:rFonts w:ascii="Adobe Caslon Pro" w:hAnsi="Adobe Caslon Pro" w:cs="Arial"/>
        </w:rPr>
        <w:t xml:space="preserve"> con la ciudadanía, aún existen áreas de oportunidad para impulsar una interacción efectiva, hacer a la sociedad más partícipe en la toma de decisiones y llegar más allá de solamente una consulta ciudadana. </w:t>
      </w:r>
    </w:p>
    <w:p w:rsidR="0043286B" w:rsidRDefault="0043286B" w:rsidP="0043286B">
      <w:pPr>
        <w:spacing w:after="120" w:line="240" w:lineRule="auto"/>
        <w:jc w:val="both"/>
        <w:rPr>
          <w:rFonts w:ascii="Adobe Caslon Pro" w:hAnsi="Adobe Caslon Pro" w:cs="Arial"/>
          <w:b/>
        </w:rPr>
      </w:pPr>
    </w:p>
    <w:p w:rsidR="00D25F5B" w:rsidRPr="00002226" w:rsidRDefault="00D25F5B" w:rsidP="0043286B">
      <w:pPr>
        <w:spacing w:after="120" w:line="240" w:lineRule="auto"/>
        <w:jc w:val="both"/>
        <w:rPr>
          <w:rFonts w:ascii="Adobe Caslon Pro" w:hAnsi="Adobe Caslon Pro" w:cs="Arial"/>
          <w:b/>
        </w:rPr>
      </w:pPr>
      <w:r w:rsidRPr="00002226">
        <w:rPr>
          <w:rFonts w:ascii="Adobe Caslon Pro" w:hAnsi="Adobe Caslon Pro" w:cs="Arial"/>
          <w:b/>
        </w:rPr>
        <w:t xml:space="preserve">Limitado interés político para fortalecer y desarrollar la participación de actores sociales </w:t>
      </w:r>
    </w:p>
    <w:p w:rsidR="00D25F5B" w:rsidRPr="000907D3" w:rsidRDefault="00D25F5B" w:rsidP="0043286B">
      <w:pPr>
        <w:spacing w:before="240" w:after="120" w:line="240" w:lineRule="auto"/>
        <w:jc w:val="both"/>
        <w:rPr>
          <w:rFonts w:ascii="Adobe Caslon Pro" w:hAnsi="Adobe Caslon Pro" w:cs="Arial"/>
        </w:rPr>
      </w:pPr>
      <w:r w:rsidRPr="000907D3">
        <w:rPr>
          <w:rFonts w:ascii="Adobe Caslon Pro" w:hAnsi="Adobe Caslon Pro" w:cs="Arial"/>
        </w:rPr>
        <w:t xml:space="preserve">Otra causa que explica que los actores sociales sigan presentando limitaciones para la realización de sus actividades es que no se ha logrado que </w:t>
      </w:r>
      <w:r w:rsidR="00163E84" w:rsidRPr="000907D3">
        <w:rPr>
          <w:rFonts w:ascii="Adobe Caslon Pro" w:hAnsi="Adobe Caslon Pro" w:cs="Arial"/>
        </w:rPr>
        <w:t>las instituciones del</w:t>
      </w:r>
      <w:r w:rsidRPr="000907D3">
        <w:rPr>
          <w:rFonts w:ascii="Adobe Caslon Pro" w:hAnsi="Adobe Caslon Pro" w:cs="Arial"/>
        </w:rPr>
        <w:t xml:space="preserve"> Estado en su conjunto los considere como aliados en varias de sus tareas, entre ellas, las que </w:t>
      </w:r>
      <w:r w:rsidR="00E8188C" w:rsidRPr="000907D3">
        <w:rPr>
          <w:rFonts w:ascii="Adobe Caslon Pro" w:hAnsi="Adobe Caslon Pro" w:cs="Arial"/>
        </w:rPr>
        <w:t xml:space="preserve">desarrollan acciones de combate al rezago social y vulnerabilidad de la población así como </w:t>
      </w:r>
      <w:r w:rsidR="00304961">
        <w:rPr>
          <w:rFonts w:ascii="Adobe Caslon Pro" w:hAnsi="Adobe Caslon Pro" w:cs="Arial"/>
        </w:rPr>
        <w:t>el fomento de</w:t>
      </w:r>
      <w:r w:rsidR="00E8188C" w:rsidRPr="000907D3">
        <w:rPr>
          <w:rFonts w:ascii="Adobe Caslon Pro" w:hAnsi="Adobe Caslon Pro" w:cs="Arial"/>
        </w:rPr>
        <w:t xml:space="preserve"> la cohesión social. </w:t>
      </w:r>
    </w:p>
    <w:p w:rsidR="00D25F5B" w:rsidRPr="000907D3" w:rsidRDefault="00D25F5B" w:rsidP="0043286B">
      <w:pPr>
        <w:spacing w:after="120" w:line="240" w:lineRule="auto"/>
        <w:jc w:val="both"/>
        <w:rPr>
          <w:rFonts w:ascii="Adobe Caslon Pro" w:hAnsi="Adobe Caslon Pro" w:cs="Arial"/>
        </w:rPr>
      </w:pPr>
      <w:r w:rsidRPr="000907D3">
        <w:rPr>
          <w:rFonts w:ascii="Adobe Caslon Pro" w:hAnsi="Adobe Caslon Pro" w:cs="Arial"/>
        </w:rPr>
        <w:t xml:space="preserve">A mediados de los </w:t>
      </w:r>
      <w:r w:rsidR="00163E84" w:rsidRPr="000907D3">
        <w:rPr>
          <w:rFonts w:ascii="Adobe Caslon Pro" w:hAnsi="Adobe Caslon Pro" w:cs="Arial"/>
        </w:rPr>
        <w:t>noventas</w:t>
      </w:r>
      <w:r w:rsidRPr="000907D3">
        <w:rPr>
          <w:rFonts w:ascii="Adobe Caslon Pro" w:hAnsi="Adobe Caslon Pro" w:cs="Arial"/>
        </w:rPr>
        <w:t xml:space="preserve"> emergieron organizaciones formadas por profesionistas </w:t>
      </w:r>
      <w:r w:rsidR="00163E84" w:rsidRPr="000907D3">
        <w:rPr>
          <w:rFonts w:ascii="Adobe Caslon Pro" w:hAnsi="Adobe Caslon Pro" w:cs="Arial"/>
        </w:rPr>
        <w:t>que</w:t>
      </w:r>
      <w:r w:rsidRPr="000907D3">
        <w:rPr>
          <w:rFonts w:ascii="Adobe Caslon Pro" w:hAnsi="Adobe Caslon Pro" w:cs="Arial"/>
        </w:rPr>
        <w:t xml:space="preserve"> introduj</w:t>
      </w:r>
      <w:r w:rsidR="00163E84" w:rsidRPr="000907D3">
        <w:rPr>
          <w:rFonts w:ascii="Adobe Caslon Pro" w:hAnsi="Adobe Caslon Pro" w:cs="Arial"/>
        </w:rPr>
        <w:t>eron</w:t>
      </w:r>
      <w:r w:rsidRPr="000907D3">
        <w:rPr>
          <w:rFonts w:ascii="Adobe Caslon Pro" w:hAnsi="Adobe Caslon Pro" w:cs="Arial"/>
        </w:rPr>
        <w:t xml:space="preserve"> un nuevo actuar para con el Estado en el qu</w:t>
      </w:r>
      <w:r w:rsidR="00163E84" w:rsidRPr="000907D3">
        <w:rPr>
          <w:rFonts w:ascii="Adobe Caslon Pro" w:hAnsi="Adobe Caslon Pro" w:cs="Arial"/>
        </w:rPr>
        <w:t>e las organizaciones sociales</w:t>
      </w:r>
      <w:r w:rsidRPr="000907D3">
        <w:rPr>
          <w:rFonts w:ascii="Adobe Caslon Pro" w:hAnsi="Adobe Caslon Pro" w:cs="Arial"/>
        </w:rPr>
        <w:t xml:space="preserve"> visualizan </w:t>
      </w:r>
      <w:r w:rsidR="00163E84" w:rsidRPr="000907D3">
        <w:rPr>
          <w:rFonts w:ascii="Adobe Caslon Pro" w:hAnsi="Adobe Caslon Pro" w:cs="Arial"/>
        </w:rPr>
        <w:t xml:space="preserve">a </w:t>
      </w:r>
      <w:r w:rsidR="00C10FA8">
        <w:rPr>
          <w:rFonts w:ascii="Adobe Caslon Pro" w:hAnsi="Adobe Caslon Pro" w:cs="Arial"/>
        </w:rPr>
        <w:t>é</w:t>
      </w:r>
      <w:r w:rsidR="00163E84" w:rsidRPr="000907D3">
        <w:rPr>
          <w:rFonts w:ascii="Adobe Caslon Pro" w:hAnsi="Adobe Caslon Pro" w:cs="Arial"/>
        </w:rPr>
        <w:t xml:space="preserve">ste </w:t>
      </w:r>
      <w:r w:rsidRPr="000907D3">
        <w:rPr>
          <w:rFonts w:ascii="Adobe Caslon Pro" w:hAnsi="Adobe Caslon Pro" w:cs="Arial"/>
        </w:rPr>
        <w:t>como un colaborador</w:t>
      </w:r>
      <w:r w:rsidR="00163E84" w:rsidRPr="000907D3">
        <w:rPr>
          <w:rFonts w:ascii="Adobe Caslon Pro" w:hAnsi="Adobe Caslon Pro" w:cs="Arial"/>
        </w:rPr>
        <w:t>,</w:t>
      </w:r>
      <w:r w:rsidRPr="000907D3">
        <w:rPr>
          <w:rFonts w:ascii="Adobe Caslon Pro" w:hAnsi="Adobe Caslon Pro" w:cs="Arial"/>
        </w:rPr>
        <w:t xml:space="preserve"> y se inicia un despliegue de proyectos de política social combinado entre el Estado y las organizaciones sociales. Si bien existían algunos mecanismos que pretendían la articulación entre actores sociales y gubernamentales, sólo </w:t>
      </w:r>
      <w:r w:rsidR="00163E84" w:rsidRPr="000907D3">
        <w:rPr>
          <w:rFonts w:ascii="Adobe Caslon Pro" w:hAnsi="Adobe Caslon Pro" w:cs="Arial"/>
        </w:rPr>
        <w:t>existía</w:t>
      </w:r>
      <w:r w:rsidR="00304961">
        <w:rPr>
          <w:rFonts w:ascii="Adobe Caslon Pro" w:hAnsi="Adobe Caslon Pro" w:cs="Arial"/>
        </w:rPr>
        <w:t>n</w:t>
      </w:r>
      <w:r w:rsidRPr="000907D3">
        <w:rPr>
          <w:rFonts w:ascii="Adobe Caslon Pro" w:hAnsi="Adobe Caslon Pro" w:cs="Arial"/>
        </w:rPr>
        <w:t xml:space="preserve"> en papel</w:t>
      </w:r>
      <w:r w:rsidR="00163E84" w:rsidRPr="000907D3">
        <w:rPr>
          <w:rFonts w:ascii="Adobe Caslon Pro" w:hAnsi="Adobe Caslon Pro" w:cs="Arial"/>
        </w:rPr>
        <w:t xml:space="preserve"> y no se </w:t>
      </w:r>
      <w:r w:rsidR="00DE29AF" w:rsidRPr="000907D3">
        <w:rPr>
          <w:rFonts w:ascii="Adobe Caslon Pro" w:hAnsi="Adobe Caslon Pro" w:cs="Arial"/>
        </w:rPr>
        <w:t>materializaron</w:t>
      </w:r>
      <w:r w:rsidR="00163E84" w:rsidRPr="000907D3">
        <w:rPr>
          <w:rFonts w:ascii="Adobe Caslon Pro" w:hAnsi="Adobe Caslon Pro" w:cs="Arial"/>
        </w:rPr>
        <w:t xml:space="preserve"> en acciones precisas</w:t>
      </w:r>
      <w:r w:rsidRPr="000907D3">
        <w:rPr>
          <w:rFonts w:ascii="Adobe Caslon Pro" w:hAnsi="Adobe Caslon Pro" w:cs="Arial"/>
        </w:rPr>
        <w:t xml:space="preserve">. Por ejemplo, si bien a finales de los </w:t>
      </w:r>
      <w:r w:rsidR="00163E84" w:rsidRPr="000907D3">
        <w:rPr>
          <w:rFonts w:ascii="Adobe Caslon Pro" w:hAnsi="Adobe Caslon Pro" w:cs="Arial"/>
        </w:rPr>
        <w:t>ochentas</w:t>
      </w:r>
      <w:r w:rsidRPr="000907D3">
        <w:rPr>
          <w:rFonts w:ascii="Adobe Caslon Pro" w:hAnsi="Adobe Caslon Pro" w:cs="Arial"/>
        </w:rPr>
        <w:t xml:space="preserve"> se institucionalizó el concepto de contraloría social mediante el Programa Solidaridad, pasaron 15 años, para que con la publicación de los Lineamientos para la Promoción y Operación de la Contraloría Social en los Programas Federales de Desarrollo (2008) </w:t>
      </w:r>
      <w:r w:rsidR="00E32FC1">
        <w:rPr>
          <w:rFonts w:ascii="Adobe Caslon Pro" w:hAnsi="Adobe Caslon Pro" w:cs="Arial"/>
        </w:rPr>
        <w:t xml:space="preserve">se pasara </w:t>
      </w:r>
      <w:r w:rsidRPr="000907D3">
        <w:rPr>
          <w:rFonts w:ascii="Adobe Caslon Pro" w:hAnsi="Adobe Caslon Pro" w:cs="Arial"/>
        </w:rPr>
        <w:t xml:space="preserve">de lo escrito a la práctica. También </w:t>
      </w:r>
      <w:r w:rsidR="00163E84" w:rsidRPr="000907D3">
        <w:rPr>
          <w:rFonts w:ascii="Adobe Caslon Pro" w:hAnsi="Adobe Caslon Pro" w:cs="Arial"/>
        </w:rPr>
        <w:t xml:space="preserve">el </w:t>
      </w:r>
      <w:r w:rsidR="00940E10">
        <w:rPr>
          <w:rFonts w:ascii="Adobe Caslon Pro" w:hAnsi="Adobe Caslon Pro" w:cs="Arial"/>
        </w:rPr>
        <w:t>PND</w:t>
      </w:r>
      <w:r w:rsidR="00163E84" w:rsidRPr="000907D3">
        <w:rPr>
          <w:rFonts w:ascii="Adobe Caslon Pro" w:hAnsi="Adobe Caslon Pro" w:cs="Arial"/>
        </w:rPr>
        <w:t xml:space="preserve"> 1995-2000</w:t>
      </w:r>
      <w:r w:rsidRPr="000907D3">
        <w:rPr>
          <w:rFonts w:ascii="Adobe Caslon Pro" w:hAnsi="Adobe Caslon Pro" w:cs="Arial"/>
        </w:rPr>
        <w:t xml:space="preserve"> mencionaba la inclusión de las organizaciones ciudadanas como parte de una estrategia de gobierno para f</w:t>
      </w:r>
      <w:r w:rsidR="0038718A">
        <w:rPr>
          <w:rFonts w:ascii="Adobe Caslon Pro" w:hAnsi="Adobe Caslon Pro" w:cs="Arial"/>
        </w:rPr>
        <w:t>ortalecer el desarrollo social</w:t>
      </w:r>
      <w:r w:rsidRPr="000907D3">
        <w:rPr>
          <w:rFonts w:ascii="Adobe Caslon Pro" w:hAnsi="Adobe Caslon Pro" w:cs="Arial"/>
        </w:rPr>
        <w:t xml:space="preserve"> (</w:t>
      </w:r>
      <w:r w:rsidR="00CF2A1D">
        <w:rPr>
          <w:rFonts w:ascii="Adobe Caslon Pro" w:hAnsi="Adobe Caslon Pro" w:cs="Arial"/>
          <w:i/>
        </w:rPr>
        <w:t>v</w:t>
      </w:r>
      <w:r w:rsidRPr="000907D3">
        <w:rPr>
          <w:rFonts w:ascii="Adobe Caslon Pro" w:hAnsi="Adobe Caslon Pro" w:cs="Arial"/>
          <w:i/>
        </w:rPr>
        <w:t>e</w:t>
      </w:r>
      <w:r w:rsidR="00CF2A1D">
        <w:rPr>
          <w:rFonts w:ascii="Adobe Caslon Pro" w:hAnsi="Adobe Caslon Pro" w:cs="Arial"/>
          <w:i/>
        </w:rPr>
        <w:t>r</w:t>
      </w:r>
      <w:r w:rsidR="00163E84" w:rsidRPr="000907D3">
        <w:rPr>
          <w:rFonts w:ascii="Adobe Caslon Pro" w:hAnsi="Adobe Caslon Pro" w:cs="Arial"/>
        </w:rPr>
        <w:t xml:space="preserve"> Favela, 2004 y</w:t>
      </w:r>
      <w:r w:rsidRPr="000907D3">
        <w:rPr>
          <w:rFonts w:ascii="Adobe Caslon Pro" w:hAnsi="Adobe Caslon Pro" w:cs="Arial"/>
        </w:rPr>
        <w:t xml:space="preserve"> Ocejo, 2011).</w:t>
      </w:r>
    </w:p>
    <w:p w:rsidR="00D25F5B" w:rsidRPr="000907D3" w:rsidRDefault="00D25F5B" w:rsidP="0043286B">
      <w:pPr>
        <w:spacing w:after="120" w:line="240" w:lineRule="auto"/>
        <w:jc w:val="both"/>
        <w:rPr>
          <w:rFonts w:ascii="Adobe Caslon Pro" w:hAnsi="Adobe Caslon Pro" w:cs="Arial"/>
        </w:rPr>
      </w:pPr>
      <w:r w:rsidRPr="000907D3">
        <w:rPr>
          <w:rFonts w:ascii="Adobe Caslon Pro" w:hAnsi="Adobe Caslon Pro" w:cs="Arial"/>
        </w:rPr>
        <w:t xml:space="preserve">Posteriormente, a finales de los </w:t>
      </w:r>
      <w:r w:rsidR="00163E84" w:rsidRPr="000907D3">
        <w:rPr>
          <w:rFonts w:ascii="Adobe Caslon Pro" w:hAnsi="Adobe Caslon Pro" w:cs="Arial"/>
        </w:rPr>
        <w:t>noventas</w:t>
      </w:r>
      <w:r w:rsidRPr="000907D3">
        <w:rPr>
          <w:rFonts w:ascii="Adobe Caslon Pro" w:hAnsi="Adobe Caslon Pro" w:cs="Arial"/>
        </w:rPr>
        <w:t xml:space="preserve"> y para el inicio de la primera década del presente siglo, se introducen cambios de enfoque en algunas OSC, las cuales combinan el apoyo y fortalecimiento de grupos de </w:t>
      </w:r>
      <w:r w:rsidRPr="000907D3">
        <w:rPr>
          <w:rFonts w:ascii="Adobe Caslon Pro" w:hAnsi="Adobe Caslon Pro" w:cs="Arial"/>
        </w:rPr>
        <w:lastRenderedPageBreak/>
        <w:t>la población a los que atienden (Ocejo, 2011). Asimismo, a partir de 2003 los actores sociales empezaron a ganar espacios</w:t>
      </w:r>
      <w:r w:rsidR="0090143E" w:rsidRPr="000907D3">
        <w:rPr>
          <w:rFonts w:ascii="Adobe Caslon Pro" w:hAnsi="Adobe Caslon Pro" w:cs="Arial"/>
        </w:rPr>
        <w:t>,</w:t>
      </w:r>
      <w:r w:rsidR="001F0D4E">
        <w:rPr>
          <w:rFonts w:ascii="Adobe Caslon Pro" w:hAnsi="Adobe Caslon Pro" w:cs="Arial"/>
        </w:rPr>
        <w:t xml:space="preserve"> </w:t>
      </w:r>
      <w:r w:rsidRPr="000907D3">
        <w:rPr>
          <w:rFonts w:ascii="Adobe Caslon Pro" w:hAnsi="Adobe Caslon Pro" w:cs="Arial"/>
        </w:rPr>
        <w:t>se publicaron nuevas leyes que los reconocieron como entes de interés público y se inició un nuevo impulso desde el Estado. No obstante, como Ocejo (2011) menciona, las OSC siguen siendo vistas como receptoras o ejecutoras sin una auténtica relación de c</w:t>
      </w:r>
      <w:r w:rsidR="004E0E4A" w:rsidRPr="000907D3">
        <w:rPr>
          <w:rFonts w:ascii="Adobe Caslon Pro" w:hAnsi="Adobe Caslon Pro" w:cs="Arial"/>
        </w:rPr>
        <w:t>omplementariedad, en la que amba</w:t>
      </w:r>
      <w:r w:rsidRPr="000907D3">
        <w:rPr>
          <w:rFonts w:ascii="Adobe Caslon Pro" w:hAnsi="Adobe Caslon Pro" w:cs="Arial"/>
        </w:rPr>
        <w:t xml:space="preserve">s </w:t>
      </w:r>
      <w:r w:rsidR="004E0E4A" w:rsidRPr="000907D3">
        <w:rPr>
          <w:rFonts w:ascii="Adobe Caslon Pro" w:hAnsi="Adobe Caslon Pro" w:cs="Arial"/>
        </w:rPr>
        <w:t xml:space="preserve">partes </w:t>
      </w:r>
      <w:r w:rsidRPr="000907D3">
        <w:rPr>
          <w:rFonts w:ascii="Adobe Caslon Pro" w:hAnsi="Adobe Caslon Pro" w:cs="Arial"/>
        </w:rPr>
        <w:t xml:space="preserve">reconozcan tener </w:t>
      </w:r>
      <w:r w:rsidR="004E0E4A" w:rsidRPr="000907D3">
        <w:rPr>
          <w:rFonts w:ascii="Adobe Caslon Pro" w:hAnsi="Adobe Caslon Pro" w:cs="Arial"/>
        </w:rPr>
        <w:t xml:space="preserve">los </w:t>
      </w:r>
      <w:r w:rsidRPr="000907D3">
        <w:rPr>
          <w:rFonts w:ascii="Adobe Caslon Pro" w:hAnsi="Adobe Caslon Pro" w:cs="Arial"/>
        </w:rPr>
        <w:t xml:space="preserve">mismos fines </w:t>
      </w:r>
      <w:r w:rsidR="0038718A">
        <w:rPr>
          <w:rFonts w:ascii="Adobe Caslon Pro" w:hAnsi="Adobe Caslon Pro" w:cs="Arial"/>
        </w:rPr>
        <w:t>a pesar de contar con medios diferentes</w:t>
      </w:r>
      <w:r w:rsidRPr="000907D3">
        <w:rPr>
          <w:rFonts w:ascii="Adobe Caslon Pro" w:hAnsi="Adobe Caslon Pro" w:cs="Arial"/>
        </w:rPr>
        <w:t>.</w:t>
      </w:r>
    </w:p>
    <w:p w:rsidR="00D25F5B" w:rsidRPr="000907D3" w:rsidRDefault="00D25F5B" w:rsidP="0043286B">
      <w:pPr>
        <w:spacing w:after="120" w:line="240" w:lineRule="auto"/>
        <w:jc w:val="both"/>
        <w:rPr>
          <w:rFonts w:ascii="Adobe Caslon Pro" w:hAnsi="Adobe Caslon Pro" w:cs="Arial"/>
        </w:rPr>
      </w:pPr>
      <w:r w:rsidRPr="000907D3">
        <w:rPr>
          <w:rFonts w:ascii="Adobe Caslon Pro" w:hAnsi="Adobe Caslon Pro" w:cs="Arial"/>
        </w:rPr>
        <w:t xml:space="preserve">Lo antes expuesto deja ver que en las apenas dos décadas en las que se ha promovido desde el Estado la participación de la ciudadanía, la relación </w:t>
      </w:r>
      <w:r w:rsidR="004E0E4A" w:rsidRPr="000907D3">
        <w:rPr>
          <w:rFonts w:ascii="Adobe Caslon Pro" w:hAnsi="Adobe Caslon Pro" w:cs="Arial"/>
        </w:rPr>
        <w:t xml:space="preserve">que ha predominado </w:t>
      </w:r>
      <w:r w:rsidRPr="000907D3">
        <w:rPr>
          <w:rFonts w:ascii="Adobe Caslon Pro" w:hAnsi="Adobe Caslon Pro" w:cs="Arial"/>
        </w:rPr>
        <w:t>entre ambos es de colaboración. No obstante, la asimilación de la idea de que los actores sociales contribuyen a través de visiones alternativas a las mismas tareas sociales del gobierno ha</w:t>
      </w:r>
      <w:r w:rsidR="004E0E4A" w:rsidRPr="000907D3">
        <w:rPr>
          <w:rFonts w:ascii="Adobe Caslon Pro" w:hAnsi="Adobe Caslon Pro" w:cs="Arial"/>
        </w:rPr>
        <w:t xml:space="preserve"> sido todavía de forma parcial, por lo que </w:t>
      </w:r>
      <w:r w:rsidR="00DE29AF" w:rsidRPr="000907D3">
        <w:rPr>
          <w:rFonts w:ascii="Adobe Caslon Pro" w:hAnsi="Adobe Caslon Pro" w:cs="Arial"/>
        </w:rPr>
        <w:t>todavía</w:t>
      </w:r>
      <w:r w:rsidR="004E0E4A" w:rsidRPr="000907D3">
        <w:rPr>
          <w:rFonts w:ascii="Adobe Caslon Pro" w:hAnsi="Adobe Caslon Pro" w:cs="Arial"/>
        </w:rPr>
        <w:t xml:space="preserve"> existen retos que se deben superar para lograr una relación plenamente articulada entre gobierno y sociedad civil. </w:t>
      </w:r>
    </w:p>
    <w:p w:rsidR="0056695B" w:rsidRDefault="0056695B" w:rsidP="0043286B">
      <w:pPr>
        <w:spacing w:after="120" w:line="240" w:lineRule="auto"/>
        <w:jc w:val="both"/>
        <w:rPr>
          <w:rFonts w:ascii="Adobe Caslon Pro" w:hAnsi="Adobe Caslon Pro" w:cs="Arial"/>
          <w:b/>
        </w:rPr>
      </w:pPr>
    </w:p>
    <w:p w:rsidR="00D25F5B" w:rsidRPr="000907D3" w:rsidRDefault="00D25F5B" w:rsidP="0043286B">
      <w:pPr>
        <w:spacing w:after="120" w:line="240" w:lineRule="auto"/>
        <w:jc w:val="both"/>
        <w:rPr>
          <w:rFonts w:ascii="Adobe Caslon Pro" w:hAnsi="Adobe Caslon Pro" w:cs="Arial"/>
          <w:b/>
        </w:rPr>
      </w:pPr>
      <w:r w:rsidRPr="000907D3">
        <w:rPr>
          <w:rFonts w:ascii="Adobe Caslon Pro" w:hAnsi="Adobe Caslon Pro" w:cs="Arial"/>
          <w:b/>
        </w:rPr>
        <w:t>Limitados recursos públicos para la realización de acciones de desarrollo social por parte de los actores sociales</w:t>
      </w:r>
    </w:p>
    <w:p w:rsidR="00D25F5B" w:rsidRPr="000907D3" w:rsidRDefault="00D25F5B" w:rsidP="0043286B">
      <w:pPr>
        <w:spacing w:before="240" w:after="120" w:line="240" w:lineRule="auto"/>
        <w:jc w:val="both"/>
        <w:rPr>
          <w:rFonts w:ascii="Adobe Caslon Pro" w:hAnsi="Adobe Caslon Pro" w:cs="Arial"/>
        </w:rPr>
      </w:pPr>
      <w:r w:rsidRPr="000907D3">
        <w:rPr>
          <w:rFonts w:ascii="Adobe Caslon Pro" w:hAnsi="Adobe Caslon Pro" w:cs="Arial"/>
        </w:rPr>
        <w:t>La postura en la que el Estado sigue teniendo como reto concebir la participación de la sociedad como un aliado para avanzar en el desarrollo social se observa en los apoyos y estímulos económicos que ofrece a este sector. En la práctica tanto por parte de la sociedad como por el Estado, prevalecen ciertas debilidades para la implementación e instrumentación conjunta de acciones de política social. Del lado de las OSC, por una clara reticencia de muchas organizaciones hacia la autoridad, que las lleva a evitar algún vínculo con el Estado para no ver disminuida su autonomía (Ablanedo, 2009) y por el lado del Estado, por la postura crítica que tradicionalmente asumen los actores sociales, que</w:t>
      </w:r>
      <w:r w:rsidR="0073006E">
        <w:rPr>
          <w:rFonts w:ascii="Adobe Caslon Pro" w:hAnsi="Adobe Caslon Pro" w:cs="Arial"/>
        </w:rPr>
        <w:t>,</w:t>
      </w:r>
      <w:r w:rsidRPr="000907D3">
        <w:rPr>
          <w:rFonts w:ascii="Adobe Caslon Pro" w:hAnsi="Adobe Caslon Pro" w:cs="Arial"/>
        </w:rPr>
        <w:t xml:space="preserve"> en muchas ocasiones</w:t>
      </w:r>
      <w:r w:rsidR="0073006E">
        <w:rPr>
          <w:rFonts w:ascii="Adobe Caslon Pro" w:hAnsi="Adobe Caslon Pro" w:cs="Arial"/>
        </w:rPr>
        <w:t>,</w:t>
      </w:r>
      <w:r w:rsidRPr="000907D3">
        <w:rPr>
          <w:rFonts w:ascii="Adobe Caslon Pro" w:hAnsi="Adobe Caslon Pro" w:cs="Arial"/>
        </w:rPr>
        <w:t xml:space="preserve"> cuestiona las decisiones de políticas públicas.</w:t>
      </w:r>
    </w:p>
    <w:p w:rsidR="00D25F5B" w:rsidRPr="000907D3" w:rsidRDefault="00D25F5B" w:rsidP="0043286B">
      <w:pPr>
        <w:spacing w:after="120" w:line="240" w:lineRule="auto"/>
        <w:jc w:val="both"/>
        <w:rPr>
          <w:rFonts w:ascii="Adobe Caslon Pro" w:hAnsi="Adobe Caslon Pro" w:cs="Arial"/>
        </w:rPr>
      </w:pPr>
      <w:r w:rsidRPr="000907D3">
        <w:rPr>
          <w:rFonts w:ascii="Adobe Caslon Pro" w:hAnsi="Adobe Caslon Pro" w:cs="Arial"/>
        </w:rPr>
        <w:t>En pro de la autonomía, las OSC</w:t>
      </w:r>
      <w:r w:rsidR="00304961">
        <w:rPr>
          <w:rFonts w:ascii="Adobe Caslon Pro" w:hAnsi="Adobe Caslon Pro" w:cs="Arial"/>
        </w:rPr>
        <w:t>,</w:t>
      </w:r>
      <w:r w:rsidRPr="000907D3">
        <w:rPr>
          <w:rFonts w:ascii="Adobe Caslon Pro" w:hAnsi="Adobe Caslon Pro" w:cs="Arial"/>
        </w:rPr>
        <w:t xml:space="preserve"> en ocasiones, no cuentan siquiera con un registro formal, lo que en términos de la obtención de recursos públicos resulta una clara limitante. En cuanto a la posición del Estado a pesar de los avances de orden normativo, los recursos destinados para apoyar las actividades de los actores sociales son todavía muy reducidos en comparación con otras fuentes de financiamiento con las que cuentan los actores sociales (filantropía y los de autogeneración). </w:t>
      </w:r>
    </w:p>
    <w:p w:rsidR="00D25F5B" w:rsidRPr="000907D3" w:rsidRDefault="00D25F5B" w:rsidP="0043286B">
      <w:pPr>
        <w:spacing w:after="120" w:line="240" w:lineRule="auto"/>
        <w:jc w:val="both"/>
        <w:rPr>
          <w:rFonts w:ascii="Adobe Caslon Pro" w:hAnsi="Adobe Caslon Pro" w:cs="Arial"/>
        </w:rPr>
      </w:pPr>
      <w:r w:rsidRPr="000907D3">
        <w:rPr>
          <w:rFonts w:ascii="Adobe Caslon Pro" w:hAnsi="Adobe Caslon Pro" w:cs="Arial"/>
        </w:rPr>
        <w:t xml:space="preserve">Ablanedo (2009), recoge un estudio realizado hace algunos años por la Universidad Johns Hopkins, en el que se observa que los recursos públicos de los que disponen las OSC en México representan tan solo el 9% del total de su presupuesto, mientras que los recursos propios significan alrededor de 85%. En contraste, el promedio del presupuesto de las OSC de los países en desarrollo que tienen su origen en recursos públicos es de 22% y los recursos propios son el 53%; si la comparación se hace con los países desarrollados, la brecha </w:t>
      </w:r>
      <w:r w:rsidRPr="000907D3">
        <w:rPr>
          <w:rFonts w:ascii="Adobe Caslon Pro" w:hAnsi="Adobe Caslon Pro" w:cs="Arial"/>
        </w:rPr>
        <w:lastRenderedPageBreak/>
        <w:t>existente es mucho mayor. Cabe destacar que en Chile, los ingresos provenientes del sector público alcanzan el 46% de las distintas fuentes de financiamiento.</w:t>
      </w:r>
    </w:p>
    <w:p w:rsidR="00D25F5B" w:rsidRPr="000907D3" w:rsidRDefault="00D25F5B" w:rsidP="0043286B">
      <w:pPr>
        <w:spacing w:after="120" w:line="240" w:lineRule="auto"/>
        <w:jc w:val="both"/>
        <w:rPr>
          <w:rFonts w:ascii="Adobe Caslon Pro" w:hAnsi="Adobe Caslon Pro" w:cs="Arial"/>
        </w:rPr>
      </w:pPr>
      <w:r w:rsidRPr="000907D3">
        <w:rPr>
          <w:rFonts w:ascii="Adobe Caslon Pro" w:hAnsi="Adobe Caslon Pro" w:cs="Arial"/>
        </w:rPr>
        <w:t>Además de no ser grande el porcentaje de recursos públicos, el financiamiento público tiene la característica de ser de corto plazo (</w:t>
      </w:r>
      <w:r w:rsidR="004E0E4A" w:rsidRPr="000907D3">
        <w:rPr>
          <w:rFonts w:ascii="Adobe Caslon Pro" w:hAnsi="Adobe Caslon Pro" w:cs="Arial"/>
        </w:rPr>
        <w:t xml:space="preserve">de </w:t>
      </w:r>
      <w:r w:rsidRPr="000907D3">
        <w:rPr>
          <w:rFonts w:ascii="Adobe Caslon Pro" w:hAnsi="Adobe Caslon Pro" w:cs="Arial"/>
        </w:rPr>
        <w:t>dos a ocho meses)</w:t>
      </w:r>
      <w:r w:rsidRPr="000907D3">
        <w:rPr>
          <w:rStyle w:val="Refdenotaalpie"/>
          <w:rFonts w:ascii="Adobe Caslon Pro" w:hAnsi="Adobe Caslon Pro" w:cs="Arial"/>
        </w:rPr>
        <w:footnoteReference w:id="9"/>
      </w:r>
      <w:r w:rsidR="0073006E">
        <w:rPr>
          <w:rFonts w:ascii="Adobe Caslon Pro" w:hAnsi="Adobe Caslon Pro" w:cs="Arial"/>
        </w:rPr>
        <w:t>.</w:t>
      </w:r>
      <w:r w:rsidR="00987332">
        <w:rPr>
          <w:rFonts w:ascii="Adobe Caslon Pro" w:hAnsi="Adobe Caslon Pro" w:cs="Arial"/>
        </w:rPr>
        <w:t xml:space="preserve"> </w:t>
      </w:r>
      <w:r w:rsidR="0073006E">
        <w:rPr>
          <w:rFonts w:ascii="Adobe Caslon Pro" w:hAnsi="Adobe Caslon Pro" w:cs="Arial"/>
        </w:rPr>
        <w:t>L</w:t>
      </w:r>
      <w:r w:rsidR="004E0E4A" w:rsidRPr="000907D3">
        <w:rPr>
          <w:rFonts w:ascii="Adobe Caslon Pro" w:hAnsi="Adobe Caslon Pro" w:cs="Arial"/>
        </w:rPr>
        <w:t>o anterior, aunado</w:t>
      </w:r>
      <w:r w:rsidRPr="000907D3">
        <w:rPr>
          <w:rFonts w:ascii="Adobe Caslon Pro" w:hAnsi="Adobe Caslon Pro" w:cs="Arial"/>
        </w:rPr>
        <w:t xml:space="preserve"> a montos que no rebasan el millón de pesos (explicado por el bajo presupuesto para las actividades realizadas por los actores sociales) limita las posibilidades de puesta en marcha de programas de los actores sociales que prestan servicios con financiamiento público durante todo el año. Además, para ampliar las posibilidades de recibir donativos privados y poder solicitar financiamiento o estímulos públicos, así como acceder a los beneficios derivados de convenios o tratados internacionales</w:t>
      </w:r>
      <w:r w:rsidR="00BD5533">
        <w:rPr>
          <w:rStyle w:val="Refdenotaalpie"/>
          <w:rFonts w:ascii="Adobe Caslon Pro" w:hAnsi="Adobe Caslon Pro" w:cs="Arial"/>
        </w:rPr>
        <w:footnoteReference w:id="10"/>
      </w:r>
      <w:r w:rsidRPr="000907D3">
        <w:rPr>
          <w:rFonts w:ascii="Adobe Caslon Pro" w:hAnsi="Adobe Caslon Pro" w:cs="Arial"/>
        </w:rPr>
        <w:t xml:space="preserve"> se requiere que las organizaciones obtengan ante el </w:t>
      </w:r>
      <w:r w:rsidR="00D17A7C">
        <w:rPr>
          <w:rFonts w:ascii="Adobe Caslon Pro" w:hAnsi="Adobe Caslon Pro" w:cs="Arial"/>
        </w:rPr>
        <w:t>RF</w:t>
      </w:r>
      <w:r w:rsidRPr="000907D3">
        <w:rPr>
          <w:rFonts w:ascii="Adobe Caslon Pro" w:hAnsi="Adobe Caslon Pro" w:cs="Arial"/>
        </w:rPr>
        <w:t xml:space="preserve">OSC la </w:t>
      </w:r>
      <w:r w:rsidR="00F75775">
        <w:rPr>
          <w:rFonts w:ascii="Adobe Caslon Pro" w:hAnsi="Adobe Caslon Pro" w:cs="Arial"/>
        </w:rPr>
        <w:t>CLUNI</w:t>
      </w:r>
      <w:r w:rsidRPr="000907D3">
        <w:rPr>
          <w:rFonts w:ascii="Adobe Caslon Pro" w:hAnsi="Adobe Caslon Pro" w:cs="Arial"/>
        </w:rPr>
        <w:t>, que a su vez implica realizar otra serie de trámites ante distintas dependencias gubernamentales.</w:t>
      </w:r>
    </w:p>
    <w:p w:rsidR="00D25F5B" w:rsidRDefault="00D25F5B" w:rsidP="0043286B">
      <w:pPr>
        <w:spacing w:after="120" w:line="240" w:lineRule="auto"/>
        <w:jc w:val="both"/>
        <w:rPr>
          <w:rFonts w:ascii="Adobe Caslon Pro" w:hAnsi="Adobe Caslon Pro" w:cs="Arial"/>
        </w:rPr>
      </w:pPr>
      <w:r w:rsidRPr="000907D3">
        <w:rPr>
          <w:rFonts w:ascii="Adobe Caslon Pro" w:hAnsi="Adobe Caslon Pro" w:cs="Arial"/>
        </w:rPr>
        <w:t xml:space="preserve">A continuación se presenta un cuadro en el que se puede apreciar el aumento de las OSC apoyadas por la </w:t>
      </w:r>
      <w:r w:rsidR="00F75775">
        <w:rPr>
          <w:rFonts w:ascii="Adobe Caslon Pro" w:hAnsi="Adobe Caslon Pro" w:cs="Arial"/>
        </w:rPr>
        <w:t>APF</w:t>
      </w:r>
      <w:r w:rsidRPr="000907D3">
        <w:rPr>
          <w:rFonts w:ascii="Adobe Caslon Pro" w:hAnsi="Adobe Caslon Pro" w:cs="Arial"/>
        </w:rPr>
        <w:t xml:space="preserve"> de acuerdo con lo reportado en el Informe Anual de la Comisión de Fomento para diferentes años. En los seis años se aprecia un incremento de 232% al pasar de 2</w:t>
      </w:r>
      <w:r w:rsidR="004E0E4A" w:rsidRPr="000907D3">
        <w:rPr>
          <w:rFonts w:ascii="Adobe Caslon Pro" w:hAnsi="Adobe Caslon Pro" w:cs="Arial"/>
        </w:rPr>
        <w:t>,</w:t>
      </w:r>
      <w:r w:rsidRPr="000907D3">
        <w:rPr>
          <w:rFonts w:ascii="Adobe Caslon Pro" w:hAnsi="Adobe Caslon Pro" w:cs="Arial"/>
        </w:rPr>
        <w:t>596 en 2006, a 6</w:t>
      </w:r>
      <w:r w:rsidR="004E0E4A" w:rsidRPr="000907D3">
        <w:rPr>
          <w:rFonts w:ascii="Adobe Caslon Pro" w:hAnsi="Adobe Caslon Pro" w:cs="Arial"/>
        </w:rPr>
        <w:t>,</w:t>
      </w:r>
      <w:r w:rsidRPr="000907D3">
        <w:rPr>
          <w:rFonts w:ascii="Adobe Caslon Pro" w:hAnsi="Adobe Caslon Pro" w:cs="Arial"/>
        </w:rPr>
        <w:t xml:space="preserve">016 en 2012; este número de OSC se refiere a las que han recibido apoyos y estímulos por parte de 18 dependencias o entidades diferentes que </w:t>
      </w:r>
      <w:r w:rsidR="00F75775">
        <w:rPr>
          <w:rFonts w:ascii="Adobe Caslon Pro" w:hAnsi="Adobe Caslon Pro" w:cs="Arial"/>
        </w:rPr>
        <w:t xml:space="preserve">pueden </w:t>
      </w:r>
      <w:r w:rsidRPr="000907D3">
        <w:rPr>
          <w:rFonts w:ascii="Adobe Caslon Pro" w:hAnsi="Adobe Caslon Pro" w:cs="Arial"/>
        </w:rPr>
        <w:t xml:space="preserve">ser económicos, en especie, de capacitación presencial o a distancia, de asesoría, de servicios, de difusión, de concertación y coordinación, y otros. </w:t>
      </w:r>
    </w:p>
    <w:p w:rsidR="00271526" w:rsidRDefault="00D25F5B" w:rsidP="0043286B">
      <w:pPr>
        <w:spacing w:after="120" w:line="240" w:lineRule="auto"/>
        <w:jc w:val="both"/>
        <w:rPr>
          <w:rFonts w:ascii="Adobe Caslon Pro" w:hAnsi="Adobe Caslon Pro" w:cs="Arial"/>
        </w:rPr>
      </w:pPr>
      <w:r w:rsidRPr="000907D3">
        <w:rPr>
          <w:rFonts w:ascii="Adobe Caslon Pro" w:hAnsi="Adobe Caslon Pro" w:cs="Arial"/>
        </w:rPr>
        <w:t xml:space="preserve">También, </w:t>
      </w:r>
      <w:r w:rsidR="00D17A7C">
        <w:rPr>
          <w:rFonts w:ascii="Adobe Caslon Pro" w:hAnsi="Adobe Caslon Pro" w:cs="Arial"/>
        </w:rPr>
        <w:t xml:space="preserve">en la gráfica 1 se puede observar que hubo </w:t>
      </w:r>
      <w:r w:rsidRPr="000907D3">
        <w:rPr>
          <w:rFonts w:ascii="Adobe Caslon Pro" w:hAnsi="Adobe Caslon Pro" w:cs="Arial"/>
        </w:rPr>
        <w:t>un notorio aumento de las OSC que cuentan con CLUNI el cual creció 450% entre los años 2006 y 2012. En el año 2012, se apoyó al 30% de las OSC con CLUNI.</w:t>
      </w:r>
    </w:p>
    <w:p w:rsidR="00271526" w:rsidRDefault="00271526">
      <w:pPr>
        <w:spacing w:after="200"/>
        <w:rPr>
          <w:rFonts w:ascii="Adobe Caslon Pro" w:hAnsi="Adobe Caslon Pro" w:cs="Arial"/>
        </w:rPr>
      </w:pPr>
      <w:r>
        <w:rPr>
          <w:rFonts w:ascii="Adobe Caslon Pro" w:hAnsi="Adobe Caslon Pro" w:cs="Arial"/>
        </w:rPr>
        <w:br w:type="page"/>
      </w:r>
    </w:p>
    <w:p w:rsidR="00D25F5B" w:rsidRDefault="00D25F5B" w:rsidP="0043286B">
      <w:pPr>
        <w:spacing w:after="120" w:line="240" w:lineRule="auto"/>
        <w:jc w:val="both"/>
        <w:rPr>
          <w:rFonts w:ascii="Adobe Caslon Pro" w:hAnsi="Adobe Caslon Pro" w:cs="Arial"/>
        </w:rPr>
      </w:pPr>
    </w:p>
    <w:tbl>
      <w:tblPr>
        <w:tblW w:w="0" w:type="auto"/>
        <w:jc w:val="center"/>
        <w:tblLook w:val="04A0" w:firstRow="1" w:lastRow="0" w:firstColumn="1" w:lastColumn="0" w:noHBand="0" w:noVBand="1"/>
      </w:tblPr>
      <w:tblGrid>
        <w:gridCol w:w="9496"/>
      </w:tblGrid>
      <w:tr w:rsidR="00D25F5B" w:rsidRPr="000907D3" w:rsidTr="00A15DA6">
        <w:trPr>
          <w:jc w:val="center"/>
        </w:trPr>
        <w:tc>
          <w:tcPr>
            <w:tcW w:w="0" w:type="auto"/>
            <w:shd w:val="clear" w:color="auto" w:fill="auto"/>
          </w:tcPr>
          <w:p w:rsidR="00D25F5B" w:rsidRPr="000907D3" w:rsidRDefault="00874EC3" w:rsidP="0043286B">
            <w:pPr>
              <w:spacing w:after="120" w:line="240" w:lineRule="auto"/>
              <w:jc w:val="center"/>
              <w:rPr>
                <w:rFonts w:ascii="Adobe Caslon Pro" w:hAnsi="Adobe Caslon Pro" w:cs="Arial"/>
                <w:b/>
                <w:color w:val="000000"/>
              </w:rPr>
            </w:pPr>
            <w:bookmarkStart w:id="48" w:name="_Toc380683856"/>
            <w:r>
              <w:br w:type="page"/>
            </w:r>
            <w:r w:rsidR="00D25F5B" w:rsidRPr="000907D3">
              <w:rPr>
                <w:rFonts w:ascii="Adobe Caslon Pro" w:hAnsi="Adobe Caslon Pro" w:cs="Arial"/>
                <w:b/>
                <w:color w:val="000000"/>
                <w:sz w:val="20"/>
              </w:rPr>
              <w:t xml:space="preserve">Cuadro </w:t>
            </w:r>
            <w:r w:rsidR="007A6D2B" w:rsidRPr="000907D3">
              <w:rPr>
                <w:rFonts w:ascii="Adobe Caslon Pro" w:hAnsi="Adobe Caslon Pro" w:cs="Arial"/>
                <w:b/>
                <w:color w:val="000000"/>
                <w:sz w:val="20"/>
              </w:rPr>
              <w:fldChar w:fldCharType="begin"/>
            </w:r>
            <w:r w:rsidR="00D25F5B" w:rsidRPr="000907D3">
              <w:rPr>
                <w:rFonts w:ascii="Adobe Caslon Pro" w:hAnsi="Adobe Caslon Pro" w:cs="Arial"/>
                <w:b/>
                <w:color w:val="000000"/>
                <w:sz w:val="20"/>
              </w:rPr>
              <w:instrText xml:space="preserve"> SEQ Cuadro \* ARABIC </w:instrText>
            </w:r>
            <w:r w:rsidR="007A6D2B" w:rsidRPr="000907D3">
              <w:rPr>
                <w:rFonts w:ascii="Adobe Caslon Pro" w:hAnsi="Adobe Caslon Pro" w:cs="Arial"/>
                <w:b/>
                <w:color w:val="000000"/>
                <w:sz w:val="20"/>
              </w:rPr>
              <w:fldChar w:fldCharType="separate"/>
            </w:r>
            <w:r w:rsidR="004112D2">
              <w:rPr>
                <w:rFonts w:ascii="Adobe Caslon Pro" w:hAnsi="Adobe Caslon Pro" w:cs="Arial"/>
                <w:b/>
                <w:noProof/>
                <w:color w:val="000000"/>
                <w:sz w:val="20"/>
              </w:rPr>
              <w:t>1</w:t>
            </w:r>
            <w:r w:rsidR="007A6D2B" w:rsidRPr="000907D3">
              <w:rPr>
                <w:rFonts w:ascii="Adobe Caslon Pro" w:hAnsi="Adobe Caslon Pro" w:cs="Arial"/>
                <w:b/>
                <w:color w:val="000000"/>
                <w:sz w:val="20"/>
              </w:rPr>
              <w:fldChar w:fldCharType="end"/>
            </w:r>
            <w:r w:rsidR="00D25F5B" w:rsidRPr="000907D3">
              <w:rPr>
                <w:rFonts w:ascii="Adobe Caslon Pro" w:hAnsi="Adobe Caslon Pro" w:cs="Arial"/>
                <w:b/>
                <w:color w:val="000000"/>
                <w:sz w:val="20"/>
              </w:rPr>
              <w:t>. Apoyo económico de las dependencias de la APF a OSC (miles de pesos)</w:t>
            </w:r>
            <w:bookmarkEnd w:id="48"/>
          </w:p>
        </w:tc>
      </w:tr>
      <w:tr w:rsidR="00D25F5B" w:rsidRPr="000907D3" w:rsidTr="00A15DA6">
        <w:trPr>
          <w:jc w:val="center"/>
        </w:trPr>
        <w:tc>
          <w:tcPr>
            <w:tcW w:w="0" w:type="auto"/>
            <w:shd w:val="clear" w:color="auto" w:fill="auto"/>
            <w:vAlign w:val="center"/>
          </w:tcPr>
          <w:p w:rsidR="00D25F5B" w:rsidRPr="004E1B0D" w:rsidRDefault="00D25F5B" w:rsidP="0043286B">
            <w:pPr>
              <w:spacing w:after="120" w:line="240" w:lineRule="auto"/>
              <w:jc w:val="center"/>
              <w:rPr>
                <w:rFonts w:ascii="Adobe Caslon Pro" w:hAnsi="Adobe Caslon Pro" w:cs="Arial"/>
                <w:sz w:val="18"/>
                <w:szCs w:val="18"/>
              </w:rPr>
            </w:pPr>
            <w:r w:rsidRPr="004E1B0D">
              <w:rPr>
                <w:rFonts w:ascii="Adobe Caslon Pro" w:hAnsi="Adobe Caslon Pro" w:cs="Arial"/>
                <w:noProof/>
                <w:sz w:val="18"/>
                <w:szCs w:val="18"/>
                <w:lang w:eastAsia="es-MX"/>
              </w:rPr>
              <w:drawing>
                <wp:inline distT="0" distB="0" distL="0" distR="0" wp14:anchorId="2B76BACE" wp14:editId="04E92B6F">
                  <wp:extent cx="5873578" cy="2072600"/>
                  <wp:effectExtent l="19050" t="0" r="0" b="0"/>
                  <wp:docPr id="2" name="Imagen 3" descr="cid:image001.png@01CF040D.A0A0C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id:image001.png@01CF040D.A0A0C350"/>
                          <pic:cNvPicPr>
                            <a:picLocks noChangeAspect="1" noChangeArrowheads="1"/>
                          </pic:cNvPicPr>
                        </pic:nvPicPr>
                        <pic:blipFill>
                          <a:blip r:embed="rId17" r:link="rId18" cstate="print"/>
                          <a:srcRect/>
                          <a:stretch>
                            <a:fillRect/>
                          </a:stretch>
                        </pic:blipFill>
                        <pic:spPr bwMode="auto">
                          <a:xfrm>
                            <a:off x="0" y="0"/>
                            <a:ext cx="5878153" cy="2074215"/>
                          </a:xfrm>
                          <a:prstGeom prst="rect">
                            <a:avLst/>
                          </a:prstGeom>
                          <a:solidFill>
                            <a:schemeClr val="bg1"/>
                          </a:solidFill>
                          <a:ln w="9525">
                            <a:noFill/>
                            <a:miter lim="800000"/>
                            <a:headEnd/>
                            <a:tailEnd/>
                          </a:ln>
                        </pic:spPr>
                      </pic:pic>
                    </a:graphicData>
                  </a:graphic>
                </wp:inline>
              </w:drawing>
            </w:r>
          </w:p>
        </w:tc>
      </w:tr>
      <w:tr w:rsidR="00D25F5B" w:rsidRPr="000907D3" w:rsidTr="00A15DA6">
        <w:trPr>
          <w:jc w:val="center"/>
        </w:trPr>
        <w:tc>
          <w:tcPr>
            <w:tcW w:w="0" w:type="auto"/>
            <w:shd w:val="clear" w:color="auto" w:fill="auto"/>
          </w:tcPr>
          <w:p w:rsidR="00D25F5B" w:rsidRPr="004E1B0D" w:rsidRDefault="00D25F5B" w:rsidP="00A15DA6">
            <w:pPr>
              <w:spacing w:after="0" w:line="240" w:lineRule="auto"/>
              <w:contextualSpacing/>
              <w:rPr>
                <w:rFonts w:ascii="Adobe Caslon Pro" w:hAnsi="Adobe Caslon Pro" w:cs="Arial"/>
                <w:sz w:val="18"/>
                <w:szCs w:val="18"/>
              </w:rPr>
            </w:pPr>
            <w:r w:rsidRPr="004E1B0D">
              <w:rPr>
                <w:rFonts w:ascii="Adobe Caslon Pro" w:hAnsi="Adobe Caslon Pro" w:cs="Arial"/>
                <w:sz w:val="18"/>
                <w:szCs w:val="18"/>
              </w:rPr>
              <w:t>Nota</w:t>
            </w:r>
            <w:r w:rsidR="00D17A7C">
              <w:rPr>
                <w:rFonts w:ascii="Adobe Caslon Pro" w:hAnsi="Adobe Caslon Pro" w:cs="Arial"/>
                <w:sz w:val="18"/>
                <w:szCs w:val="18"/>
              </w:rPr>
              <w:t>s</w:t>
            </w:r>
            <w:r w:rsidRPr="004E1B0D">
              <w:rPr>
                <w:rFonts w:ascii="Adobe Caslon Pro" w:hAnsi="Adobe Caslon Pro" w:cs="Arial"/>
                <w:sz w:val="18"/>
                <w:szCs w:val="18"/>
              </w:rPr>
              <w:t>: la información de la columna de recursos privados se obtuvo de Tapia y Verduzco, (p. 52, 2013).2012 es al mes de febrero</w:t>
            </w:r>
          </w:p>
          <w:p w:rsidR="00D17A7C" w:rsidRDefault="00D17A7C" w:rsidP="00A15DA6">
            <w:pPr>
              <w:spacing w:after="0" w:line="240" w:lineRule="auto"/>
              <w:contextualSpacing/>
              <w:rPr>
                <w:rFonts w:ascii="Adobe Caslon Pro" w:hAnsi="Adobe Caslon Pro" w:cs="Arial"/>
                <w:sz w:val="18"/>
                <w:szCs w:val="18"/>
              </w:rPr>
            </w:pPr>
            <w:r>
              <w:rPr>
                <w:rFonts w:ascii="Adobe Caslon Pro" w:hAnsi="Adobe Caslon Pro" w:cs="Arial"/>
                <w:sz w:val="18"/>
                <w:szCs w:val="18"/>
              </w:rPr>
              <w:t xml:space="preserve">            La información </w:t>
            </w:r>
            <w:r w:rsidR="00A15DA6">
              <w:rPr>
                <w:rFonts w:ascii="Adobe Caslon Pro" w:hAnsi="Adobe Caslon Pro" w:cs="Arial"/>
                <w:sz w:val="18"/>
                <w:szCs w:val="18"/>
              </w:rPr>
              <w:t>de 2012 corresponde al mes de febrero.</w:t>
            </w:r>
          </w:p>
          <w:p w:rsidR="005410E0" w:rsidRPr="004E1B0D" w:rsidRDefault="00D25F5B" w:rsidP="00A15DA6">
            <w:pPr>
              <w:spacing w:after="0" w:line="240" w:lineRule="auto"/>
              <w:contextualSpacing/>
              <w:rPr>
                <w:rFonts w:ascii="Adobe Caslon Pro" w:hAnsi="Adobe Caslon Pro" w:cs="Arial"/>
                <w:sz w:val="18"/>
                <w:szCs w:val="18"/>
              </w:rPr>
            </w:pPr>
            <w:r w:rsidRPr="004E1B0D">
              <w:rPr>
                <w:rFonts w:ascii="Adobe Caslon Pro" w:hAnsi="Adobe Caslon Pro" w:cs="Arial"/>
                <w:sz w:val="18"/>
                <w:szCs w:val="18"/>
              </w:rPr>
              <w:t>Fuente: Informe Anual de la Com</w:t>
            </w:r>
            <w:r w:rsidR="00A15DA6">
              <w:rPr>
                <w:rFonts w:ascii="Adobe Caslon Pro" w:hAnsi="Adobe Caslon Pro" w:cs="Arial"/>
                <w:sz w:val="18"/>
                <w:szCs w:val="18"/>
              </w:rPr>
              <w:t>isión de Fomento (varios años).</w:t>
            </w:r>
          </w:p>
        </w:tc>
      </w:tr>
      <w:tr w:rsidR="00D17A7C" w:rsidRPr="000907D3" w:rsidTr="00A15DA6">
        <w:trPr>
          <w:jc w:val="center"/>
        </w:trPr>
        <w:tc>
          <w:tcPr>
            <w:tcW w:w="0" w:type="auto"/>
            <w:shd w:val="clear" w:color="auto" w:fill="auto"/>
          </w:tcPr>
          <w:p w:rsidR="00D17A7C" w:rsidRPr="004E1B0D" w:rsidRDefault="00D17A7C" w:rsidP="0043286B">
            <w:pPr>
              <w:spacing w:after="120" w:line="240" w:lineRule="auto"/>
              <w:rPr>
                <w:rFonts w:ascii="Adobe Caslon Pro" w:hAnsi="Adobe Caslon Pro" w:cs="Arial"/>
                <w:sz w:val="18"/>
                <w:szCs w:val="18"/>
              </w:rPr>
            </w:pPr>
          </w:p>
        </w:tc>
      </w:tr>
    </w:tbl>
    <w:p w:rsidR="00D25F5B" w:rsidRPr="000907D3" w:rsidRDefault="00D25F5B" w:rsidP="0043286B">
      <w:pPr>
        <w:pStyle w:val="Epgrafe"/>
        <w:spacing w:after="120"/>
        <w:jc w:val="center"/>
        <w:rPr>
          <w:rFonts w:ascii="Adobe Caslon Pro" w:hAnsi="Adobe Caslon Pro" w:cs="Arial"/>
          <w:color w:val="000000"/>
          <w:sz w:val="20"/>
          <w:szCs w:val="22"/>
        </w:rPr>
      </w:pPr>
      <w:bookmarkStart w:id="49" w:name="_Toc381169892"/>
      <w:r w:rsidRPr="000907D3">
        <w:rPr>
          <w:rFonts w:ascii="Adobe Caslon Pro" w:hAnsi="Adobe Caslon Pro" w:cs="Arial"/>
          <w:color w:val="000000"/>
          <w:sz w:val="20"/>
          <w:szCs w:val="22"/>
        </w:rPr>
        <w:t xml:space="preserve">Gráfica </w:t>
      </w:r>
      <w:r w:rsidR="004E0E4A" w:rsidRPr="000907D3">
        <w:rPr>
          <w:rFonts w:ascii="Adobe Caslon Pro" w:hAnsi="Adobe Caslon Pro" w:cs="Arial"/>
          <w:color w:val="000000"/>
          <w:sz w:val="20"/>
          <w:szCs w:val="22"/>
        </w:rPr>
        <w:t>1</w:t>
      </w:r>
      <w:r w:rsidRPr="000907D3">
        <w:rPr>
          <w:rFonts w:ascii="Adobe Caslon Pro" w:hAnsi="Adobe Caslon Pro" w:cs="Arial"/>
          <w:color w:val="000000"/>
          <w:sz w:val="20"/>
          <w:szCs w:val="22"/>
        </w:rPr>
        <w:t xml:space="preserve">. Número de OSC con CLUNI apoyadas por la </w:t>
      </w:r>
      <w:bookmarkEnd w:id="49"/>
      <w:r w:rsidR="00F75775">
        <w:rPr>
          <w:rFonts w:ascii="Adobe Caslon Pro" w:hAnsi="Adobe Caslon Pro" w:cs="Arial"/>
          <w:color w:val="000000"/>
          <w:sz w:val="20"/>
          <w:szCs w:val="22"/>
        </w:rPr>
        <w:t>APF</w:t>
      </w:r>
    </w:p>
    <w:p w:rsidR="00DB1F19" w:rsidRPr="000907D3" w:rsidRDefault="00DB1F19" w:rsidP="0043286B">
      <w:pPr>
        <w:spacing w:after="120" w:line="240" w:lineRule="auto"/>
        <w:jc w:val="center"/>
      </w:pPr>
      <w:r w:rsidRPr="000907D3">
        <w:rPr>
          <w:rFonts w:ascii="Adobe Caslon Pro" w:hAnsi="Adobe Caslon Pro" w:cs="Arial"/>
          <w:noProof/>
          <w:lang w:eastAsia="es-MX"/>
        </w:rPr>
        <w:drawing>
          <wp:inline distT="0" distB="0" distL="0" distR="0" wp14:anchorId="2287FF4B" wp14:editId="5659A135">
            <wp:extent cx="4063042" cy="2615091"/>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63670" cy="2615495"/>
                    </a:xfrm>
                    <a:prstGeom prst="rect">
                      <a:avLst/>
                    </a:prstGeom>
                    <a:noFill/>
                  </pic:spPr>
                </pic:pic>
              </a:graphicData>
            </a:graphic>
          </wp:inline>
        </w:drawing>
      </w:r>
    </w:p>
    <w:p w:rsidR="00D25F5B" w:rsidRPr="000907D3" w:rsidRDefault="00DB1F19" w:rsidP="0043286B">
      <w:pPr>
        <w:spacing w:after="120" w:line="240" w:lineRule="auto"/>
      </w:pPr>
      <w:r w:rsidRPr="000907D3">
        <w:rPr>
          <w:rFonts w:ascii="Adobe Caslon Pro" w:hAnsi="Adobe Caslon Pro" w:cs="Arial"/>
          <w:sz w:val="18"/>
        </w:rPr>
        <w:t>Fuente: Informe Anual de la Comisión de Fomento (varios años).</w:t>
      </w:r>
    </w:p>
    <w:p w:rsidR="0056695B" w:rsidRDefault="0056695B" w:rsidP="0043286B">
      <w:pPr>
        <w:pStyle w:val="Epgrafe"/>
        <w:spacing w:after="120"/>
        <w:jc w:val="both"/>
        <w:rPr>
          <w:rFonts w:ascii="Adobe Caslon Pro" w:hAnsi="Adobe Caslon Pro" w:cs="Arial"/>
          <w:b w:val="0"/>
          <w:bCs w:val="0"/>
          <w:color w:val="auto"/>
          <w:sz w:val="22"/>
          <w:szCs w:val="22"/>
        </w:rPr>
      </w:pPr>
    </w:p>
    <w:p w:rsidR="00D25F5B" w:rsidRDefault="00D25F5B" w:rsidP="0043286B">
      <w:pPr>
        <w:pStyle w:val="Epgrafe"/>
        <w:spacing w:after="120"/>
        <w:jc w:val="both"/>
        <w:rPr>
          <w:rFonts w:ascii="Adobe Caslon Pro" w:hAnsi="Adobe Caslon Pro" w:cs="Arial"/>
          <w:b w:val="0"/>
          <w:bCs w:val="0"/>
          <w:color w:val="auto"/>
          <w:sz w:val="22"/>
          <w:szCs w:val="22"/>
        </w:rPr>
      </w:pPr>
      <w:r w:rsidRPr="000907D3">
        <w:rPr>
          <w:rFonts w:ascii="Adobe Caslon Pro" w:hAnsi="Adobe Caslon Pro" w:cs="Arial"/>
          <w:b w:val="0"/>
          <w:bCs w:val="0"/>
          <w:color w:val="auto"/>
          <w:sz w:val="22"/>
          <w:szCs w:val="22"/>
        </w:rPr>
        <w:t>La gráfica siguiente muestra el comportamiento del monto promedio del financiamiento público por OSC con CLUNI apoyada (específicamente con recursos económicos) el cual desde 2009 revela un constante aumento pese que también ha crecido el número de OSC.</w:t>
      </w:r>
    </w:p>
    <w:p w:rsidR="00874EC3" w:rsidRDefault="00874EC3">
      <w:pPr>
        <w:spacing w:after="200"/>
      </w:pPr>
      <w:r>
        <w:br w:type="page"/>
      </w:r>
    </w:p>
    <w:p w:rsidR="004E1B0D" w:rsidRDefault="004E1B0D" w:rsidP="0043286B">
      <w:pPr>
        <w:spacing w:after="120" w:line="240" w:lineRule="auto"/>
      </w:pPr>
    </w:p>
    <w:p w:rsidR="00D25F5B" w:rsidRPr="000907D3" w:rsidRDefault="00D25F5B" w:rsidP="0043286B">
      <w:pPr>
        <w:pStyle w:val="Epgrafe"/>
        <w:spacing w:after="120"/>
        <w:jc w:val="center"/>
        <w:rPr>
          <w:rFonts w:ascii="Adobe Caslon Pro" w:hAnsi="Adobe Caslon Pro" w:cs="Arial"/>
          <w:color w:val="000000"/>
          <w:sz w:val="20"/>
          <w:szCs w:val="22"/>
        </w:rPr>
      </w:pPr>
      <w:bookmarkStart w:id="50" w:name="_Toc381169893"/>
      <w:r w:rsidRPr="000907D3">
        <w:rPr>
          <w:rFonts w:ascii="Adobe Caslon Pro" w:hAnsi="Adobe Caslon Pro" w:cs="Arial"/>
          <w:color w:val="000000"/>
          <w:sz w:val="20"/>
          <w:szCs w:val="22"/>
        </w:rPr>
        <w:t>Gráfica</w:t>
      </w:r>
      <w:r w:rsidR="004E0E4A" w:rsidRPr="000907D3">
        <w:rPr>
          <w:rFonts w:ascii="Adobe Caslon Pro" w:hAnsi="Adobe Caslon Pro" w:cs="Arial"/>
          <w:color w:val="000000"/>
          <w:sz w:val="20"/>
          <w:szCs w:val="22"/>
        </w:rPr>
        <w:t xml:space="preserve"> 2</w:t>
      </w:r>
      <w:r w:rsidRPr="000907D3">
        <w:rPr>
          <w:rFonts w:ascii="Adobe Caslon Pro" w:hAnsi="Adobe Caslon Pro" w:cs="Arial"/>
          <w:color w:val="000000"/>
          <w:sz w:val="20"/>
          <w:szCs w:val="22"/>
        </w:rPr>
        <w:t>. Apoyo económico promedio de las dependencias de la APF a OSC (miles de pesos)</w:t>
      </w:r>
      <w:bookmarkEnd w:id="50"/>
    </w:p>
    <w:p w:rsidR="00DB1F19" w:rsidRPr="000907D3" w:rsidRDefault="00DB1F19" w:rsidP="0043286B">
      <w:pPr>
        <w:spacing w:after="120" w:line="240" w:lineRule="auto"/>
        <w:jc w:val="center"/>
      </w:pPr>
      <w:r w:rsidRPr="000907D3">
        <w:rPr>
          <w:rFonts w:ascii="Adobe Caslon Pro" w:hAnsi="Adobe Caslon Pro" w:cs="Arial"/>
          <w:noProof/>
          <w:lang w:eastAsia="es-MX"/>
        </w:rPr>
        <w:drawing>
          <wp:inline distT="0" distB="0" distL="0" distR="0" wp14:anchorId="478A5A9A" wp14:editId="21C29273">
            <wp:extent cx="3703535" cy="2238315"/>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05566" cy="2239542"/>
                    </a:xfrm>
                    <a:prstGeom prst="rect">
                      <a:avLst/>
                    </a:prstGeom>
                    <a:noFill/>
                  </pic:spPr>
                </pic:pic>
              </a:graphicData>
            </a:graphic>
          </wp:inline>
        </w:drawing>
      </w:r>
    </w:p>
    <w:p w:rsidR="00DB1F19" w:rsidRPr="004E1B0D" w:rsidRDefault="00DB1F19" w:rsidP="0043286B">
      <w:pPr>
        <w:spacing w:after="120" w:line="240" w:lineRule="auto"/>
        <w:rPr>
          <w:sz w:val="18"/>
          <w:szCs w:val="18"/>
        </w:rPr>
      </w:pPr>
      <w:r w:rsidRPr="004E1B0D">
        <w:rPr>
          <w:rFonts w:ascii="Adobe Caslon Pro" w:hAnsi="Adobe Caslon Pro" w:cs="Arial"/>
          <w:sz w:val="18"/>
          <w:szCs w:val="18"/>
        </w:rPr>
        <w:t>Fuente: elaboración propia Informe Anual de la Comisión de Fomento (varios años).</w:t>
      </w:r>
    </w:p>
    <w:p w:rsidR="0056695B" w:rsidRDefault="0056695B" w:rsidP="0043286B">
      <w:pPr>
        <w:spacing w:after="120" w:line="240" w:lineRule="auto"/>
        <w:jc w:val="both"/>
        <w:rPr>
          <w:rFonts w:ascii="Adobe Caslon Pro" w:hAnsi="Adobe Caslon Pro" w:cs="Arial"/>
        </w:rPr>
      </w:pPr>
    </w:p>
    <w:p w:rsidR="00D25F5B" w:rsidRDefault="00D25F5B" w:rsidP="0043286B">
      <w:pPr>
        <w:spacing w:after="120" w:line="240" w:lineRule="auto"/>
        <w:jc w:val="both"/>
        <w:rPr>
          <w:rFonts w:ascii="Adobe Caslon Pro" w:hAnsi="Adobe Caslon Pro" w:cs="Arial"/>
        </w:rPr>
      </w:pPr>
      <w:r w:rsidRPr="000907D3">
        <w:rPr>
          <w:rFonts w:ascii="Adobe Caslon Pro" w:hAnsi="Adobe Caslon Pro" w:cs="Arial"/>
        </w:rPr>
        <w:t xml:space="preserve">No obstante, el Cuadro 1 también presenta el financiamiento privado que incorporó la estimación de Verduzco </w:t>
      </w:r>
      <w:r w:rsidRPr="000907D3">
        <w:rPr>
          <w:rFonts w:ascii="Adobe Caslon Pro" w:hAnsi="Adobe Caslon Pro" w:cs="Arial"/>
          <w:i/>
        </w:rPr>
        <w:t>et al</w:t>
      </w:r>
      <w:r w:rsidRPr="000907D3">
        <w:rPr>
          <w:rFonts w:ascii="Adobe Caslon Pro" w:hAnsi="Adobe Caslon Pro" w:cs="Arial"/>
        </w:rPr>
        <w:t xml:space="preserve"> (201</w:t>
      </w:r>
      <w:r w:rsidR="00A15DA6">
        <w:rPr>
          <w:rFonts w:ascii="Adobe Caslon Pro" w:hAnsi="Adobe Caslon Pro" w:cs="Arial"/>
        </w:rPr>
        <w:t>3) obtenido de los reportes de donatarias a</w:t>
      </w:r>
      <w:r w:rsidRPr="000907D3">
        <w:rPr>
          <w:rFonts w:ascii="Adobe Caslon Pro" w:hAnsi="Adobe Caslon Pro" w:cs="Arial"/>
        </w:rPr>
        <w:t xml:space="preserve">utorizadas del </w:t>
      </w:r>
      <w:r w:rsidR="003C797B">
        <w:rPr>
          <w:rFonts w:ascii="Adobe Caslon Pro" w:hAnsi="Adobe Caslon Pro" w:cs="Arial"/>
        </w:rPr>
        <w:t>SAT</w:t>
      </w:r>
      <w:r w:rsidRPr="000907D3">
        <w:rPr>
          <w:rFonts w:ascii="Adobe Caslon Pro" w:hAnsi="Adobe Caslon Pro" w:cs="Arial"/>
        </w:rPr>
        <w:t xml:space="preserve"> (2008-2012) el cual muestra la mayor magnitud de los recursos privados con respecto al financiamiento público; en los años 2010 y 2011 significó casi 4.5 veces el financiamiento público. No obstante, el ritmo de crecimiento es distinto en el financiamiento privado del público, por ejemplo, mientras que entre 2007 y 2008 creció el financiamiento público 60% el privado decreció 14% anual. En 2010, el financiamiento privado aumentó más que el público: 15% </w:t>
      </w:r>
      <w:r w:rsidRPr="000907D3">
        <w:rPr>
          <w:rFonts w:ascii="Adobe Caslon Pro" w:hAnsi="Adobe Caslon Pro" w:cs="Arial"/>
          <w:i/>
        </w:rPr>
        <w:t>v</w:t>
      </w:r>
      <w:r w:rsidR="00A15DA6">
        <w:rPr>
          <w:rFonts w:ascii="Adobe Caslon Pro" w:hAnsi="Adobe Caslon Pro" w:cs="Arial"/>
          <w:i/>
        </w:rPr>
        <w:t>ersus</w:t>
      </w:r>
      <w:r w:rsidRPr="000907D3">
        <w:rPr>
          <w:rFonts w:ascii="Adobe Caslon Pro" w:hAnsi="Adobe Caslon Pro" w:cs="Arial"/>
        </w:rPr>
        <w:t xml:space="preserve"> 4.6%.</w:t>
      </w:r>
    </w:p>
    <w:p w:rsidR="00D25F5B" w:rsidRDefault="00D25F5B" w:rsidP="0043286B">
      <w:pPr>
        <w:spacing w:after="120" w:line="240" w:lineRule="auto"/>
        <w:jc w:val="both"/>
        <w:rPr>
          <w:rFonts w:ascii="Adobe Caslon Pro" w:hAnsi="Adobe Caslon Pro" w:cs="Arial"/>
        </w:rPr>
      </w:pPr>
      <w:r w:rsidRPr="000907D3">
        <w:rPr>
          <w:rFonts w:ascii="Adobe Caslon Pro" w:hAnsi="Adobe Caslon Pro" w:cs="Arial"/>
        </w:rPr>
        <w:t xml:space="preserve">En México los recursos privados que se canalizan a través de instituciones u organizaciones sólo representan el 13%, la mayor parte de la filantropía y las donaciones que los mexicanos realizan (79%) van directamente a </w:t>
      </w:r>
      <w:r w:rsidR="00AE47BB">
        <w:rPr>
          <w:rFonts w:ascii="Adobe Caslon Pro" w:hAnsi="Adobe Caslon Pro" w:cs="Arial"/>
        </w:rPr>
        <w:t xml:space="preserve">una persona necesitada (Layton </w:t>
      </w:r>
      <w:r w:rsidR="00AE47BB" w:rsidRPr="000907D3">
        <w:rPr>
          <w:rFonts w:ascii="Adobe Caslon Pro" w:hAnsi="Adobe Caslon Pro" w:cs="Arial"/>
          <w:i/>
        </w:rPr>
        <w:t>et al</w:t>
      </w:r>
      <w:r w:rsidRPr="000907D3">
        <w:rPr>
          <w:rFonts w:ascii="Adobe Caslon Pro" w:hAnsi="Adobe Caslon Pro" w:cs="Arial"/>
        </w:rPr>
        <w:t xml:space="preserve">, 2008). </w:t>
      </w:r>
      <w:r w:rsidR="00A15DA6">
        <w:rPr>
          <w:rFonts w:ascii="Adobe Caslon Pro" w:hAnsi="Adobe Caslon Pro" w:cs="Arial"/>
        </w:rPr>
        <w:t>Al respecto CIVICUS</w:t>
      </w:r>
      <w:r w:rsidRPr="000907D3">
        <w:rPr>
          <w:rFonts w:ascii="Adobe Caslon Pro" w:hAnsi="Adobe Caslon Pro" w:cs="Arial"/>
        </w:rPr>
        <w:t xml:space="preserve"> (2010) reporta que las donaciones individuales representan 23.4% de los ingresos de las OSC, en tanto que 22% de sus recursos provino del Estado. Además, destaca que lo anterior puede significar un alto grado de autonomía así como una importante inversión en campañas de sensibilización y recaudación de fondos. Cabe agregar que las donaciones de extranjeros representa</w:t>
      </w:r>
      <w:r w:rsidR="00AE47BB">
        <w:rPr>
          <w:rFonts w:ascii="Adobe Caslon Pro" w:hAnsi="Adobe Caslon Pro" w:cs="Arial"/>
        </w:rPr>
        <w:t>n</w:t>
      </w:r>
      <w:r w:rsidRPr="000907D3">
        <w:rPr>
          <w:rFonts w:ascii="Adobe Caslon Pro" w:hAnsi="Adobe Caslon Pro" w:cs="Arial"/>
        </w:rPr>
        <w:t xml:space="preserve"> un </w:t>
      </w:r>
      <w:r w:rsidR="00AE47BB">
        <w:rPr>
          <w:rFonts w:ascii="Adobe Caslon Pro" w:hAnsi="Adobe Caslon Pro" w:cs="Arial"/>
        </w:rPr>
        <w:t>5.6%, la venta de servicios 8.2</w:t>
      </w:r>
      <w:r w:rsidRPr="000907D3">
        <w:rPr>
          <w:rFonts w:ascii="Adobe Caslon Pro" w:hAnsi="Adobe Caslon Pro" w:cs="Arial"/>
        </w:rPr>
        <w:t>% y las empresas nacionales 9.8%.</w:t>
      </w:r>
    </w:p>
    <w:p w:rsidR="00D25F5B" w:rsidRDefault="00D25F5B" w:rsidP="0043286B">
      <w:pPr>
        <w:spacing w:after="120" w:line="240" w:lineRule="auto"/>
        <w:jc w:val="both"/>
        <w:rPr>
          <w:rFonts w:ascii="Adobe Caslon Pro" w:hAnsi="Adobe Caslon Pro" w:cs="Arial"/>
        </w:rPr>
      </w:pPr>
      <w:r w:rsidRPr="000907D3">
        <w:rPr>
          <w:rFonts w:ascii="Adobe Caslon Pro" w:hAnsi="Adobe Caslon Pro" w:cs="Arial"/>
        </w:rPr>
        <w:t>Independientemente de su origen, los recursos con que cuentan las OSC son escasos. Además de que una gran proporción de ellos tienen un origen externo (públicos, filantropía)</w:t>
      </w:r>
      <w:r w:rsidR="00A15DA6">
        <w:rPr>
          <w:rFonts w:ascii="Adobe Caslon Pro" w:hAnsi="Adobe Caslon Pro" w:cs="Arial"/>
        </w:rPr>
        <w:t>, éstas</w:t>
      </w:r>
      <w:r w:rsidRPr="000907D3">
        <w:rPr>
          <w:rFonts w:ascii="Adobe Caslon Pro" w:hAnsi="Adobe Caslon Pro" w:cs="Arial"/>
        </w:rPr>
        <w:t xml:space="preserve"> se concentran en un reducido número de OSC lo que resulta inequitativo. En el año 2007, el 60% del total de recursos recibidos por OSC, se concentró en tan sólo el 7% de las donatarias registradas y en no más de cinco estados del país (Ablanedo, 2009).En relación con los recursos públicos aportados por el Estado en ese año, el 40% del total se concentró </w:t>
      </w:r>
      <w:r w:rsidRPr="000907D3">
        <w:rPr>
          <w:rFonts w:ascii="Adobe Caslon Pro" w:hAnsi="Adobe Caslon Pro" w:cs="Arial"/>
        </w:rPr>
        <w:lastRenderedPageBreak/>
        <w:t>en el 12% de organizaciones registradas, mientras que el 72% de las OSC que percibieron recursos gubernamentales, fueron inferiores a 500 mil pesos. Así, aunque la participación de la sociedad civil organizada en México ha aumentado, la carencia de recursos imposibilita una participación más profunda en acciones de desarrollo social.</w:t>
      </w:r>
    </w:p>
    <w:p w:rsidR="0056695B" w:rsidRPr="000907D3" w:rsidRDefault="0056695B" w:rsidP="0043286B">
      <w:pPr>
        <w:spacing w:after="120" w:line="240" w:lineRule="auto"/>
        <w:jc w:val="both"/>
        <w:rPr>
          <w:rFonts w:ascii="Adobe Caslon Pro" w:hAnsi="Adobe Caslon Pro" w:cs="Arial"/>
        </w:rPr>
      </w:pPr>
    </w:p>
    <w:p w:rsidR="00D25F5B" w:rsidRPr="000907D3" w:rsidRDefault="00D25F5B" w:rsidP="0043286B">
      <w:pPr>
        <w:spacing w:after="120" w:line="240" w:lineRule="auto"/>
        <w:jc w:val="both"/>
        <w:rPr>
          <w:rFonts w:ascii="Adobe Caslon Pro" w:hAnsi="Adobe Caslon Pro" w:cs="Arial"/>
          <w:b/>
        </w:rPr>
      </w:pPr>
      <w:r w:rsidRPr="000907D3">
        <w:rPr>
          <w:rFonts w:ascii="Adobe Caslon Pro" w:hAnsi="Adobe Caslon Pro" w:cs="Arial"/>
          <w:b/>
        </w:rPr>
        <w:t>Incipiente desarrollo institucional de los actores sociales</w:t>
      </w:r>
    </w:p>
    <w:p w:rsidR="00D25F5B" w:rsidRDefault="00D25F5B" w:rsidP="0043286B">
      <w:pPr>
        <w:spacing w:before="240" w:after="120" w:line="240" w:lineRule="auto"/>
        <w:jc w:val="both"/>
        <w:rPr>
          <w:rFonts w:ascii="Adobe Caslon Pro" w:hAnsi="Adobe Caslon Pro" w:cs="Arial"/>
        </w:rPr>
      </w:pPr>
      <w:r w:rsidRPr="000907D3">
        <w:rPr>
          <w:rFonts w:ascii="Adobe Caslon Pro" w:hAnsi="Adobe Caslon Pro" w:cs="Arial"/>
        </w:rPr>
        <w:t>La gestación de los actores sociales es uno de sus puntos más vulnerables y afecta directamente el alcance que puedan tener los resultados de sus actividades en el desarrollo social debido a que es difícil que alcancen la consolidación institucional y obtengan por medio de ésta acceso a mayores beneficios. Es aquí donde se combinan factores de distinta naturaleza que los mantienen</w:t>
      </w:r>
      <w:r w:rsidR="00A15DA6">
        <w:rPr>
          <w:rFonts w:ascii="Adobe Caslon Pro" w:hAnsi="Adobe Caslon Pro" w:cs="Arial"/>
        </w:rPr>
        <w:t xml:space="preserve"> en una situación alejada de</w:t>
      </w:r>
      <w:r w:rsidRPr="000907D3">
        <w:rPr>
          <w:rFonts w:ascii="Adobe Caslon Pro" w:hAnsi="Adobe Caslon Pro" w:cs="Arial"/>
        </w:rPr>
        <w:t xml:space="preserve"> desarrollo institucional</w:t>
      </w:r>
      <w:r w:rsidR="00A15DA6">
        <w:rPr>
          <w:rFonts w:ascii="Adobe Caslon Pro" w:hAnsi="Adobe Caslon Pro" w:cs="Arial"/>
        </w:rPr>
        <w:t xml:space="preserve">, lo cual va </w:t>
      </w:r>
      <w:r w:rsidRPr="000907D3">
        <w:rPr>
          <w:rFonts w:ascii="Adobe Caslon Pro" w:hAnsi="Adobe Caslon Pro" w:cs="Arial"/>
        </w:rPr>
        <w:t>desde tener una ubicación física estable con infraestructura mínima tecnológica e informática que les permita tanto mantenerse informados y comunicados, hasta poder procesar la información de sus actividades y los resultados de éstos en una forma regular y eficiente.</w:t>
      </w:r>
    </w:p>
    <w:p w:rsidR="0056695B" w:rsidRPr="000907D3" w:rsidRDefault="00D25F5B" w:rsidP="00AE47BB">
      <w:pPr>
        <w:spacing w:after="120" w:line="240" w:lineRule="auto"/>
        <w:jc w:val="both"/>
        <w:rPr>
          <w:rFonts w:ascii="Adobe Caslon Pro" w:hAnsi="Adobe Caslon Pro" w:cs="Arial"/>
        </w:rPr>
      </w:pPr>
      <w:r w:rsidRPr="000907D3">
        <w:rPr>
          <w:rFonts w:ascii="Adobe Caslon Pro" w:hAnsi="Adobe Caslon Pro" w:cs="Arial"/>
        </w:rPr>
        <w:t xml:space="preserve">Un mejor desempeño por parte de las OSC está estrechamente asociado con la capacidad gerencial y operativa que logra desarrollar una OSC como institución, la cual involucra una serie de actividades recurrentes en el día a día, como las siguientes: los actores sociales requieren contar con personal capacitado con conocimientos necesarios para entre otras cuestiones, manejar un correo electrónico, organizar la documentación generada, administrar recursos y cuentas bancarias, que sirven también para brindar transparencia dentro y fuera de la organización. Por ejemplo, debido a que el personal que participa en las </w:t>
      </w:r>
      <w:r w:rsidR="00A15DA6">
        <w:rPr>
          <w:rFonts w:ascii="Adobe Caslon Pro" w:hAnsi="Adobe Caslon Pro" w:cs="Arial"/>
        </w:rPr>
        <w:t xml:space="preserve">OSC es en su mayoría voluntario, </w:t>
      </w:r>
      <w:r w:rsidR="00AE47BB">
        <w:rPr>
          <w:rFonts w:ascii="Adobe Caslon Pro" w:hAnsi="Adobe Caslon Pro" w:cs="Arial"/>
        </w:rPr>
        <w:t xml:space="preserve">suele existir una baja </w:t>
      </w:r>
      <w:r w:rsidRPr="000907D3">
        <w:rPr>
          <w:rFonts w:ascii="Adobe Caslon Pro" w:hAnsi="Adobe Caslon Pro" w:cs="Arial"/>
        </w:rPr>
        <w:t xml:space="preserve">capacitación en cuestiones administrativas y técnicas de este tipo de colaboradores. </w:t>
      </w:r>
      <w:r w:rsidR="00AE47BB">
        <w:rPr>
          <w:rFonts w:ascii="Adobe Caslon Pro" w:hAnsi="Adobe Caslon Pro" w:cs="Arial"/>
        </w:rPr>
        <w:t xml:space="preserve">Además, el trabajo voluntario aumenta la </w:t>
      </w:r>
      <w:r w:rsidRPr="000907D3">
        <w:rPr>
          <w:rFonts w:ascii="Adobe Caslon Pro" w:hAnsi="Adobe Caslon Pro" w:cs="Arial"/>
        </w:rPr>
        <w:t>posibilidad de rotación con la cual continuamente se descapitaliza la organización. Cívicus (2010) menciona que en la composición del personal que labora en las OSC predominan aquéllos que lo hacen de forma voluntaria, sólo el 25% recibe remuneración.</w:t>
      </w:r>
    </w:p>
    <w:p w:rsidR="00D25F5B" w:rsidRPr="000907D3" w:rsidRDefault="00D25F5B" w:rsidP="0043286B">
      <w:pPr>
        <w:spacing w:after="120" w:line="240" w:lineRule="auto"/>
        <w:jc w:val="both"/>
        <w:rPr>
          <w:rFonts w:ascii="Adobe Caslon Pro" w:hAnsi="Adobe Caslon Pro" w:cs="Arial"/>
          <w:color w:val="215868"/>
        </w:rPr>
      </w:pPr>
      <w:r w:rsidRPr="000907D3">
        <w:rPr>
          <w:rFonts w:ascii="Adobe Caslon Pro" w:hAnsi="Adobe Caslon Pro" w:cs="Arial"/>
        </w:rPr>
        <w:t xml:space="preserve">Asimismo, para una organización con bajos recursos, es difícil mantener a un personal de forma estable como para poder incentivar a través de remuneraciones la permanencia de su personal dentro de la organización. Lo anterior, implica una descapitalización de recursos humanos preparados, con liderazgo y conocedores del sector (Tapia, 2010). Igualmente, </w:t>
      </w:r>
      <w:r w:rsidR="00F2431D" w:rsidRPr="000907D3">
        <w:rPr>
          <w:rFonts w:ascii="Adobe Caslon Pro" w:hAnsi="Adobe Caslon Pro" w:cs="Arial"/>
        </w:rPr>
        <w:t xml:space="preserve">la baja profesionalización </w:t>
      </w:r>
      <w:r w:rsidRPr="000907D3">
        <w:rPr>
          <w:rFonts w:ascii="Adobe Caslon Pro" w:hAnsi="Adobe Caslon Pro" w:cs="Arial"/>
        </w:rPr>
        <w:t>del personal conlleva a desconocer las ventajas de procurar la constante capacitación, así como la importancia de documentar, monitorear y sistematizar sus actividades y resultados.</w:t>
      </w:r>
    </w:p>
    <w:p w:rsidR="00D25F5B" w:rsidRDefault="00D25F5B" w:rsidP="0043286B">
      <w:pPr>
        <w:spacing w:after="120" w:line="240" w:lineRule="auto"/>
        <w:jc w:val="both"/>
        <w:rPr>
          <w:rFonts w:ascii="Adobe Caslon Pro" w:hAnsi="Adobe Caslon Pro" w:cs="Arial"/>
        </w:rPr>
      </w:pPr>
      <w:r w:rsidRPr="000907D3">
        <w:rPr>
          <w:rFonts w:ascii="Adobe Caslon Pro" w:hAnsi="Adobe Caslon Pro" w:cs="Arial"/>
        </w:rPr>
        <w:t xml:space="preserve">El Centro Mexicano para la Filantropía (CEMEFI) cuenta con indicadores de institucionalidad y transparencia a través de los cuales se refleja el nivel de desarrollo institucional de una organización y se </w:t>
      </w:r>
      <w:r w:rsidRPr="000907D3">
        <w:rPr>
          <w:rFonts w:ascii="Adobe Caslon Pro" w:hAnsi="Adobe Caslon Pro" w:cs="Arial"/>
        </w:rPr>
        <w:lastRenderedPageBreak/>
        <w:t>puede tener mayor certeza sobre ciertos aspectos de una organización de forma estandarizada, si existe y opera realmente y si cumple con los requisitos mínimos legales.</w:t>
      </w:r>
    </w:p>
    <w:p w:rsidR="00D94AFD" w:rsidRDefault="00D25F5B" w:rsidP="0043286B">
      <w:pPr>
        <w:spacing w:before="240" w:after="120" w:line="240" w:lineRule="auto"/>
        <w:jc w:val="both"/>
        <w:rPr>
          <w:rFonts w:ascii="Adobe Caslon Pro" w:hAnsi="Adobe Caslon Pro" w:cs="Arial"/>
        </w:rPr>
      </w:pPr>
      <w:r w:rsidRPr="000907D3">
        <w:rPr>
          <w:rFonts w:ascii="Adobe Caslon Pro" w:hAnsi="Adobe Caslon Pro" w:cs="Arial"/>
        </w:rPr>
        <w:t>A noviembre de 2013, el CEMEFI reporta sólo 670 organizaciones con indicadores de institucionalidad y transparencia. La siguiente figura presenta los puntos con que considera el nivel de institucionalidad.</w:t>
      </w:r>
      <w:r w:rsidR="00D94AFD">
        <w:rPr>
          <w:rFonts w:ascii="Adobe Caslon Pro" w:hAnsi="Adobe Caslon Pro" w:cs="Arial"/>
        </w:rPr>
        <w:t xml:space="preserve"> </w:t>
      </w:r>
      <w:r w:rsidR="00D94AFD" w:rsidRPr="000907D3">
        <w:rPr>
          <w:rFonts w:ascii="Adobe Caslon Pro" w:hAnsi="Adobe Caslon Pro" w:cs="Arial"/>
        </w:rPr>
        <w:t>De acuerdo con la información a noviembre de 2013 del CEMEFI, hay cinco estados en el país que sólo tienen una OSC con el nivel óptimo de institucionalidad. Otras 6 entidades tienen entre dos y siete OSC con nivel óptimo, lo cual da idea de que es verdaderamente un reto que un actor se consolide institucionalmente</w:t>
      </w:r>
      <w:r w:rsidR="00D94AFD">
        <w:rPr>
          <w:rStyle w:val="Refdenotaalpie"/>
          <w:rFonts w:ascii="Adobe Caslon Pro" w:hAnsi="Adobe Caslon Pro" w:cs="Arial"/>
        </w:rPr>
        <w:footnoteReference w:id="11"/>
      </w:r>
      <w:r w:rsidR="00D94AFD" w:rsidRPr="000907D3">
        <w:rPr>
          <w:rFonts w:ascii="Adobe Caslon Pro" w:hAnsi="Adobe Caslon Pro" w:cs="Arial"/>
        </w:rPr>
        <w:t>.</w:t>
      </w:r>
    </w:p>
    <w:p w:rsidR="00D25F5B" w:rsidRDefault="00D25F5B" w:rsidP="0043286B">
      <w:pPr>
        <w:pStyle w:val="Epgrafe"/>
        <w:spacing w:after="120"/>
        <w:jc w:val="center"/>
        <w:rPr>
          <w:rFonts w:ascii="Adobe Caslon Pro" w:hAnsi="Adobe Caslon Pro" w:cs="Arial"/>
          <w:color w:val="auto"/>
          <w:sz w:val="20"/>
          <w:szCs w:val="22"/>
        </w:rPr>
      </w:pPr>
      <w:bookmarkStart w:id="51" w:name="_Toc379367331"/>
      <w:r w:rsidRPr="000907D3">
        <w:rPr>
          <w:rFonts w:ascii="Adobe Caslon Pro" w:hAnsi="Adobe Caslon Pro" w:cs="Arial"/>
          <w:color w:val="auto"/>
          <w:sz w:val="20"/>
          <w:szCs w:val="22"/>
        </w:rPr>
        <w:t xml:space="preserve">Figura </w:t>
      </w:r>
      <w:r w:rsidR="007A6D2B" w:rsidRPr="000907D3">
        <w:rPr>
          <w:rFonts w:ascii="Adobe Caslon Pro" w:hAnsi="Adobe Caslon Pro" w:cs="Arial"/>
          <w:color w:val="auto"/>
          <w:sz w:val="20"/>
          <w:szCs w:val="22"/>
        </w:rPr>
        <w:fldChar w:fldCharType="begin"/>
      </w:r>
      <w:r w:rsidRPr="000907D3">
        <w:rPr>
          <w:rFonts w:ascii="Adobe Caslon Pro" w:hAnsi="Adobe Caslon Pro" w:cs="Arial"/>
          <w:color w:val="auto"/>
          <w:sz w:val="20"/>
          <w:szCs w:val="22"/>
        </w:rPr>
        <w:instrText xml:space="preserve"> SEQ Figura \* ARABIC </w:instrText>
      </w:r>
      <w:r w:rsidR="007A6D2B" w:rsidRPr="000907D3">
        <w:rPr>
          <w:rFonts w:ascii="Adobe Caslon Pro" w:hAnsi="Adobe Caslon Pro" w:cs="Arial"/>
          <w:color w:val="auto"/>
          <w:sz w:val="20"/>
          <w:szCs w:val="22"/>
        </w:rPr>
        <w:fldChar w:fldCharType="separate"/>
      </w:r>
      <w:r w:rsidR="004112D2">
        <w:rPr>
          <w:rFonts w:ascii="Adobe Caslon Pro" w:hAnsi="Adobe Caslon Pro" w:cs="Arial"/>
          <w:noProof/>
          <w:color w:val="auto"/>
          <w:sz w:val="20"/>
          <w:szCs w:val="22"/>
        </w:rPr>
        <w:t>2</w:t>
      </w:r>
      <w:r w:rsidR="007A6D2B" w:rsidRPr="000907D3">
        <w:rPr>
          <w:rFonts w:ascii="Adobe Caslon Pro" w:hAnsi="Adobe Caslon Pro" w:cs="Arial"/>
          <w:color w:val="auto"/>
          <w:sz w:val="20"/>
          <w:szCs w:val="22"/>
        </w:rPr>
        <w:fldChar w:fldCharType="end"/>
      </w:r>
      <w:r w:rsidRPr="000907D3">
        <w:rPr>
          <w:rFonts w:ascii="Adobe Caslon Pro" w:hAnsi="Adobe Caslon Pro" w:cs="Arial"/>
          <w:color w:val="auto"/>
          <w:sz w:val="20"/>
          <w:szCs w:val="22"/>
        </w:rPr>
        <w:t>. CEMEFI: Niveles de indicadores de institucionalidad y transparencia</w:t>
      </w:r>
      <w:bookmarkEnd w:id="51"/>
    </w:p>
    <w:p w:rsidR="00DE29AF" w:rsidRPr="00DE29AF" w:rsidRDefault="00DE29AF" w:rsidP="0043286B">
      <w:pPr>
        <w:spacing w:after="120" w:line="240" w:lineRule="auto"/>
      </w:pPr>
      <w:r>
        <w:rPr>
          <w:noProof/>
          <w:lang w:eastAsia="es-MX"/>
        </w:rPr>
        <w:drawing>
          <wp:inline distT="0" distB="0" distL="0" distR="0" wp14:anchorId="40790AB6" wp14:editId="7E9CC626">
            <wp:extent cx="6030686" cy="3200400"/>
            <wp:effectExtent l="0" t="0" r="0" b="0"/>
            <wp:docPr id="23"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43286B" w:rsidRDefault="000B108C" w:rsidP="0043286B">
      <w:pPr>
        <w:spacing w:after="120" w:line="240" w:lineRule="auto"/>
        <w:rPr>
          <w:rFonts w:ascii="Adobe Caslon Pro" w:hAnsi="Adobe Caslon Pro" w:cs="Arial"/>
          <w:sz w:val="18"/>
          <w:szCs w:val="18"/>
        </w:rPr>
      </w:pPr>
      <w:r w:rsidRPr="000B108C">
        <w:rPr>
          <w:rFonts w:ascii="Adobe Caslon Pro" w:hAnsi="Adobe Caslon Pro" w:cs="Arial"/>
          <w:sz w:val="18"/>
          <w:szCs w:val="18"/>
        </w:rPr>
        <w:t xml:space="preserve">Fuente: CEMEFI, 2013. </w:t>
      </w:r>
    </w:p>
    <w:p w:rsidR="0043286B" w:rsidRDefault="0043286B">
      <w:pPr>
        <w:spacing w:after="200"/>
        <w:rPr>
          <w:rFonts w:ascii="Adobe Caslon Pro" w:hAnsi="Adobe Caslon Pro" w:cs="Arial"/>
          <w:sz w:val="18"/>
          <w:szCs w:val="18"/>
        </w:rPr>
      </w:pPr>
      <w:r>
        <w:rPr>
          <w:rFonts w:ascii="Adobe Caslon Pro" w:hAnsi="Adobe Caslon Pro" w:cs="Arial"/>
          <w:sz w:val="18"/>
          <w:szCs w:val="18"/>
        </w:rPr>
        <w:br w:type="page"/>
      </w:r>
    </w:p>
    <w:p w:rsidR="00506C95" w:rsidRPr="000B108C" w:rsidRDefault="00506C95" w:rsidP="0043286B">
      <w:pPr>
        <w:spacing w:after="120" w:line="240" w:lineRule="auto"/>
        <w:rPr>
          <w:rFonts w:ascii="Adobe Caslon Pro" w:hAnsi="Adobe Caslon Pro" w:cs="Arial"/>
          <w:sz w:val="18"/>
          <w:szCs w:val="18"/>
        </w:rPr>
      </w:pPr>
    </w:p>
    <w:p w:rsidR="00D25F5B" w:rsidRPr="000907D3" w:rsidRDefault="00D25F5B" w:rsidP="0043286B">
      <w:pPr>
        <w:spacing w:after="120" w:line="240" w:lineRule="auto"/>
        <w:jc w:val="center"/>
        <w:rPr>
          <w:rFonts w:ascii="Adobe Caslon Pro" w:hAnsi="Adobe Caslon Pro" w:cs="Arial"/>
          <w:b/>
          <w:sz w:val="20"/>
        </w:rPr>
      </w:pPr>
      <w:bookmarkStart w:id="52" w:name="_Toc381169894"/>
      <w:r w:rsidRPr="000907D3">
        <w:rPr>
          <w:rFonts w:ascii="Adobe Caslon Pro" w:hAnsi="Adobe Caslon Pro" w:cs="Arial"/>
          <w:b/>
          <w:sz w:val="20"/>
        </w:rPr>
        <w:t xml:space="preserve">Gráfica </w:t>
      </w:r>
      <w:r w:rsidR="00ED185F" w:rsidRPr="000907D3">
        <w:rPr>
          <w:rFonts w:ascii="Adobe Caslon Pro" w:hAnsi="Adobe Caslon Pro" w:cs="Arial"/>
          <w:b/>
          <w:sz w:val="20"/>
        </w:rPr>
        <w:t>3</w:t>
      </w:r>
      <w:r w:rsidRPr="000907D3">
        <w:rPr>
          <w:rFonts w:ascii="Adobe Caslon Pro" w:hAnsi="Adobe Caslon Pro" w:cs="Arial"/>
          <w:b/>
          <w:sz w:val="20"/>
        </w:rPr>
        <w:t>. Número de OSC con nivel óptimo de institucionalidad por estado</w:t>
      </w:r>
      <w:bookmarkEnd w:id="52"/>
    </w:p>
    <w:p w:rsidR="00ED185F" w:rsidRPr="000907D3" w:rsidRDefault="00CE04BC" w:rsidP="0043286B">
      <w:pPr>
        <w:spacing w:after="120" w:line="240" w:lineRule="auto"/>
        <w:jc w:val="center"/>
        <w:rPr>
          <w:rFonts w:ascii="Adobe Caslon Pro" w:hAnsi="Adobe Caslon Pro" w:cs="Arial"/>
          <w:sz w:val="18"/>
        </w:rPr>
      </w:pPr>
      <w:r>
        <w:rPr>
          <w:noProof/>
          <w:lang w:eastAsia="es-MX"/>
        </w:rPr>
        <w:drawing>
          <wp:inline distT="0" distB="0" distL="0" distR="0" wp14:anchorId="5F6A9E6F" wp14:editId="184CE144">
            <wp:extent cx="5612130" cy="2232000"/>
            <wp:effectExtent l="0" t="0" r="26670" b="1651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D185F" w:rsidRDefault="00ED185F" w:rsidP="0043286B">
      <w:pPr>
        <w:spacing w:after="120" w:line="240" w:lineRule="auto"/>
        <w:rPr>
          <w:rFonts w:ascii="Adobe Caslon Pro" w:hAnsi="Adobe Caslon Pro" w:cs="Arial"/>
          <w:sz w:val="18"/>
        </w:rPr>
      </w:pPr>
      <w:r w:rsidRPr="000907D3">
        <w:rPr>
          <w:rFonts w:ascii="Adobe Caslon Pro" w:hAnsi="Adobe Caslon Pro" w:cs="Arial"/>
          <w:sz w:val="18"/>
        </w:rPr>
        <w:t>Fuente: CEMEFI, Noviembre 2013</w:t>
      </w:r>
      <w:r w:rsidR="00BD5533">
        <w:rPr>
          <w:rFonts w:ascii="Adobe Caslon Pro" w:hAnsi="Adobe Caslon Pro" w:cs="Arial"/>
          <w:sz w:val="18"/>
        </w:rPr>
        <w:t>.</w:t>
      </w:r>
    </w:p>
    <w:p w:rsidR="00CE04BC" w:rsidRPr="000907D3" w:rsidRDefault="00CE04BC" w:rsidP="0043286B">
      <w:pPr>
        <w:spacing w:after="120" w:line="240" w:lineRule="auto"/>
        <w:jc w:val="center"/>
        <w:rPr>
          <w:rFonts w:ascii="Adobe Caslon Pro" w:hAnsi="Adobe Caslon Pro" w:cs="Arial"/>
          <w:b/>
          <w:sz w:val="20"/>
        </w:rPr>
      </w:pPr>
    </w:p>
    <w:p w:rsidR="00D25F5B" w:rsidRDefault="00D25F5B" w:rsidP="0043286B">
      <w:pPr>
        <w:spacing w:after="120" w:line="240" w:lineRule="auto"/>
        <w:jc w:val="both"/>
        <w:rPr>
          <w:rFonts w:ascii="Adobe Caslon Pro" w:hAnsi="Adobe Caslon Pro" w:cs="Arial"/>
        </w:rPr>
      </w:pPr>
      <w:r w:rsidRPr="000907D3">
        <w:rPr>
          <w:rFonts w:ascii="Adobe Caslon Pro" w:hAnsi="Adobe Caslon Pro" w:cs="Arial"/>
        </w:rPr>
        <w:t xml:space="preserve">Por otro lado, al clasificar a las OSC por tipo de figura jurídica se aprecia que la figura predominante es la </w:t>
      </w:r>
      <w:r w:rsidR="00AE47BB">
        <w:rPr>
          <w:rFonts w:ascii="Adobe Caslon Pro" w:hAnsi="Adobe Caslon Pro" w:cs="Arial"/>
        </w:rPr>
        <w:t>A</w:t>
      </w:r>
      <w:r w:rsidR="00A01135">
        <w:rPr>
          <w:rFonts w:ascii="Adobe Caslon Pro" w:hAnsi="Adobe Caslon Pro" w:cs="Arial"/>
        </w:rPr>
        <w:t xml:space="preserve">sociación </w:t>
      </w:r>
      <w:r w:rsidR="00AE47BB">
        <w:rPr>
          <w:rFonts w:ascii="Adobe Caslon Pro" w:hAnsi="Adobe Caslon Pro" w:cs="Arial"/>
        </w:rPr>
        <w:t>C</w:t>
      </w:r>
      <w:r w:rsidR="00A01135">
        <w:rPr>
          <w:rFonts w:ascii="Adobe Caslon Pro" w:hAnsi="Adobe Caslon Pro" w:cs="Arial"/>
        </w:rPr>
        <w:t>ivil (AC)</w:t>
      </w:r>
      <w:r w:rsidR="0090143E" w:rsidRPr="000907D3">
        <w:rPr>
          <w:rFonts w:ascii="Adobe Caslon Pro" w:hAnsi="Adobe Caslon Pro" w:cs="Arial"/>
        </w:rPr>
        <w:t>,</w:t>
      </w:r>
      <w:r w:rsidRPr="000907D3">
        <w:rPr>
          <w:rFonts w:ascii="Adobe Caslon Pro" w:hAnsi="Adobe Caslon Pro" w:cs="Arial"/>
        </w:rPr>
        <w:t xml:space="preserve"> con 19 mil 15 OSC, secundada por las </w:t>
      </w:r>
      <w:r w:rsidR="00AE47BB">
        <w:rPr>
          <w:rFonts w:ascii="Adobe Caslon Pro" w:hAnsi="Adobe Caslon Pro" w:cs="Arial"/>
        </w:rPr>
        <w:t>I</w:t>
      </w:r>
      <w:r w:rsidR="00A01135">
        <w:rPr>
          <w:rFonts w:ascii="Adobe Caslon Pro" w:hAnsi="Adobe Caslon Pro" w:cs="Arial"/>
        </w:rPr>
        <w:t xml:space="preserve">nstituciones de Asistencia Privada (IAP) </w:t>
      </w:r>
      <w:r w:rsidR="001111E3">
        <w:rPr>
          <w:rFonts w:ascii="Adobe Caslon Pro" w:hAnsi="Adobe Caslon Pro" w:cs="Arial"/>
        </w:rPr>
        <w:t>con 726</w:t>
      </w:r>
      <w:r w:rsidRPr="000907D3">
        <w:rPr>
          <w:rFonts w:ascii="Adobe Caslon Pro" w:hAnsi="Adobe Caslon Pro" w:cs="Arial"/>
        </w:rPr>
        <w:t xml:space="preserve">. Sin embargo, la proporción de OSC inactivas es más alto en las </w:t>
      </w:r>
      <w:r w:rsidR="00AE47BB">
        <w:rPr>
          <w:rFonts w:ascii="Adobe Caslon Pro" w:hAnsi="Adobe Caslon Pro" w:cs="Arial"/>
        </w:rPr>
        <w:t>A</w:t>
      </w:r>
      <w:r w:rsidR="00A01135">
        <w:rPr>
          <w:rFonts w:ascii="Adobe Caslon Pro" w:hAnsi="Adobe Caslon Pro" w:cs="Arial"/>
        </w:rPr>
        <w:t>sociaciones de Beneficencia Privada (A</w:t>
      </w:r>
      <w:r w:rsidR="00AE47BB">
        <w:rPr>
          <w:rFonts w:ascii="Adobe Caslon Pro" w:hAnsi="Adobe Caslon Pro" w:cs="Arial"/>
        </w:rPr>
        <w:t>BP</w:t>
      </w:r>
      <w:r w:rsidR="00A01135">
        <w:rPr>
          <w:rFonts w:ascii="Adobe Caslon Pro" w:hAnsi="Adobe Caslon Pro" w:cs="Arial"/>
        </w:rPr>
        <w:t>)</w:t>
      </w:r>
      <w:r w:rsidRPr="000907D3">
        <w:rPr>
          <w:rFonts w:ascii="Adobe Caslon Pro" w:hAnsi="Adobe Caslon Pro" w:cs="Arial"/>
        </w:rPr>
        <w:t xml:space="preserve"> que las </w:t>
      </w:r>
      <w:r w:rsidR="00AE47BB">
        <w:rPr>
          <w:rFonts w:ascii="Adobe Caslon Pro" w:hAnsi="Adobe Caslon Pro" w:cs="Arial"/>
        </w:rPr>
        <w:t>AC</w:t>
      </w:r>
      <w:r w:rsidRPr="000907D3">
        <w:rPr>
          <w:rFonts w:ascii="Adobe Caslon Pro" w:hAnsi="Adobe Caslon Pro" w:cs="Arial"/>
        </w:rPr>
        <w:t xml:space="preserve"> (17% </w:t>
      </w:r>
      <w:r w:rsidRPr="000907D3">
        <w:rPr>
          <w:rFonts w:ascii="Adobe Caslon Pro" w:hAnsi="Adobe Caslon Pro" w:cs="Arial"/>
          <w:i/>
        </w:rPr>
        <w:t>vs</w:t>
      </w:r>
      <w:r w:rsidRPr="000907D3">
        <w:rPr>
          <w:rFonts w:ascii="Adobe Caslon Pro" w:hAnsi="Adobe Caslon Pro" w:cs="Arial"/>
        </w:rPr>
        <w:t xml:space="preserve"> 14%), lo cual contrasta con las figuras de</w:t>
      </w:r>
      <w:r w:rsidR="00A01135">
        <w:rPr>
          <w:rFonts w:ascii="Adobe Caslon Pro" w:hAnsi="Adobe Caslon Pro" w:cs="Arial"/>
        </w:rPr>
        <w:t xml:space="preserve"> las Instituciones de Beneficencia Privada</w:t>
      </w:r>
      <w:r w:rsidRPr="000907D3">
        <w:rPr>
          <w:rFonts w:ascii="Adobe Caslon Pro" w:hAnsi="Adobe Caslon Pro" w:cs="Arial"/>
        </w:rPr>
        <w:t xml:space="preserve"> </w:t>
      </w:r>
      <w:r w:rsidR="00A01135">
        <w:rPr>
          <w:rFonts w:ascii="Adobe Caslon Pro" w:hAnsi="Adobe Caslon Pro" w:cs="Arial"/>
        </w:rPr>
        <w:t>(</w:t>
      </w:r>
      <w:r w:rsidR="00AE47BB">
        <w:rPr>
          <w:rFonts w:ascii="Adobe Caslon Pro" w:hAnsi="Adobe Caslon Pro" w:cs="Arial"/>
        </w:rPr>
        <w:t>IBP</w:t>
      </w:r>
      <w:r w:rsidR="00A01135">
        <w:rPr>
          <w:rFonts w:ascii="Adobe Caslon Pro" w:hAnsi="Adobe Caslon Pro" w:cs="Arial"/>
        </w:rPr>
        <w:t>)</w:t>
      </w:r>
      <w:r w:rsidRPr="000907D3">
        <w:rPr>
          <w:rFonts w:ascii="Adobe Caslon Pro" w:hAnsi="Adobe Caslon Pro" w:cs="Arial"/>
        </w:rPr>
        <w:t xml:space="preserve"> y </w:t>
      </w:r>
      <w:r w:rsidR="00AE47BB">
        <w:rPr>
          <w:rFonts w:ascii="Adobe Caslon Pro" w:hAnsi="Adobe Caslon Pro" w:cs="Arial"/>
        </w:rPr>
        <w:t>S</w:t>
      </w:r>
      <w:r w:rsidR="00A01135">
        <w:rPr>
          <w:rFonts w:ascii="Adobe Caslon Pro" w:hAnsi="Adobe Caslon Pro" w:cs="Arial"/>
        </w:rPr>
        <w:t xml:space="preserve">ociedad </w:t>
      </w:r>
      <w:r w:rsidR="00AE47BB">
        <w:rPr>
          <w:rFonts w:ascii="Adobe Caslon Pro" w:hAnsi="Adobe Caslon Pro" w:cs="Arial"/>
        </w:rPr>
        <w:t>C</w:t>
      </w:r>
      <w:r w:rsidR="00A01135">
        <w:rPr>
          <w:rFonts w:ascii="Adobe Caslon Pro" w:hAnsi="Adobe Caslon Pro" w:cs="Arial"/>
        </w:rPr>
        <w:t>ivil (SC)</w:t>
      </w:r>
      <w:r w:rsidRPr="000907D3">
        <w:rPr>
          <w:rFonts w:ascii="Adobe Caslon Pro" w:hAnsi="Adobe Caslon Pro" w:cs="Arial"/>
        </w:rPr>
        <w:t xml:space="preserve"> las cuales tienen un porcentaje menor de OSC inactivas de 0 y 4%, respectivamente. La figura jurídica de </w:t>
      </w:r>
      <w:r w:rsidR="00AE47BB">
        <w:rPr>
          <w:rFonts w:ascii="Adobe Caslon Pro" w:hAnsi="Adobe Caslon Pro" w:cs="Arial"/>
        </w:rPr>
        <w:t>SC</w:t>
      </w:r>
      <w:r w:rsidRPr="000907D3">
        <w:rPr>
          <w:rFonts w:ascii="Adobe Caslon Pro" w:hAnsi="Adobe Caslon Pro" w:cs="Arial"/>
        </w:rPr>
        <w:t xml:space="preserve"> destaca por estar 100% activas</w:t>
      </w:r>
      <w:r w:rsidRPr="000907D3">
        <w:rPr>
          <w:rStyle w:val="Refdenotaalpie"/>
          <w:rFonts w:ascii="Adobe Caslon Pro" w:hAnsi="Adobe Caslon Pro" w:cs="Arial"/>
        </w:rPr>
        <w:footnoteReference w:id="12"/>
      </w:r>
      <w:r w:rsidRPr="000907D3">
        <w:rPr>
          <w:rFonts w:ascii="Adobe Caslon Pro" w:hAnsi="Adobe Caslon Pro" w:cs="Arial"/>
        </w:rPr>
        <w:t>.</w:t>
      </w:r>
    </w:p>
    <w:p w:rsidR="00AE5A03" w:rsidRDefault="00D25F5B" w:rsidP="0043286B">
      <w:pPr>
        <w:pStyle w:val="Epgrafe"/>
        <w:spacing w:before="240" w:after="120"/>
        <w:jc w:val="center"/>
        <w:rPr>
          <w:rFonts w:ascii="Adobe Caslon Pro" w:hAnsi="Adobe Caslon Pro" w:cs="Arial"/>
        </w:rPr>
      </w:pPr>
      <w:bookmarkStart w:id="53" w:name="_Toc381169895"/>
      <w:r w:rsidRPr="004E1B0D">
        <w:rPr>
          <w:rFonts w:ascii="Adobe Caslon Pro" w:hAnsi="Adobe Caslon Pro" w:cs="Arial"/>
          <w:color w:val="000000" w:themeColor="text1"/>
          <w:sz w:val="20"/>
          <w:szCs w:val="20"/>
        </w:rPr>
        <w:t xml:space="preserve">Gráfica </w:t>
      </w:r>
      <w:r w:rsidR="00DB1F19" w:rsidRPr="004E1B0D">
        <w:rPr>
          <w:rFonts w:ascii="Adobe Caslon Pro" w:hAnsi="Adobe Caslon Pro" w:cs="Arial"/>
          <w:color w:val="000000" w:themeColor="text1"/>
          <w:sz w:val="20"/>
          <w:szCs w:val="20"/>
        </w:rPr>
        <w:t>4</w:t>
      </w:r>
      <w:r w:rsidRPr="004E1B0D">
        <w:rPr>
          <w:rFonts w:ascii="Adobe Caslon Pro" w:hAnsi="Adobe Caslon Pro" w:cs="Arial"/>
          <w:color w:val="000000" w:themeColor="text1"/>
          <w:sz w:val="20"/>
          <w:szCs w:val="20"/>
        </w:rPr>
        <w:t>. OSC Activas e Inactivas en el Registro Federal,</w:t>
      </w:r>
      <w:bookmarkEnd w:id="53"/>
      <w:r w:rsidR="00874EC3">
        <w:rPr>
          <w:rFonts w:ascii="Adobe Caslon Pro" w:hAnsi="Adobe Caslon Pro" w:cs="Arial"/>
          <w:color w:val="000000" w:themeColor="text1"/>
          <w:sz w:val="20"/>
          <w:szCs w:val="20"/>
        </w:rPr>
        <w:t xml:space="preserve"> </w:t>
      </w:r>
      <w:r w:rsidR="00ED185F" w:rsidRPr="004E1B0D">
        <w:rPr>
          <w:rFonts w:ascii="Adobe Caslon Pro" w:hAnsi="Adobe Caslon Pro"/>
          <w:color w:val="000000" w:themeColor="text1"/>
          <w:sz w:val="20"/>
          <w:szCs w:val="20"/>
        </w:rPr>
        <w:t>(porcentaje)</w:t>
      </w:r>
      <w:r w:rsidR="00DB1F19" w:rsidRPr="000907D3">
        <w:rPr>
          <w:rFonts w:ascii="Adobe Caslon Pro" w:hAnsi="Adobe Caslon Pro" w:cs="Arial"/>
          <w:noProof/>
          <w:lang w:eastAsia="es-MX"/>
        </w:rPr>
        <w:drawing>
          <wp:inline distT="0" distB="0" distL="0" distR="0" wp14:anchorId="586AB87B" wp14:editId="11342B2A">
            <wp:extent cx="4572000" cy="2232000"/>
            <wp:effectExtent l="0" t="0" r="19050" b="1651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B1F19" w:rsidRPr="000907D3" w:rsidRDefault="00DB1F19" w:rsidP="0043286B">
      <w:pPr>
        <w:spacing w:after="120" w:line="240" w:lineRule="auto"/>
        <w:rPr>
          <w:rFonts w:ascii="Adobe Caslon Pro" w:hAnsi="Adobe Caslon Pro" w:cs="Arial"/>
          <w:sz w:val="18"/>
        </w:rPr>
      </w:pPr>
      <w:r w:rsidRPr="000907D3">
        <w:rPr>
          <w:rFonts w:ascii="Adobe Caslon Pro" w:hAnsi="Adobe Caslon Pro" w:cs="Arial"/>
          <w:sz w:val="18"/>
        </w:rPr>
        <w:t xml:space="preserve">Fuente: </w:t>
      </w:r>
      <w:r w:rsidR="0043286B">
        <w:rPr>
          <w:rFonts w:ascii="Adobe Caslon Pro" w:hAnsi="Adobe Caslon Pro" w:cs="Arial"/>
          <w:sz w:val="18"/>
        </w:rPr>
        <w:t>E</w:t>
      </w:r>
      <w:r w:rsidRPr="000907D3">
        <w:rPr>
          <w:rFonts w:ascii="Adobe Caslon Pro" w:hAnsi="Adobe Caslon Pro" w:cs="Arial"/>
          <w:sz w:val="18"/>
        </w:rPr>
        <w:t>laboración propia con información del Registro Federal de OSC a octubre de 2013.</w:t>
      </w:r>
    </w:p>
    <w:p w:rsidR="00D25F5B" w:rsidRPr="004C0712" w:rsidRDefault="00D25F5B" w:rsidP="0043286B">
      <w:pPr>
        <w:spacing w:after="120" w:line="240" w:lineRule="auto"/>
        <w:jc w:val="both"/>
        <w:rPr>
          <w:rFonts w:ascii="Adobe Caslon Pro" w:hAnsi="Adobe Caslon Pro" w:cs="Arial"/>
          <w:b/>
        </w:rPr>
      </w:pPr>
      <w:r w:rsidRPr="004C0712">
        <w:rPr>
          <w:rFonts w:ascii="Adobe Caslon Pro" w:hAnsi="Adobe Caslon Pro" w:cs="Arial"/>
          <w:b/>
        </w:rPr>
        <w:lastRenderedPageBreak/>
        <w:t>Incipiente participación ciudadana</w:t>
      </w:r>
    </w:p>
    <w:p w:rsidR="00D25F5B" w:rsidRDefault="00D25F5B" w:rsidP="0043286B">
      <w:pPr>
        <w:spacing w:after="120" w:line="240" w:lineRule="auto"/>
        <w:jc w:val="both"/>
        <w:rPr>
          <w:rFonts w:ascii="Adobe Caslon Pro" w:hAnsi="Adobe Caslon Pro" w:cs="Arial"/>
        </w:rPr>
      </w:pPr>
      <w:r w:rsidRPr="000907D3">
        <w:rPr>
          <w:rFonts w:ascii="Adobe Caslon Pro" w:hAnsi="Adobe Caslon Pro" w:cs="Arial"/>
        </w:rPr>
        <w:t>En 1985</w:t>
      </w:r>
      <w:r w:rsidR="00AE47BB">
        <w:rPr>
          <w:rFonts w:ascii="Adobe Caslon Pro" w:hAnsi="Adobe Caslon Pro" w:cs="Arial"/>
        </w:rPr>
        <w:t xml:space="preserve">, </w:t>
      </w:r>
      <w:r w:rsidRPr="000907D3">
        <w:rPr>
          <w:rFonts w:ascii="Adobe Caslon Pro" w:hAnsi="Adobe Caslon Pro" w:cs="Arial"/>
        </w:rPr>
        <w:t>debido a los grandes desastres causados por los sismos en la Ciudad de México, se dio lugar a la organización aparentemente espontánea de grupos de ciudadanas y ciudadanos que orientaron sus esfuerzos a apoyar a los sectores de personas afectados por la tragedia. A la postre, estos grupos permanecieron como OSC y sentaron las bases de la participación de la sociedad civil organizada en asuntos de orden público.</w:t>
      </w:r>
    </w:p>
    <w:p w:rsidR="00D25F5B" w:rsidRDefault="00D25F5B" w:rsidP="0043286B">
      <w:pPr>
        <w:spacing w:after="120" w:line="240" w:lineRule="auto"/>
        <w:jc w:val="both"/>
        <w:rPr>
          <w:rFonts w:ascii="Adobe Caslon Pro" w:hAnsi="Adobe Caslon Pro" w:cs="Arial"/>
        </w:rPr>
      </w:pPr>
      <w:r w:rsidRPr="000907D3">
        <w:rPr>
          <w:rFonts w:ascii="Adobe Caslon Pro" w:hAnsi="Adobe Caslon Pro" w:cs="Arial"/>
        </w:rPr>
        <w:t>No obstante la reivindicación de derechos y de apoyo social</w:t>
      </w:r>
      <w:r w:rsidR="00A01135">
        <w:rPr>
          <w:rFonts w:ascii="Adobe Caslon Pro" w:hAnsi="Adobe Caslon Pro" w:cs="Arial"/>
        </w:rPr>
        <w:t xml:space="preserve"> que se observó durante los noventas</w:t>
      </w:r>
      <w:r w:rsidRPr="000907D3">
        <w:rPr>
          <w:rFonts w:ascii="Adobe Caslon Pro" w:hAnsi="Adobe Caslon Pro" w:cs="Arial"/>
        </w:rPr>
        <w:t>;</w:t>
      </w:r>
      <w:r w:rsidR="00A01135">
        <w:rPr>
          <w:rFonts w:ascii="Adobe Caslon Pro" w:hAnsi="Adobe Caslon Pro" w:cs="Arial"/>
        </w:rPr>
        <w:t xml:space="preserve"> una vez</w:t>
      </w:r>
      <w:r w:rsidRPr="000907D3">
        <w:rPr>
          <w:rFonts w:ascii="Adobe Caslon Pro" w:hAnsi="Adobe Caslon Pro" w:cs="Arial"/>
        </w:rPr>
        <w:t xml:space="preserve"> iniciado el siglo XXI, fue evidente el bajo nivel de desarrollo institucional para fomentar y regular la participación de la sociedad civil organizada, lo que requirió empezar a generar los instrumentos normativos necesarios para regular este tipo de participación. Entre ellos se encuentran, </w:t>
      </w:r>
      <w:r w:rsidR="00A02E4E" w:rsidRPr="000907D3">
        <w:rPr>
          <w:rFonts w:ascii="Adobe Caslon Pro" w:hAnsi="Adobe Caslon Pro" w:cs="Arial"/>
        </w:rPr>
        <w:t>la</w:t>
      </w:r>
      <w:r w:rsidR="00874EC3">
        <w:rPr>
          <w:rFonts w:ascii="Adobe Caslon Pro" w:hAnsi="Adobe Caslon Pro" w:cs="Arial"/>
        </w:rPr>
        <w:t xml:space="preserve"> </w:t>
      </w:r>
      <w:r w:rsidR="00A711AD">
        <w:rPr>
          <w:rFonts w:ascii="Adobe Caslon Pro" w:hAnsi="Adobe Caslon Pro" w:cs="Arial"/>
        </w:rPr>
        <w:t>LFTAIPG</w:t>
      </w:r>
      <w:r w:rsidR="00A02E4E" w:rsidRPr="000907D3">
        <w:rPr>
          <w:rFonts w:ascii="Adobe Caslon Pro" w:hAnsi="Adobe Caslon Pro" w:cs="Arial"/>
        </w:rPr>
        <w:t xml:space="preserve">, la </w:t>
      </w:r>
      <w:r w:rsidR="00A711AD">
        <w:rPr>
          <w:rFonts w:ascii="Adobe Caslon Pro" w:hAnsi="Adobe Caslon Pro" w:cs="Arial"/>
        </w:rPr>
        <w:t>LGDS</w:t>
      </w:r>
      <w:r w:rsidR="00874EC3">
        <w:rPr>
          <w:rFonts w:ascii="Adobe Caslon Pro" w:hAnsi="Adobe Caslon Pro" w:cs="Arial"/>
        </w:rPr>
        <w:t xml:space="preserve"> </w:t>
      </w:r>
      <w:r w:rsidR="00A02E4E" w:rsidRPr="000907D3">
        <w:rPr>
          <w:rFonts w:ascii="Adobe Caslon Pro" w:hAnsi="Adobe Caslon Pro" w:cs="Arial"/>
        </w:rPr>
        <w:t xml:space="preserve">y la </w:t>
      </w:r>
      <w:r w:rsidR="00A711AD">
        <w:rPr>
          <w:rFonts w:ascii="Adobe Caslon Pro" w:hAnsi="Adobe Caslon Pro" w:cs="Arial"/>
        </w:rPr>
        <w:t>LFFAROSC</w:t>
      </w:r>
      <w:r w:rsidR="00A02E4E" w:rsidRPr="000907D3">
        <w:rPr>
          <w:rFonts w:ascii="Adobe Caslon Pro" w:hAnsi="Adobe Caslon Pro" w:cs="Arial"/>
        </w:rPr>
        <w:t xml:space="preserve">. </w:t>
      </w:r>
      <w:r w:rsidRPr="000907D3">
        <w:rPr>
          <w:rFonts w:ascii="Adobe Caslon Pro" w:hAnsi="Adobe Caslon Pro" w:cs="Arial"/>
        </w:rPr>
        <w:t xml:space="preserve">Sin embargo, la participación ciudadana aún es pequeña comparada con la de otros países. </w:t>
      </w:r>
      <w:r w:rsidR="00A02E4E" w:rsidRPr="000907D3">
        <w:rPr>
          <w:rFonts w:ascii="Adobe Caslon Pro" w:hAnsi="Adobe Caslon Pro" w:cs="Arial"/>
        </w:rPr>
        <w:t>Para evidenciar este punto, m</w:t>
      </w:r>
      <w:r w:rsidRPr="000907D3">
        <w:rPr>
          <w:rFonts w:ascii="Adobe Caslon Pro" w:hAnsi="Adobe Caslon Pro" w:cs="Arial"/>
        </w:rPr>
        <w:t>ientras que en 2008 en Estados Unidos de América y en Chile había 65 y 60</w:t>
      </w:r>
      <w:r w:rsidR="00AE47BB">
        <w:rPr>
          <w:rFonts w:ascii="Adobe Caslon Pro" w:hAnsi="Adobe Caslon Pro" w:cs="Arial"/>
        </w:rPr>
        <w:t xml:space="preserve"> </w:t>
      </w:r>
      <w:r w:rsidR="00C818CA" w:rsidRPr="000907D3">
        <w:rPr>
          <w:rFonts w:ascii="Adobe Caslon Pro" w:hAnsi="Adobe Caslon Pro" w:cs="Arial"/>
        </w:rPr>
        <w:t>OSC</w:t>
      </w:r>
      <w:r w:rsidRPr="000907D3">
        <w:rPr>
          <w:rFonts w:ascii="Adobe Caslon Pro" w:hAnsi="Adobe Caslon Pro" w:cs="Arial"/>
        </w:rPr>
        <w:t>, respectivamente, por cada 10 mil habitantes, en México había 1.7 OSC para el mismo número de personas, lo cual ilus</w:t>
      </w:r>
      <w:r w:rsidR="00AE47BB">
        <w:rPr>
          <w:rFonts w:ascii="Adobe Caslon Pro" w:hAnsi="Adobe Caslon Pro" w:cs="Arial"/>
        </w:rPr>
        <w:t>tra una amplia diferencia (</w:t>
      </w:r>
      <w:r w:rsidRPr="000907D3">
        <w:rPr>
          <w:rFonts w:ascii="Adobe Caslon Pro" w:hAnsi="Adobe Caslon Pro" w:cs="Arial"/>
        </w:rPr>
        <w:t xml:space="preserve">Ablanedo, 2009). </w:t>
      </w:r>
    </w:p>
    <w:p w:rsidR="00D25F5B" w:rsidRDefault="00D25F5B" w:rsidP="0043286B">
      <w:pPr>
        <w:pStyle w:val="Epgrafe"/>
        <w:spacing w:after="120"/>
        <w:jc w:val="center"/>
        <w:rPr>
          <w:rFonts w:ascii="Adobe Caslon Pro" w:hAnsi="Adobe Caslon Pro" w:cs="Arial"/>
          <w:color w:val="000000"/>
          <w:sz w:val="20"/>
          <w:szCs w:val="22"/>
        </w:rPr>
      </w:pPr>
      <w:bookmarkStart w:id="54" w:name="_Toc381169896"/>
      <w:r w:rsidRPr="000907D3">
        <w:rPr>
          <w:rFonts w:ascii="Adobe Caslon Pro" w:hAnsi="Adobe Caslon Pro" w:cs="Arial"/>
          <w:color w:val="000000"/>
          <w:sz w:val="20"/>
          <w:szCs w:val="22"/>
        </w:rPr>
        <w:t xml:space="preserve">Gráfica </w:t>
      </w:r>
      <w:r w:rsidR="00DB1F19" w:rsidRPr="000907D3">
        <w:rPr>
          <w:rFonts w:ascii="Adobe Caslon Pro" w:hAnsi="Adobe Caslon Pro" w:cs="Arial"/>
          <w:color w:val="000000"/>
          <w:sz w:val="20"/>
          <w:szCs w:val="22"/>
        </w:rPr>
        <w:t>5</w:t>
      </w:r>
      <w:r w:rsidRPr="000907D3">
        <w:rPr>
          <w:rFonts w:ascii="Adobe Caslon Pro" w:hAnsi="Adobe Caslon Pro" w:cs="Arial"/>
          <w:color w:val="000000"/>
          <w:sz w:val="20"/>
          <w:szCs w:val="22"/>
        </w:rPr>
        <w:t>. Número de OSC por cada 10 mil habitantes en 2008</w:t>
      </w:r>
      <w:bookmarkEnd w:id="54"/>
    </w:p>
    <w:p w:rsidR="002C0F1F" w:rsidRDefault="002C0F1F" w:rsidP="0043286B">
      <w:pPr>
        <w:spacing w:after="120" w:line="240" w:lineRule="auto"/>
        <w:jc w:val="center"/>
      </w:pPr>
      <w:r>
        <w:rPr>
          <w:noProof/>
          <w:lang w:eastAsia="es-MX"/>
        </w:rPr>
        <w:drawing>
          <wp:inline distT="0" distB="0" distL="0" distR="0" wp14:anchorId="1968B3FD" wp14:editId="60CDC08F">
            <wp:extent cx="4467224" cy="1995486"/>
            <wp:effectExtent l="0" t="0" r="10160" b="2413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C0F1F" w:rsidRDefault="002C0F1F" w:rsidP="0043286B">
      <w:pPr>
        <w:spacing w:after="120" w:line="240" w:lineRule="auto"/>
        <w:rPr>
          <w:rFonts w:ascii="Adobe Caslon Pro" w:hAnsi="Adobe Caslon Pro" w:cs="Arial"/>
          <w:sz w:val="18"/>
        </w:rPr>
      </w:pPr>
      <w:r w:rsidRPr="000907D3">
        <w:rPr>
          <w:rFonts w:ascii="Adobe Caslon Pro" w:hAnsi="Adobe Caslon Pro" w:cs="Arial"/>
          <w:sz w:val="18"/>
        </w:rPr>
        <w:t xml:space="preserve">Fuente: </w:t>
      </w:r>
      <w:r w:rsidR="00A01135">
        <w:rPr>
          <w:rFonts w:ascii="Adobe Caslon Pro" w:hAnsi="Adobe Caslon Pro" w:cs="Arial"/>
          <w:sz w:val="18"/>
        </w:rPr>
        <w:t xml:space="preserve">Elaboración propia con datos de </w:t>
      </w:r>
      <w:r w:rsidRPr="000907D3">
        <w:rPr>
          <w:rFonts w:ascii="Adobe Caslon Pro" w:hAnsi="Adobe Caslon Pro" w:cs="Arial"/>
          <w:sz w:val="18"/>
        </w:rPr>
        <w:t>Ablanedo</w:t>
      </w:r>
      <w:r w:rsidR="00A01135">
        <w:rPr>
          <w:rFonts w:ascii="Adobe Caslon Pro" w:hAnsi="Adobe Caslon Pro" w:cs="Arial"/>
          <w:sz w:val="18"/>
        </w:rPr>
        <w:t>.</w:t>
      </w:r>
    </w:p>
    <w:p w:rsidR="0056695B" w:rsidRDefault="0056695B" w:rsidP="0043286B">
      <w:pPr>
        <w:spacing w:after="120" w:line="240" w:lineRule="auto"/>
        <w:jc w:val="both"/>
        <w:rPr>
          <w:rFonts w:ascii="Adobe Caslon Pro" w:hAnsi="Adobe Caslon Pro" w:cs="Arial"/>
        </w:rPr>
      </w:pPr>
    </w:p>
    <w:p w:rsidR="00D25F5B" w:rsidRPr="000907D3" w:rsidRDefault="00D25F5B" w:rsidP="00AE47BB">
      <w:pPr>
        <w:spacing w:after="120" w:line="240" w:lineRule="auto"/>
        <w:jc w:val="both"/>
        <w:rPr>
          <w:rFonts w:ascii="Adobe Caslon Pro" w:hAnsi="Adobe Caslon Pro" w:cs="Arial"/>
        </w:rPr>
      </w:pPr>
      <w:r w:rsidRPr="000907D3">
        <w:rPr>
          <w:rFonts w:ascii="Adobe Caslon Pro" w:hAnsi="Adobe Caslon Pro" w:cs="Arial"/>
        </w:rPr>
        <w:t>La participación ciudadana se puede apreciar en distintos ámbitos, como el religioso, vecinal, deportivo,</w:t>
      </w:r>
      <w:r w:rsidR="00AE47BB">
        <w:rPr>
          <w:rFonts w:ascii="Adobe Caslon Pro" w:hAnsi="Adobe Caslon Pro" w:cs="Arial"/>
        </w:rPr>
        <w:t xml:space="preserve"> artístico, cultural, entre otros.</w:t>
      </w:r>
      <w:r w:rsidRPr="000907D3">
        <w:rPr>
          <w:rFonts w:ascii="Adobe Caslon Pro" w:hAnsi="Adobe Caslon Pro" w:cs="Arial"/>
        </w:rPr>
        <w:t xml:space="preserve"> Para el año 2012,</w:t>
      </w:r>
      <w:r w:rsidR="00A01135">
        <w:rPr>
          <w:rFonts w:ascii="Adobe Caslon Pro" w:hAnsi="Adobe Caslon Pro" w:cs="Arial"/>
        </w:rPr>
        <w:t xml:space="preserve"> de acuerdo con la ENCUP, el</w:t>
      </w:r>
      <w:r w:rsidRPr="000907D3">
        <w:rPr>
          <w:rFonts w:ascii="Adobe Caslon Pro" w:hAnsi="Adobe Caslon Pro" w:cs="Arial"/>
        </w:rPr>
        <w:t xml:space="preserve"> </w:t>
      </w:r>
      <w:r w:rsidR="00AE47BB">
        <w:rPr>
          <w:rFonts w:ascii="Adobe Caslon Pro" w:hAnsi="Adobe Caslon Pro" w:cs="Arial"/>
        </w:rPr>
        <w:t xml:space="preserve">11.7% de las personas afirmaron </w:t>
      </w:r>
      <w:r w:rsidR="00AE47BB" w:rsidRPr="000907D3">
        <w:rPr>
          <w:rFonts w:ascii="Adobe Caslon Pro" w:hAnsi="Adobe Caslon Pro" w:cs="Arial"/>
        </w:rPr>
        <w:t>ser o haber sido miembros de una organización de ciudadanos</w:t>
      </w:r>
      <w:r w:rsidR="00AE47BB">
        <w:rPr>
          <w:rFonts w:ascii="Adobe Caslon Pro" w:hAnsi="Adobe Caslon Pro" w:cs="Arial"/>
        </w:rPr>
        <w:t xml:space="preserve"> lo</w:t>
      </w:r>
      <w:r w:rsidRPr="000907D3">
        <w:rPr>
          <w:rFonts w:ascii="Adobe Caslon Pro" w:hAnsi="Adobe Caslon Pro" w:cs="Arial"/>
        </w:rPr>
        <w:t xml:space="preserve"> que equivale a 9 millones de personas, este dato refleja un aumento en el involucramiento de la población dentro de las organizaciones, debido a que en 2008 sólo el 6.3% afirmó pertenecer a una organización de ciudadanas o ciudadanos. </w:t>
      </w:r>
      <w:r w:rsidR="00AE47BB">
        <w:rPr>
          <w:rFonts w:ascii="Adobe Caslon Pro" w:hAnsi="Adobe Caslon Pro" w:cs="Arial"/>
        </w:rPr>
        <w:t>En este sentido, l</w:t>
      </w:r>
      <w:r w:rsidRPr="000907D3">
        <w:rPr>
          <w:rFonts w:ascii="Adobe Caslon Pro" w:hAnsi="Adobe Caslon Pro" w:cs="Arial"/>
        </w:rPr>
        <w:t>a ciudadanía que participa en organizaciones de voluntariado o beneficencia</w:t>
      </w:r>
      <w:r w:rsidR="00AE47BB">
        <w:rPr>
          <w:rFonts w:ascii="Adobe Caslon Pro" w:hAnsi="Adobe Caslon Pro" w:cs="Arial"/>
        </w:rPr>
        <w:t xml:space="preserve"> (12%)</w:t>
      </w:r>
      <w:r w:rsidRPr="000907D3">
        <w:rPr>
          <w:rFonts w:ascii="Adobe Caslon Pro" w:hAnsi="Adobe Caslon Pro" w:cs="Arial"/>
        </w:rPr>
        <w:t xml:space="preserve"> es mayor al de miembros de agrupaciones políticas</w:t>
      </w:r>
      <w:r w:rsidR="00A01135">
        <w:rPr>
          <w:rFonts w:ascii="Adobe Caslon Pro" w:hAnsi="Adobe Caslon Pro" w:cs="Arial"/>
        </w:rPr>
        <w:t xml:space="preserve"> (7.4%).</w:t>
      </w:r>
    </w:p>
    <w:p w:rsidR="006C6205" w:rsidRDefault="00D25F5B" w:rsidP="006C6205">
      <w:pPr>
        <w:spacing w:after="120" w:line="240" w:lineRule="auto"/>
        <w:jc w:val="both"/>
        <w:rPr>
          <w:rFonts w:ascii="Adobe Caslon Pro" w:hAnsi="Adobe Caslon Pro" w:cs="Arial"/>
        </w:rPr>
      </w:pPr>
      <w:r w:rsidRPr="000907D3">
        <w:rPr>
          <w:rFonts w:ascii="Adobe Caslon Pro" w:hAnsi="Adobe Caslon Pro" w:cs="Arial"/>
        </w:rPr>
        <w:lastRenderedPageBreak/>
        <w:t>En cuestiones solidarias el 82.3% de la población ha participado con donativos a la Cruz Roja y un 69% ha donado alimentos, medicina</w:t>
      </w:r>
      <w:r w:rsidR="006E30C8">
        <w:rPr>
          <w:rFonts w:ascii="Adobe Caslon Pro" w:hAnsi="Adobe Caslon Pro" w:cs="Arial"/>
        </w:rPr>
        <w:t>s y/o ropa en casos de desastres y c</w:t>
      </w:r>
      <w:r w:rsidRPr="000907D3">
        <w:rPr>
          <w:rFonts w:ascii="Adobe Caslon Pro" w:hAnsi="Adobe Caslon Pro" w:cs="Arial"/>
        </w:rPr>
        <w:t>asi una tercera parte de la población ha participado como voluntario en alguna actividad a beneficio de la comunidad.</w:t>
      </w:r>
      <w:r w:rsidR="006C6205">
        <w:rPr>
          <w:rFonts w:ascii="Adobe Caslon Pro" w:hAnsi="Adobe Caslon Pro" w:cs="Arial"/>
        </w:rPr>
        <w:t xml:space="preserve"> </w:t>
      </w:r>
      <w:r w:rsidR="006C6205" w:rsidRPr="006C6205">
        <w:rPr>
          <w:rFonts w:ascii="Adobe Caslon Pro" w:hAnsi="Adobe Caslon Pro" w:cs="Arial"/>
        </w:rPr>
        <w:t>Sin embargo, en comparación con otros países el panorama no es alentador ya que de acuerdo con el índice comparado para 35 países que relaciona el porcentaje de la población económicamente activa (no agrícola) que pertenece a alguna organización sin fines de lucro, México se sit</w:t>
      </w:r>
      <w:r w:rsidR="006C6205">
        <w:rPr>
          <w:rFonts w:ascii="Adobe Caslon Pro" w:hAnsi="Adobe Caslon Pro" w:cs="Arial"/>
        </w:rPr>
        <w:t>uó en el último lugar en 2002.</w:t>
      </w:r>
      <w:r w:rsidR="006C6205" w:rsidRPr="006C6205">
        <w:rPr>
          <w:rFonts w:ascii="Adobe Caslon Pro" w:hAnsi="Adobe Caslon Pro" w:cs="Arial"/>
        </w:rPr>
        <w:t xml:space="preserve"> El promedio para el grupo de 35 países fue de 4.4%, los tres primeros sitios estuvieron en un rango de 10.4% y 14.4%, mientras que México obtuvo 0.4%. </w:t>
      </w:r>
      <w:r w:rsidR="006C6205">
        <w:rPr>
          <w:rFonts w:ascii="Adobe Caslon Pro" w:hAnsi="Adobe Caslon Pro" w:cs="Arial"/>
        </w:rPr>
        <w:t xml:space="preserve"> </w:t>
      </w:r>
    </w:p>
    <w:p w:rsidR="00D25F5B" w:rsidRPr="000907D3" w:rsidRDefault="00D25F5B" w:rsidP="0043286B">
      <w:pPr>
        <w:pStyle w:val="Epgrafe"/>
        <w:spacing w:after="120"/>
        <w:jc w:val="center"/>
        <w:rPr>
          <w:rFonts w:ascii="Adobe Caslon Pro" w:hAnsi="Adobe Caslon Pro" w:cs="Arial"/>
          <w:color w:val="000000"/>
          <w:sz w:val="20"/>
          <w:szCs w:val="22"/>
        </w:rPr>
      </w:pPr>
      <w:bookmarkStart w:id="55" w:name="_Toc381169897"/>
      <w:r w:rsidRPr="000907D3">
        <w:rPr>
          <w:rFonts w:ascii="Adobe Caslon Pro" w:hAnsi="Adobe Caslon Pro" w:cs="Arial"/>
          <w:color w:val="000000"/>
          <w:sz w:val="20"/>
          <w:szCs w:val="22"/>
        </w:rPr>
        <w:t xml:space="preserve">Gráfica </w:t>
      </w:r>
      <w:r w:rsidR="00934240" w:rsidRPr="000907D3">
        <w:rPr>
          <w:rFonts w:ascii="Adobe Caslon Pro" w:hAnsi="Adobe Caslon Pro" w:cs="Arial"/>
          <w:color w:val="000000"/>
          <w:sz w:val="20"/>
          <w:szCs w:val="22"/>
        </w:rPr>
        <w:t>6</w:t>
      </w:r>
      <w:r w:rsidRPr="000907D3">
        <w:rPr>
          <w:rFonts w:ascii="Adobe Caslon Pro" w:hAnsi="Adobe Caslon Pro" w:cs="Arial"/>
          <w:color w:val="000000"/>
          <w:sz w:val="20"/>
          <w:szCs w:val="22"/>
        </w:rPr>
        <w:t xml:space="preserve">. </w:t>
      </w:r>
      <w:r w:rsidR="006C6205">
        <w:rPr>
          <w:rFonts w:ascii="Adobe Caslon Pro" w:hAnsi="Adobe Caslon Pro" w:cs="Arial"/>
          <w:color w:val="000000"/>
          <w:sz w:val="20"/>
          <w:szCs w:val="22"/>
        </w:rPr>
        <w:t xml:space="preserve"> Porcentaje de la PEA </w:t>
      </w:r>
      <w:r w:rsidR="00994916">
        <w:rPr>
          <w:rFonts w:ascii="Adobe Caslon Pro" w:hAnsi="Adobe Caslon Pro" w:cs="Arial"/>
          <w:color w:val="000000"/>
          <w:sz w:val="20"/>
          <w:szCs w:val="22"/>
        </w:rPr>
        <w:t xml:space="preserve">no agrícola que pertenece a </w:t>
      </w:r>
      <w:r w:rsidR="006C6205">
        <w:rPr>
          <w:rFonts w:ascii="Adobe Caslon Pro" w:hAnsi="Adobe Caslon Pro" w:cs="Arial"/>
          <w:color w:val="000000"/>
          <w:sz w:val="20"/>
          <w:szCs w:val="22"/>
        </w:rPr>
        <w:t>Organizaciones sin Fines de Lucro</w:t>
      </w:r>
      <w:bookmarkEnd w:id="55"/>
      <w:r w:rsidR="00A56F32">
        <w:rPr>
          <w:rFonts w:ascii="Adobe Caslon Pro" w:hAnsi="Adobe Caslon Pro" w:cs="Arial"/>
          <w:color w:val="000000"/>
          <w:sz w:val="20"/>
          <w:szCs w:val="22"/>
        </w:rPr>
        <w:t xml:space="preserve">  por países, 2002</w:t>
      </w:r>
    </w:p>
    <w:p w:rsidR="00D25F5B" w:rsidRPr="000907D3" w:rsidRDefault="005410E0" w:rsidP="0043286B">
      <w:pPr>
        <w:spacing w:after="120" w:line="240" w:lineRule="auto"/>
        <w:jc w:val="center"/>
        <w:rPr>
          <w:rFonts w:ascii="Adobe Caslon Pro" w:hAnsi="Adobe Caslon Pro" w:cs="Arial"/>
        </w:rPr>
      </w:pPr>
      <w:r w:rsidRPr="000907D3">
        <w:rPr>
          <w:rFonts w:ascii="Adobe Caslon Pro" w:hAnsi="Adobe Caslon Pro" w:cs="Arial"/>
          <w:noProof/>
          <w:lang w:eastAsia="es-MX"/>
        </w:rPr>
        <w:drawing>
          <wp:inline distT="0" distB="0" distL="0" distR="0" wp14:anchorId="50610B02" wp14:editId="35F03C7F">
            <wp:extent cx="3332843" cy="4215248"/>
            <wp:effectExtent l="19050" t="0" r="907"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38864" cy="4222863"/>
                    </a:xfrm>
                    <a:prstGeom prst="rect">
                      <a:avLst/>
                    </a:prstGeom>
                    <a:noFill/>
                  </pic:spPr>
                </pic:pic>
              </a:graphicData>
            </a:graphic>
          </wp:inline>
        </w:drawing>
      </w:r>
    </w:p>
    <w:p w:rsidR="00D25F5B" w:rsidRPr="006E30C8" w:rsidRDefault="004E1B0D" w:rsidP="0043286B">
      <w:pPr>
        <w:spacing w:after="120" w:line="240" w:lineRule="auto"/>
        <w:jc w:val="both"/>
        <w:rPr>
          <w:rFonts w:ascii="Adobe Caslon Pro" w:hAnsi="Adobe Caslon Pro" w:cs="Arial"/>
        </w:rPr>
      </w:pPr>
      <w:r w:rsidRPr="006E30C8">
        <w:rPr>
          <w:rFonts w:ascii="Adobe Caslon Pro" w:hAnsi="Adobe Caslon Pro" w:cs="Arial"/>
          <w:sz w:val="18"/>
        </w:rPr>
        <w:t xml:space="preserve">Fuente: </w:t>
      </w:r>
      <w:r w:rsidR="006E30C8" w:rsidRPr="006E30C8">
        <w:rPr>
          <w:rFonts w:ascii="Adobe Caslon Pro" w:hAnsi="Adobe Caslon Pro" w:cs="Arial"/>
          <w:sz w:val="18"/>
        </w:rPr>
        <w:t>Elaboración propia con informaci</w:t>
      </w:r>
      <w:r w:rsidR="006E30C8">
        <w:rPr>
          <w:rFonts w:ascii="Adobe Caslon Pro" w:hAnsi="Adobe Caslon Pro" w:cs="Arial"/>
          <w:sz w:val="18"/>
        </w:rPr>
        <w:t xml:space="preserve">ón de </w:t>
      </w:r>
      <w:r w:rsidRPr="006E30C8">
        <w:rPr>
          <w:rFonts w:ascii="Adobe Caslon Pro" w:hAnsi="Adobe Caslon Pro" w:cs="Arial"/>
          <w:sz w:val="18"/>
        </w:rPr>
        <w:t>The Johns Hopkins Global Civil Society Index (2003).</w:t>
      </w:r>
    </w:p>
    <w:p w:rsidR="00D25F5B" w:rsidRDefault="00D25F5B" w:rsidP="0043286B">
      <w:pPr>
        <w:spacing w:after="120" w:line="240" w:lineRule="auto"/>
        <w:jc w:val="both"/>
        <w:rPr>
          <w:rFonts w:ascii="Adobe Caslon Pro" w:hAnsi="Adobe Caslon Pro" w:cs="Arial"/>
        </w:rPr>
      </w:pPr>
      <w:r w:rsidRPr="000907D3">
        <w:rPr>
          <w:rFonts w:ascii="Adobe Caslon Pro" w:hAnsi="Adobe Caslon Pro" w:cs="Arial"/>
        </w:rPr>
        <w:t>Otro análisis comparativo para 14 países con cuentas satélites de ISFL muestra que en 2008,</w:t>
      </w:r>
      <w:r w:rsidRPr="000907D3">
        <w:rPr>
          <w:rStyle w:val="Refdenotaalpie"/>
          <w:rFonts w:ascii="Adobe Caslon Pro" w:hAnsi="Adobe Caslon Pro" w:cs="Arial"/>
        </w:rPr>
        <w:footnoteReference w:id="13"/>
      </w:r>
      <w:r w:rsidRPr="000907D3">
        <w:rPr>
          <w:rFonts w:ascii="Adobe Caslon Pro" w:hAnsi="Adobe Caslon Pro" w:cs="Arial"/>
        </w:rPr>
        <w:t xml:space="preserve"> la generación de empleos en México por</w:t>
      </w:r>
      <w:r w:rsidR="00A01135">
        <w:rPr>
          <w:rFonts w:ascii="Adobe Caslon Pro" w:hAnsi="Adobe Caslon Pro" w:cs="Arial"/>
        </w:rPr>
        <w:t xml:space="preserve"> el</w:t>
      </w:r>
      <w:r w:rsidRPr="000907D3">
        <w:rPr>
          <w:rFonts w:ascii="Adobe Caslon Pro" w:hAnsi="Adobe Caslon Pro" w:cs="Arial"/>
        </w:rPr>
        <w:t xml:space="preserve"> sector no lucrativo se situó en el penúltimo lugar lo cual indica un bajo involucramiento de la sociedad</w:t>
      </w:r>
      <w:r w:rsidR="006E30C8">
        <w:rPr>
          <w:rFonts w:ascii="Adobe Caslon Pro" w:hAnsi="Adobe Caslon Pro" w:cs="Arial"/>
        </w:rPr>
        <w:t xml:space="preserve"> en actividades de dicho sector así como una limitada capacidad de este sector para generar empleos. </w:t>
      </w:r>
    </w:p>
    <w:p w:rsidR="00D25F5B" w:rsidRPr="000907D3" w:rsidRDefault="00D25F5B" w:rsidP="0043286B">
      <w:pPr>
        <w:spacing w:after="120" w:line="240" w:lineRule="auto"/>
        <w:jc w:val="both"/>
        <w:rPr>
          <w:rFonts w:ascii="Adobe Caslon Pro" w:hAnsi="Adobe Caslon Pro" w:cs="Arial"/>
        </w:rPr>
      </w:pPr>
      <w:r w:rsidRPr="000907D3">
        <w:rPr>
          <w:rFonts w:ascii="Adobe Caslon Pro" w:hAnsi="Adobe Caslon Pro" w:cs="Arial"/>
        </w:rPr>
        <w:lastRenderedPageBreak/>
        <w:t>Los datos anteriores ilustran con claridad la baja propensión de la sociedad mexicana a la auto-organización, no obstante el espíritu solidario de ésta. Reflejado tanto por un bajo número de OSC con relación a los habitantes como por una baja participación de los habitantes relacionada con las acciones colectivas. Los datos de la ENCUP muestran un aumento en la participación de las personas como voluntarios en alguna actividad a beneficio de la comunidad el cual aumentó de 28.6% a 32.4%</w:t>
      </w:r>
      <w:r w:rsidR="006E30C8">
        <w:rPr>
          <w:rFonts w:ascii="Adobe Caslon Pro" w:hAnsi="Adobe Caslon Pro" w:cs="Arial"/>
        </w:rPr>
        <w:t xml:space="preserve"> entre 2008 y 2012</w:t>
      </w:r>
      <w:r w:rsidRPr="000907D3">
        <w:rPr>
          <w:rFonts w:ascii="Adobe Caslon Pro" w:hAnsi="Adobe Caslon Pro" w:cs="Arial"/>
        </w:rPr>
        <w:t>. Sin embargo, 45% de la población afirma que nunca asiste a reuniones cuya finalidad es resolver los problemas del bar</w:t>
      </w:r>
      <w:r w:rsidR="00A01135">
        <w:rPr>
          <w:rFonts w:ascii="Adobe Caslon Pro" w:hAnsi="Adobe Caslon Pro" w:cs="Arial"/>
        </w:rPr>
        <w:t>rio, la colonia o la comunidad.</w:t>
      </w:r>
    </w:p>
    <w:p w:rsidR="0056695B" w:rsidRDefault="0056695B" w:rsidP="0043286B">
      <w:pPr>
        <w:spacing w:after="120" w:line="240" w:lineRule="auto"/>
        <w:jc w:val="both"/>
        <w:rPr>
          <w:rFonts w:ascii="Adobe Caslon Pro" w:hAnsi="Adobe Caslon Pro" w:cs="Arial"/>
          <w:b/>
        </w:rPr>
      </w:pPr>
    </w:p>
    <w:p w:rsidR="00D25F5B" w:rsidRPr="0056695B" w:rsidRDefault="00D25F5B" w:rsidP="0043286B">
      <w:pPr>
        <w:spacing w:after="120" w:line="240" w:lineRule="auto"/>
        <w:jc w:val="both"/>
        <w:rPr>
          <w:rFonts w:ascii="Adobe Caslon Pro" w:hAnsi="Adobe Caslon Pro" w:cs="Arial"/>
          <w:b/>
        </w:rPr>
      </w:pPr>
      <w:r w:rsidRPr="0056695B">
        <w:rPr>
          <w:rFonts w:ascii="Adobe Caslon Pro" w:hAnsi="Adobe Caslon Pro" w:cs="Arial"/>
          <w:b/>
        </w:rPr>
        <w:t>Bajo nivel de capacidades de gestión desarrolladas</w:t>
      </w:r>
    </w:p>
    <w:p w:rsidR="00D25F5B" w:rsidRDefault="00D25F5B" w:rsidP="0043286B">
      <w:pPr>
        <w:tabs>
          <w:tab w:val="num" w:pos="720"/>
        </w:tabs>
        <w:spacing w:before="240" w:after="120" w:line="240" w:lineRule="auto"/>
        <w:jc w:val="both"/>
        <w:rPr>
          <w:rFonts w:ascii="Adobe Caslon Pro" w:hAnsi="Adobe Caslon Pro" w:cs="Arial"/>
        </w:rPr>
      </w:pPr>
      <w:r w:rsidRPr="000907D3">
        <w:rPr>
          <w:rFonts w:ascii="Adobe Caslon Pro" w:hAnsi="Adobe Caslon Pro" w:cs="Arial"/>
        </w:rPr>
        <w:t xml:space="preserve">Un rasgo presente en el bajo desarrollo institucional son las bajas capacidades de gestión que hacen que varios actores sociales no estén legalmente constituidos, y en general </w:t>
      </w:r>
      <w:r w:rsidR="00002226" w:rsidRPr="000907D3">
        <w:rPr>
          <w:rFonts w:ascii="Adobe Caslon Pro" w:hAnsi="Adobe Caslon Pro" w:cs="Arial"/>
        </w:rPr>
        <w:t>su interacción</w:t>
      </w:r>
      <w:r w:rsidRPr="000907D3">
        <w:rPr>
          <w:rFonts w:ascii="Adobe Caslon Pro" w:hAnsi="Adobe Caslon Pro" w:cs="Arial"/>
        </w:rPr>
        <w:t xml:space="preserve"> al interior y exterior de la organización tropiece frecuentemente en la realización de trámites, la coordinación de sus actividades, en la rendición de cuentas así como en búsqueda de mecanismos alternativos que le conduzcan a obtener su propia sustentabilidad. </w:t>
      </w:r>
    </w:p>
    <w:p w:rsidR="00D25F5B" w:rsidRDefault="00D25F5B" w:rsidP="0043286B">
      <w:pPr>
        <w:tabs>
          <w:tab w:val="num" w:pos="720"/>
        </w:tabs>
        <w:spacing w:after="120" w:line="240" w:lineRule="auto"/>
        <w:jc w:val="both"/>
        <w:rPr>
          <w:rFonts w:ascii="Adobe Caslon Pro" w:hAnsi="Adobe Caslon Pro" w:cs="Arial"/>
        </w:rPr>
      </w:pPr>
      <w:r w:rsidRPr="000907D3">
        <w:rPr>
          <w:rFonts w:ascii="Adobe Caslon Pro" w:hAnsi="Adobe Caslon Pro" w:cs="Arial"/>
        </w:rPr>
        <w:t xml:space="preserve">Entendemos por </w:t>
      </w:r>
      <w:r w:rsidRPr="000907D3">
        <w:rPr>
          <w:rFonts w:ascii="Adobe Caslon Pro" w:hAnsi="Adobe Caslon Pro" w:cs="Arial"/>
          <w:i/>
        </w:rPr>
        <w:t>gestión</w:t>
      </w:r>
      <w:r w:rsidRPr="000907D3">
        <w:rPr>
          <w:rFonts w:ascii="Adobe Caslon Pro" w:hAnsi="Adobe Caslon Pro" w:cs="Arial"/>
        </w:rPr>
        <w:t xml:space="preserve"> la asunción y ejercicio de responsabilidades sobre un proceso el cual involucra tres subgrupos de actividades las cuales se ilustran en la </w:t>
      </w:r>
      <w:r w:rsidR="0043286B">
        <w:rPr>
          <w:rFonts w:ascii="Adobe Caslon Pro" w:hAnsi="Adobe Caslon Pro" w:cs="Arial"/>
        </w:rPr>
        <w:t>figura 3.</w:t>
      </w:r>
    </w:p>
    <w:tbl>
      <w:tblPr>
        <w:tblW w:w="0" w:type="auto"/>
        <w:jc w:val="center"/>
        <w:tblLook w:val="04A0" w:firstRow="1" w:lastRow="0" w:firstColumn="1" w:lastColumn="0" w:noHBand="0" w:noVBand="1"/>
      </w:tblPr>
      <w:tblGrid>
        <w:gridCol w:w="9251"/>
      </w:tblGrid>
      <w:tr w:rsidR="00D25F5B" w:rsidRPr="000907D3" w:rsidTr="003531B8">
        <w:trPr>
          <w:jc w:val="center"/>
        </w:trPr>
        <w:tc>
          <w:tcPr>
            <w:tcW w:w="0" w:type="auto"/>
          </w:tcPr>
          <w:p w:rsidR="00D25F5B" w:rsidRPr="000907D3" w:rsidRDefault="00C52AB7" w:rsidP="0043286B">
            <w:pPr>
              <w:spacing w:after="120" w:line="240" w:lineRule="auto"/>
              <w:jc w:val="center"/>
              <w:rPr>
                <w:rFonts w:ascii="Adobe Caslon Pro" w:hAnsi="Adobe Caslon Pro" w:cs="Arial"/>
                <w:b/>
              </w:rPr>
            </w:pPr>
            <w:bookmarkStart w:id="56" w:name="_Toc381169898"/>
            <w:r>
              <w:rPr>
                <w:rFonts w:ascii="Adobe Caslon Pro" w:hAnsi="Adobe Caslon Pro" w:cs="Arial"/>
                <w:b/>
                <w:color w:val="000000"/>
                <w:sz w:val="20"/>
              </w:rPr>
              <w:t>Figura</w:t>
            </w:r>
            <w:r w:rsidR="0043286B">
              <w:rPr>
                <w:rFonts w:ascii="Adobe Caslon Pro" w:hAnsi="Adobe Caslon Pro" w:cs="Arial"/>
                <w:b/>
                <w:color w:val="000000"/>
                <w:sz w:val="20"/>
              </w:rPr>
              <w:t xml:space="preserve"> </w:t>
            </w:r>
            <w:r>
              <w:rPr>
                <w:rFonts w:ascii="Adobe Caslon Pro" w:hAnsi="Adobe Caslon Pro" w:cs="Arial"/>
                <w:b/>
                <w:color w:val="000000"/>
                <w:sz w:val="20"/>
              </w:rPr>
              <w:t>3</w:t>
            </w:r>
            <w:r w:rsidR="00D25F5B" w:rsidRPr="000907D3">
              <w:rPr>
                <w:rFonts w:ascii="Adobe Caslon Pro" w:hAnsi="Adobe Caslon Pro" w:cs="Arial"/>
                <w:b/>
                <w:color w:val="000000"/>
                <w:sz w:val="20"/>
              </w:rPr>
              <w:t>. Actividades involucradas en la gestión</w:t>
            </w:r>
            <w:bookmarkEnd w:id="56"/>
          </w:p>
        </w:tc>
      </w:tr>
      <w:tr w:rsidR="00D25F5B" w:rsidRPr="000907D3" w:rsidTr="003531B8">
        <w:trPr>
          <w:jc w:val="center"/>
        </w:trPr>
        <w:tc>
          <w:tcPr>
            <w:tcW w:w="0" w:type="auto"/>
            <w:vAlign w:val="center"/>
          </w:tcPr>
          <w:p w:rsidR="00D25F5B" w:rsidRPr="000907D3" w:rsidRDefault="00D25F5B" w:rsidP="0043286B">
            <w:pPr>
              <w:spacing w:after="120" w:line="240" w:lineRule="auto"/>
              <w:jc w:val="center"/>
              <w:rPr>
                <w:rFonts w:ascii="Adobe Caslon Pro" w:hAnsi="Adobe Caslon Pro" w:cs="Arial"/>
              </w:rPr>
            </w:pPr>
            <w:r w:rsidRPr="000907D3">
              <w:rPr>
                <w:rFonts w:ascii="Adobe Caslon Pro" w:hAnsi="Adobe Caslon Pro" w:cs="Arial"/>
                <w:noProof/>
                <w:lang w:eastAsia="es-MX"/>
              </w:rPr>
              <w:drawing>
                <wp:inline distT="0" distB="0" distL="0" distR="0" wp14:anchorId="5C4D95C6" wp14:editId="2777AB44">
                  <wp:extent cx="5737253" cy="3463391"/>
                  <wp:effectExtent l="0" t="0" r="0" b="3810"/>
                  <wp:docPr id="101" name="Diagrama 1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tc>
      </w:tr>
      <w:tr w:rsidR="00D25F5B" w:rsidRPr="000907D3" w:rsidTr="003531B8">
        <w:trPr>
          <w:jc w:val="center"/>
        </w:trPr>
        <w:tc>
          <w:tcPr>
            <w:tcW w:w="0" w:type="auto"/>
          </w:tcPr>
          <w:p w:rsidR="00D25F5B" w:rsidRPr="000907D3" w:rsidRDefault="00D25F5B" w:rsidP="006E30C8">
            <w:pPr>
              <w:spacing w:after="120" w:line="240" w:lineRule="auto"/>
              <w:rPr>
                <w:rFonts w:ascii="Adobe Caslon Pro" w:hAnsi="Adobe Caslon Pro" w:cs="Arial"/>
              </w:rPr>
            </w:pPr>
            <w:r w:rsidRPr="000907D3">
              <w:rPr>
                <w:rFonts w:ascii="Adobe Caslon Pro" w:hAnsi="Adobe Caslon Pro" w:cs="Arial"/>
                <w:sz w:val="18"/>
              </w:rPr>
              <w:lastRenderedPageBreak/>
              <w:t xml:space="preserve">Fuente: </w:t>
            </w:r>
            <w:r w:rsidR="006E30C8">
              <w:rPr>
                <w:rFonts w:ascii="Adobe Caslon Pro" w:hAnsi="Adobe Caslon Pro" w:cs="Arial"/>
                <w:sz w:val="18"/>
              </w:rPr>
              <w:t xml:space="preserve">Elaboración propia con información de </w:t>
            </w:r>
            <w:r w:rsidRPr="000907D3">
              <w:rPr>
                <w:rFonts w:ascii="Adobe Caslon Pro" w:hAnsi="Adobe Caslon Pro" w:cs="Arial"/>
                <w:sz w:val="18"/>
              </w:rPr>
              <w:t>Fernando</w:t>
            </w:r>
            <w:r w:rsidR="006E30C8" w:rsidRPr="000907D3">
              <w:rPr>
                <w:rFonts w:ascii="Adobe Caslon Pro" w:hAnsi="Adobe Caslon Pro" w:cs="Arial"/>
                <w:sz w:val="18"/>
              </w:rPr>
              <w:t xml:space="preserve"> Fantova</w:t>
            </w:r>
            <w:r w:rsidR="00934240" w:rsidRPr="000907D3">
              <w:rPr>
                <w:rFonts w:ascii="Adobe Caslon Pro" w:hAnsi="Adobe Caslon Pro" w:cs="Arial"/>
                <w:sz w:val="18"/>
              </w:rPr>
              <w:t xml:space="preserve"> (</w:t>
            </w:r>
            <w:r w:rsidRPr="000907D3">
              <w:rPr>
                <w:rFonts w:ascii="Adobe Caslon Pro" w:hAnsi="Adobe Caslon Pro" w:cs="Arial"/>
                <w:sz w:val="18"/>
              </w:rPr>
              <w:t>2005</w:t>
            </w:r>
            <w:r w:rsidR="00934240" w:rsidRPr="000907D3">
              <w:rPr>
                <w:rFonts w:ascii="Adobe Caslon Pro" w:hAnsi="Adobe Caslon Pro" w:cs="Arial"/>
                <w:sz w:val="18"/>
              </w:rPr>
              <w:t>)</w:t>
            </w:r>
            <w:r w:rsidRPr="000907D3">
              <w:rPr>
                <w:rFonts w:ascii="Adobe Caslon Pro" w:hAnsi="Adobe Caslon Pro" w:cs="Arial"/>
                <w:sz w:val="18"/>
              </w:rPr>
              <w:t>.</w:t>
            </w:r>
          </w:p>
        </w:tc>
      </w:tr>
    </w:tbl>
    <w:p w:rsidR="00D25F5B" w:rsidRPr="000907D3" w:rsidRDefault="00D25F5B" w:rsidP="0043286B">
      <w:pPr>
        <w:tabs>
          <w:tab w:val="num" w:pos="720"/>
        </w:tabs>
        <w:spacing w:after="120" w:line="240" w:lineRule="auto"/>
        <w:jc w:val="both"/>
        <w:rPr>
          <w:rFonts w:ascii="Adobe Caslon Pro" w:hAnsi="Adobe Caslon Pro" w:cs="Arial"/>
        </w:rPr>
      </w:pPr>
    </w:p>
    <w:p w:rsidR="00D25F5B" w:rsidRPr="000907D3" w:rsidRDefault="00D25F5B" w:rsidP="0043286B">
      <w:pPr>
        <w:tabs>
          <w:tab w:val="num" w:pos="720"/>
        </w:tabs>
        <w:spacing w:after="120" w:line="240" w:lineRule="auto"/>
        <w:jc w:val="both"/>
        <w:rPr>
          <w:rFonts w:ascii="Adobe Caslon Pro" w:hAnsi="Adobe Caslon Pro" w:cs="Arial"/>
        </w:rPr>
      </w:pPr>
      <w:r w:rsidRPr="000907D3">
        <w:rPr>
          <w:rFonts w:ascii="Adobe Caslon Pro" w:hAnsi="Adobe Caslon Pro" w:cs="Arial"/>
        </w:rPr>
        <w:t>Se tiene que estos tres subconjuntos de actividades llevadas al terreno de los actores sociales representan un gran reto para poder alcanzar un nivel de gestión institucional aceptable. Ya que en cada subgrupo los actores sociales presentan serias deficiencias:</w:t>
      </w:r>
    </w:p>
    <w:p w:rsidR="00D25F5B" w:rsidRPr="000907D3" w:rsidRDefault="00D25F5B" w:rsidP="0043286B">
      <w:pPr>
        <w:pStyle w:val="Prrafodelista"/>
        <w:numPr>
          <w:ilvl w:val="0"/>
          <w:numId w:val="5"/>
        </w:numPr>
        <w:spacing w:before="240" w:after="120" w:line="240" w:lineRule="auto"/>
        <w:jc w:val="both"/>
        <w:rPr>
          <w:rFonts w:ascii="Adobe Caslon Pro" w:hAnsi="Adobe Caslon Pro" w:cs="Arial"/>
        </w:rPr>
      </w:pPr>
      <w:r w:rsidRPr="000907D3">
        <w:rPr>
          <w:rFonts w:ascii="Adobe Caslon Pro" w:hAnsi="Adobe Caslon Pro" w:cs="Arial"/>
          <w:i/>
        </w:rPr>
        <w:t>La preocupación por la disposición de los recursos y estructuras necesarias para que tenga lugar.</w:t>
      </w:r>
    </w:p>
    <w:p w:rsidR="00D25F5B" w:rsidRPr="000907D3" w:rsidRDefault="00D25F5B" w:rsidP="0043286B">
      <w:pPr>
        <w:spacing w:after="120" w:line="240" w:lineRule="auto"/>
        <w:jc w:val="both"/>
        <w:rPr>
          <w:rFonts w:ascii="Adobe Caslon Pro" w:hAnsi="Adobe Caslon Pro" w:cs="Arial"/>
        </w:rPr>
      </w:pPr>
      <w:r w:rsidRPr="000907D3">
        <w:rPr>
          <w:rFonts w:ascii="Adobe Caslon Pro" w:hAnsi="Adobe Caslon Pro" w:cs="Arial"/>
        </w:rPr>
        <w:t>No todos los actores sociales cuentan con un inmueble fijo para operar, lo que les dificulta convertir en referencia pública su trabajo. El bajo nivel de profesionalización se traduce en desventajas al momento de solicitar apoyos financieros del sector público pues como Tapia (2010) lo destaca, el concurso de fondos públicos implica conocer criterios técnicos (ejemplo: la relevancia del diagnóstico, metodología del proyecto, resultados esperados) así como tener en regla los documentos institucionales. Además existe una corta visión para diversificar recursos de distintos tipos para la sustentabilidad del actor social.</w:t>
      </w:r>
    </w:p>
    <w:p w:rsidR="002C78CC" w:rsidRPr="002C78CC" w:rsidRDefault="002C78CC" w:rsidP="0043286B">
      <w:pPr>
        <w:pStyle w:val="Prrafodelista"/>
        <w:spacing w:after="120" w:line="240" w:lineRule="auto"/>
        <w:jc w:val="both"/>
        <w:rPr>
          <w:rFonts w:ascii="Adobe Caslon Pro" w:hAnsi="Adobe Caslon Pro" w:cs="Arial"/>
        </w:rPr>
      </w:pPr>
    </w:p>
    <w:p w:rsidR="00D25F5B" w:rsidRPr="000907D3" w:rsidRDefault="00D25F5B" w:rsidP="0043286B">
      <w:pPr>
        <w:pStyle w:val="Prrafodelista"/>
        <w:numPr>
          <w:ilvl w:val="0"/>
          <w:numId w:val="5"/>
        </w:numPr>
        <w:spacing w:after="120" w:line="240" w:lineRule="auto"/>
        <w:jc w:val="both"/>
        <w:rPr>
          <w:rFonts w:ascii="Adobe Caslon Pro" w:hAnsi="Adobe Caslon Pro" w:cs="Arial"/>
        </w:rPr>
      </w:pPr>
      <w:r w:rsidRPr="000907D3">
        <w:rPr>
          <w:rFonts w:ascii="Adobe Caslon Pro" w:hAnsi="Adobe Caslon Pro" w:cs="Arial"/>
          <w:i/>
        </w:rPr>
        <w:t>La coordinación de sus actividades y sus correspondientes interacciones</w:t>
      </w:r>
      <w:r w:rsidRPr="000907D3">
        <w:rPr>
          <w:rFonts w:ascii="Adobe Caslon Pro" w:hAnsi="Adobe Caslon Pro" w:cs="Arial"/>
        </w:rPr>
        <w:t xml:space="preserve">. </w:t>
      </w:r>
    </w:p>
    <w:p w:rsidR="00D25F5B" w:rsidRDefault="00D25F5B" w:rsidP="0043286B">
      <w:pPr>
        <w:tabs>
          <w:tab w:val="num" w:pos="720"/>
        </w:tabs>
        <w:spacing w:after="120" w:line="240" w:lineRule="auto"/>
        <w:jc w:val="both"/>
        <w:rPr>
          <w:rFonts w:ascii="Adobe Caslon Pro" w:hAnsi="Adobe Caslon Pro" w:cs="Arial"/>
        </w:rPr>
      </w:pPr>
      <w:r w:rsidRPr="000907D3">
        <w:rPr>
          <w:rFonts w:ascii="Adobe Caslon Pro" w:hAnsi="Adobe Caslon Pro" w:cs="Arial"/>
        </w:rPr>
        <w:t>La ausencia de un directivo encargado de tomar las decisiones dificulta la planeación continua y coordinación de actividades. Según Cívicus (2010), en las OSC aún no es una práctica generalizada tener bien definido y diferenciado al órgano directivo del operativo, se estima que alrededor del 72%</w:t>
      </w:r>
      <w:r w:rsidR="006E30C8">
        <w:rPr>
          <w:rFonts w:ascii="Adobe Caslon Pro" w:hAnsi="Adobe Caslon Pro" w:cs="Arial"/>
        </w:rPr>
        <w:t xml:space="preserve"> </w:t>
      </w:r>
      <w:r w:rsidRPr="000907D3">
        <w:rPr>
          <w:rFonts w:ascii="Adobe Caslon Pro" w:hAnsi="Adobe Caslon Pro" w:cs="Arial"/>
        </w:rPr>
        <w:t>tiene una junta directiva o un comité coordinador. Asimismo, no tener una misión y visión les resta claridad y limita el alcance de sus estrategias.</w:t>
      </w:r>
    </w:p>
    <w:p w:rsidR="00D25F5B" w:rsidRDefault="00D25F5B" w:rsidP="0043286B">
      <w:pPr>
        <w:tabs>
          <w:tab w:val="num" w:pos="720"/>
        </w:tabs>
        <w:spacing w:after="120" w:line="240" w:lineRule="auto"/>
        <w:jc w:val="both"/>
        <w:rPr>
          <w:rFonts w:ascii="Adobe Caslon Pro" w:hAnsi="Adobe Caslon Pro" w:cs="Arial"/>
        </w:rPr>
      </w:pPr>
      <w:r w:rsidRPr="000907D3">
        <w:rPr>
          <w:rFonts w:ascii="Adobe Caslon Pro" w:hAnsi="Adobe Caslon Pro" w:cs="Arial"/>
        </w:rPr>
        <w:t xml:space="preserve">Por otro lado, </w:t>
      </w:r>
      <w:r w:rsidR="00A02E4E" w:rsidRPr="000907D3">
        <w:rPr>
          <w:rFonts w:ascii="Adobe Caslon Pro" w:hAnsi="Adobe Caslon Pro" w:cs="Arial"/>
        </w:rPr>
        <w:t>la falta de dominio sobre elementos administrativos y operativos de la organización, limitan la efectividad de las acciones, reducen las oportunidades de alcanzar la consolidación de la misma y no le permiten a las OSC llegar a su pleno potencial.</w:t>
      </w:r>
      <w:r w:rsidR="001E2C48">
        <w:rPr>
          <w:rFonts w:ascii="Adobe Caslon Pro" w:hAnsi="Adobe Caslon Pro" w:cs="Arial"/>
        </w:rPr>
        <w:t xml:space="preserve"> </w:t>
      </w:r>
      <w:r w:rsidRPr="000907D3">
        <w:rPr>
          <w:rFonts w:ascii="Adobe Caslon Pro" w:hAnsi="Adobe Caslon Pro" w:cs="Arial"/>
        </w:rPr>
        <w:t>Por ejemplo, las bajas capacidades administrativas y técnicas para realizar gestiones ante terceros resultan inconvenientes para llevar a cabo trámites como los requeridos para que la organización se constituya legalmente (tener una acta constitutiva registrada ante notario). Así como otra serie de trámites ante distintas dependencias y entidades para obtener la autorización como donataria autorizada o solicitar financiamiento público (</w:t>
      </w:r>
      <w:r w:rsidR="006E30C8">
        <w:rPr>
          <w:rFonts w:ascii="Adobe Caslon Pro" w:hAnsi="Adobe Caslon Pro" w:cs="Arial"/>
        </w:rPr>
        <w:t>SHCP, S</w:t>
      </w:r>
      <w:r w:rsidR="003C797B">
        <w:rPr>
          <w:rFonts w:ascii="Adobe Caslon Pro" w:hAnsi="Adobe Caslon Pro" w:cs="Arial"/>
        </w:rPr>
        <w:t>R</w:t>
      </w:r>
      <w:r w:rsidR="006E30C8">
        <w:rPr>
          <w:rFonts w:ascii="Adobe Caslon Pro" w:hAnsi="Adobe Caslon Pro" w:cs="Arial"/>
        </w:rPr>
        <w:t>E</w:t>
      </w:r>
      <w:r w:rsidR="003C797B">
        <w:rPr>
          <w:rFonts w:ascii="Adobe Caslon Pro" w:hAnsi="Adobe Caslon Pro" w:cs="Arial"/>
        </w:rPr>
        <w:t>, SE, SAT</w:t>
      </w:r>
      <w:r w:rsidRPr="000907D3">
        <w:rPr>
          <w:rFonts w:ascii="Adobe Caslon Pro" w:hAnsi="Adobe Caslon Pro" w:cs="Arial"/>
        </w:rPr>
        <w:t xml:space="preserve">, </w:t>
      </w:r>
      <w:r w:rsidR="006E30C8">
        <w:rPr>
          <w:rFonts w:ascii="Adobe Caslon Pro" w:hAnsi="Adobe Caslon Pro" w:cs="Arial"/>
        </w:rPr>
        <w:t>RPP</w:t>
      </w:r>
      <w:r w:rsidRPr="000907D3">
        <w:rPr>
          <w:rFonts w:ascii="Adobe Caslon Pro" w:hAnsi="Adobe Caslon Pro" w:cs="Arial"/>
        </w:rPr>
        <w:t xml:space="preserve">, </w:t>
      </w:r>
      <w:r w:rsidR="003C797B">
        <w:rPr>
          <w:rFonts w:ascii="Adobe Caslon Pro" w:hAnsi="Adobe Caslon Pro" w:cs="Arial"/>
        </w:rPr>
        <w:t>RF</w:t>
      </w:r>
      <w:r w:rsidRPr="000907D3">
        <w:rPr>
          <w:rFonts w:ascii="Adobe Caslon Pro" w:hAnsi="Adobe Caslon Pro" w:cs="Arial"/>
        </w:rPr>
        <w:t>OSC), en los que obtener dicha autorización se convierte en un reto para el actor social.</w:t>
      </w:r>
    </w:p>
    <w:p w:rsidR="00D25F5B" w:rsidRDefault="00D25F5B" w:rsidP="0043286B">
      <w:pPr>
        <w:spacing w:after="120" w:line="240" w:lineRule="auto"/>
        <w:jc w:val="both"/>
        <w:rPr>
          <w:rFonts w:ascii="Adobe Caslon Pro" w:hAnsi="Adobe Caslon Pro" w:cs="Arial"/>
        </w:rPr>
      </w:pPr>
      <w:r w:rsidRPr="000907D3">
        <w:rPr>
          <w:rFonts w:ascii="Adobe Caslon Pro" w:hAnsi="Adobe Caslon Pro" w:cs="Arial"/>
        </w:rPr>
        <w:t>El estudio de Kury</w:t>
      </w:r>
      <w:r w:rsidR="006E30C8">
        <w:rPr>
          <w:rFonts w:ascii="Adobe Caslon Pro" w:hAnsi="Adobe Caslon Pro" w:cs="Arial"/>
        </w:rPr>
        <w:t xml:space="preserve"> </w:t>
      </w:r>
      <w:r w:rsidRPr="000907D3">
        <w:rPr>
          <w:rFonts w:ascii="Adobe Caslon Pro" w:hAnsi="Adobe Caslon Pro" w:cs="Arial"/>
          <w:i/>
        </w:rPr>
        <w:t>et al</w:t>
      </w:r>
      <w:r w:rsidRPr="000907D3">
        <w:rPr>
          <w:rFonts w:ascii="Adobe Caslon Pro" w:hAnsi="Adobe Caslon Pro" w:cs="Arial"/>
        </w:rPr>
        <w:t xml:space="preserve"> (2006) que evaluó el Perfil Institucional de 25 OSC considerando que contaran con misión, visión y objetivos; estatutos; estructura organizacional; y servicios y proyectos, encontró que el 36% de las OSC estaba por debajo del porcentaje de cumplimiento (cabe mencionar que 2</w:t>
      </w:r>
      <w:r w:rsidR="00A01135">
        <w:rPr>
          <w:rFonts w:ascii="Adobe Caslon Pro" w:hAnsi="Adobe Caslon Pro" w:cs="Arial"/>
        </w:rPr>
        <w:t>0 de las OSC habían firmado el p</w:t>
      </w:r>
      <w:r w:rsidRPr="000907D3">
        <w:rPr>
          <w:rFonts w:ascii="Adobe Caslon Pro" w:hAnsi="Adobe Caslon Pro" w:cs="Arial"/>
        </w:rPr>
        <w:t xml:space="preserve">ronunciamiento de las OSC en torno a la transparencia interna y la rendición de cuentas: </w:t>
      </w:r>
      <w:r w:rsidRPr="000907D3">
        <w:rPr>
          <w:rFonts w:ascii="Adobe Caslon Pro" w:hAnsi="Adobe Caslon Pro" w:cs="Arial"/>
        </w:rPr>
        <w:lastRenderedPageBreak/>
        <w:t>congruencia entre valores y acciones en 2005 y las 5 restantes se eligieron entre las donatarias autorizadas por el SAT).</w:t>
      </w:r>
    </w:p>
    <w:p w:rsidR="0043286B" w:rsidRDefault="00D25F5B" w:rsidP="0043286B">
      <w:pPr>
        <w:tabs>
          <w:tab w:val="num" w:pos="720"/>
        </w:tabs>
        <w:spacing w:after="120" w:line="240" w:lineRule="auto"/>
        <w:jc w:val="both"/>
        <w:rPr>
          <w:rFonts w:ascii="Adobe Caslon Pro" w:hAnsi="Adobe Caslon Pro" w:cs="Arial"/>
        </w:rPr>
      </w:pPr>
      <w:r w:rsidRPr="000907D3">
        <w:rPr>
          <w:rFonts w:ascii="Adobe Caslon Pro" w:hAnsi="Adobe Caslon Pro" w:cs="Arial"/>
        </w:rPr>
        <w:t xml:space="preserve">El reducido profesionalismo del personal de la organización también hace que se desconozcan y/o desaprovechen los medios y momentos idóneos para comunicar los fines que persiguen y las actividades que realizan. </w:t>
      </w:r>
    </w:p>
    <w:p w:rsidR="00D25F5B" w:rsidRPr="000907D3" w:rsidRDefault="00D25F5B" w:rsidP="0043286B">
      <w:pPr>
        <w:pStyle w:val="Prrafodelista"/>
        <w:numPr>
          <w:ilvl w:val="0"/>
          <w:numId w:val="5"/>
        </w:numPr>
        <w:spacing w:after="120" w:line="240" w:lineRule="auto"/>
        <w:jc w:val="both"/>
        <w:rPr>
          <w:rFonts w:ascii="Adobe Caslon Pro" w:hAnsi="Adobe Caslon Pro" w:cs="Arial"/>
          <w:i/>
        </w:rPr>
      </w:pPr>
      <w:r w:rsidRPr="000907D3">
        <w:rPr>
          <w:rFonts w:ascii="Adobe Caslon Pro" w:hAnsi="Adobe Caslon Pro" w:cs="Arial"/>
          <w:i/>
        </w:rPr>
        <w:t>La rendición de cuentas ante el abanico de agentes interesados por los efectos que se espera que el proceso desencadene</w:t>
      </w:r>
    </w:p>
    <w:p w:rsidR="00D25F5B" w:rsidRDefault="00D25F5B" w:rsidP="0043286B">
      <w:pPr>
        <w:spacing w:after="120" w:line="240" w:lineRule="auto"/>
        <w:jc w:val="both"/>
        <w:rPr>
          <w:rFonts w:ascii="Adobe Caslon Pro" w:hAnsi="Adobe Caslon Pro" w:cs="Arial"/>
        </w:rPr>
      </w:pPr>
      <w:r w:rsidRPr="000907D3">
        <w:rPr>
          <w:rFonts w:ascii="Adobe Caslon Pro" w:hAnsi="Adobe Caslon Pro" w:cs="Arial"/>
        </w:rPr>
        <w:t>Las bajas capacidades del personal afectan también las prácticas de los procedimientos administrativos ordenados así como tener mecanismos de evaluación y sistematización de resultados, de transparencia y el cumplimiento de ordenamientos fiscales; lo cual desincentiva a los donantes privados así como la posibilidad de financiarse con recursos públicos ya que dichos procedimientos alimentan la confianza al interior y exterior de la institución.</w:t>
      </w:r>
    </w:p>
    <w:p w:rsidR="00D25F5B" w:rsidRDefault="00D25F5B" w:rsidP="0043286B">
      <w:pPr>
        <w:spacing w:after="120" w:line="240" w:lineRule="auto"/>
        <w:jc w:val="both"/>
        <w:rPr>
          <w:rFonts w:ascii="Adobe Caslon Pro" w:hAnsi="Adobe Caslon Pro" w:cs="Arial"/>
        </w:rPr>
      </w:pPr>
      <w:r w:rsidRPr="000907D3">
        <w:rPr>
          <w:rFonts w:ascii="Adobe Caslon Pro" w:hAnsi="Adobe Caslon Pro" w:cs="Arial"/>
        </w:rPr>
        <w:t>En suma, los actores sociales presentan serias limitantes en las capacidades administrativas, técnicas y operativas cuya interacción repercute en un bajo nivel de gestión institucional que les puede impedir alcanzar su formalización legal y autosostenibilidad.</w:t>
      </w:r>
    </w:p>
    <w:p w:rsidR="0056695B" w:rsidRDefault="0056695B" w:rsidP="0043286B">
      <w:pPr>
        <w:spacing w:after="120" w:line="240" w:lineRule="auto"/>
        <w:jc w:val="both"/>
        <w:rPr>
          <w:rFonts w:ascii="Adobe Caslon Pro" w:hAnsi="Adobe Caslon Pro" w:cs="Arial"/>
          <w:b/>
        </w:rPr>
      </w:pPr>
    </w:p>
    <w:p w:rsidR="00D25F5B" w:rsidRPr="0056695B" w:rsidRDefault="00D25F5B" w:rsidP="0043286B">
      <w:pPr>
        <w:spacing w:after="120" w:line="240" w:lineRule="auto"/>
        <w:jc w:val="both"/>
        <w:rPr>
          <w:rFonts w:ascii="Adobe Caslon Pro" w:hAnsi="Adobe Caslon Pro" w:cs="Arial"/>
          <w:b/>
        </w:rPr>
      </w:pPr>
      <w:r w:rsidRPr="0056695B">
        <w:rPr>
          <w:rFonts w:ascii="Adobe Caslon Pro" w:hAnsi="Adobe Caslon Pro" w:cs="Arial"/>
          <w:b/>
        </w:rPr>
        <w:t>Débil cultura de sistematización y documentación de resultados</w:t>
      </w:r>
    </w:p>
    <w:p w:rsidR="00D25F5B" w:rsidRDefault="00D25F5B" w:rsidP="0043286B">
      <w:pPr>
        <w:spacing w:before="240" w:after="120" w:line="240" w:lineRule="auto"/>
        <w:jc w:val="both"/>
        <w:rPr>
          <w:rFonts w:ascii="Adobe Caslon Pro" w:hAnsi="Adobe Caslon Pro" w:cs="Arial"/>
        </w:rPr>
      </w:pPr>
      <w:r w:rsidRPr="000907D3">
        <w:rPr>
          <w:rFonts w:ascii="Adobe Caslon Pro" w:hAnsi="Adobe Caslon Pro" w:cs="Arial"/>
        </w:rPr>
        <w:t>A nivel internacional, una debilidad importante en materia de participación de los actores sociales en el desarrollo, es la ausencia de una cultura de documentación de resultados que permita de manera objetiva monitorear avances y efectividad de las acciones</w:t>
      </w:r>
      <w:r w:rsidR="00A01135">
        <w:rPr>
          <w:rFonts w:ascii="Adobe Caslon Pro" w:hAnsi="Adobe Caslon Pro" w:cs="Arial"/>
        </w:rPr>
        <w:t xml:space="preserve"> (Lewis y Kanji, 2009)</w:t>
      </w:r>
      <w:r w:rsidRPr="000907D3">
        <w:rPr>
          <w:rFonts w:ascii="Adobe Caslon Pro" w:hAnsi="Adobe Caslon Pro" w:cs="Arial"/>
        </w:rPr>
        <w:t>. En palabras de Illescas (2005), “</w:t>
      </w:r>
      <w:r w:rsidR="00A01135" w:rsidRPr="00A01135">
        <w:rPr>
          <w:rFonts w:ascii="Adobe Caslon Pro" w:hAnsi="Adobe Caslon Pro" w:cs="Arial"/>
          <w:i/>
        </w:rPr>
        <w:t>[</w:t>
      </w:r>
      <w:r w:rsidRPr="00A01135">
        <w:rPr>
          <w:rFonts w:ascii="Adobe Caslon Pro" w:hAnsi="Adobe Caslon Pro" w:cs="Arial"/>
          <w:i/>
        </w:rPr>
        <w:t>…</w:t>
      </w:r>
      <w:r w:rsidR="00A01135" w:rsidRPr="00A01135">
        <w:rPr>
          <w:rFonts w:ascii="Adobe Caslon Pro" w:hAnsi="Adobe Caslon Pro" w:cs="Arial"/>
          <w:i/>
        </w:rPr>
        <w:t>]</w:t>
      </w:r>
      <w:r w:rsidR="00A01135">
        <w:rPr>
          <w:rFonts w:ascii="Adobe Caslon Pro" w:hAnsi="Adobe Caslon Pro" w:cs="Arial"/>
          <w:i/>
        </w:rPr>
        <w:t xml:space="preserve"> </w:t>
      </w:r>
      <w:r w:rsidRPr="000907D3">
        <w:rPr>
          <w:rFonts w:ascii="Adobe Caslon Pro" w:hAnsi="Adobe Caslon Pro" w:cs="Arial"/>
          <w:i/>
        </w:rPr>
        <w:t>la tarea de sistematizar no es un ejercicio fácil; ella requiere de una reflexión crítica sobre el proceso, hecho por las mismas personas que lo protagonizaron, ordenar el registro, darle un sentido y una lógica consecuente. Hay que definir criterios sobre los aspectos a sistematizar, pues las experiencias de trabajo reportadas son multidisciplinarias.</w:t>
      </w:r>
      <w:r w:rsidRPr="000907D3">
        <w:rPr>
          <w:rFonts w:ascii="Adobe Caslon Pro" w:hAnsi="Adobe Caslon Pro" w:cs="Arial"/>
        </w:rPr>
        <w:t xml:space="preserve">” </w:t>
      </w:r>
    </w:p>
    <w:p w:rsidR="00D25F5B" w:rsidRDefault="00D25F5B" w:rsidP="0043286B">
      <w:pPr>
        <w:spacing w:after="120" w:line="240" w:lineRule="auto"/>
        <w:jc w:val="both"/>
        <w:rPr>
          <w:rFonts w:ascii="Adobe Caslon Pro" w:hAnsi="Adobe Caslon Pro" w:cs="Arial"/>
        </w:rPr>
      </w:pPr>
      <w:r w:rsidRPr="000907D3">
        <w:rPr>
          <w:rFonts w:ascii="Adobe Caslon Pro" w:hAnsi="Adobe Caslon Pro" w:cs="Arial"/>
        </w:rPr>
        <w:t xml:space="preserve">Al dejar de lado la sistematización se pierde el proceso de reconstrucción de una experiencia, su análisis crítico, la oportunidad de aprender de ella para mejorar la forma de intervención, el aporte de las OSC en su trabajo con la comunidad y la incidencia de políticas públicas. También se pierde el contexto en el que surge y la realidad que pretende transformar, no se podrán recuperar los orígenes, los acontecimientos clave, los momentos críticos, los logros, los actores, los aspectos que la conforman y cómo se relacionan entre sí. </w:t>
      </w:r>
    </w:p>
    <w:p w:rsidR="00D25F5B" w:rsidRDefault="00D25F5B" w:rsidP="0043286B">
      <w:pPr>
        <w:spacing w:after="120" w:line="240" w:lineRule="auto"/>
        <w:jc w:val="both"/>
        <w:rPr>
          <w:rFonts w:ascii="Adobe Caslon Pro" w:hAnsi="Adobe Caslon Pro" w:cs="Arial"/>
        </w:rPr>
      </w:pPr>
      <w:r w:rsidRPr="000907D3">
        <w:rPr>
          <w:rFonts w:ascii="Adobe Caslon Pro" w:hAnsi="Adobe Caslon Pro" w:cs="Arial"/>
        </w:rPr>
        <w:t xml:space="preserve">Sin un análisis </w:t>
      </w:r>
      <w:r w:rsidR="006E30C8">
        <w:rPr>
          <w:rFonts w:ascii="Adobe Caslon Pro" w:hAnsi="Adobe Caslon Pro" w:cs="Arial"/>
        </w:rPr>
        <w:t>crítico</w:t>
      </w:r>
      <w:r w:rsidRPr="000907D3">
        <w:rPr>
          <w:rFonts w:ascii="Adobe Caslon Pro" w:hAnsi="Adobe Caslon Pro" w:cs="Arial"/>
        </w:rPr>
        <w:t xml:space="preserve"> no se puede explicar por qué se gestaron acciones de determinada manera y no habrá aprendizaje. Puesto que las experiencias son procesos sociales que cambian en el tiempo; es necesario contar con la sistematización de los procesos sociales e institucionales para mantener el posicionamiento de la propia </w:t>
      </w:r>
      <w:r w:rsidRPr="000907D3">
        <w:rPr>
          <w:rFonts w:ascii="Adobe Caslon Pro" w:hAnsi="Adobe Caslon Pro" w:cs="Arial"/>
        </w:rPr>
        <w:lastRenderedPageBreak/>
        <w:t>organización, su misión y realizar la planeación estratégica. La sistematización es la autoevaluación por parte de los actores sociales y</w:t>
      </w:r>
      <w:r w:rsidR="001E2C48">
        <w:rPr>
          <w:rFonts w:ascii="Adobe Caslon Pro" w:hAnsi="Adobe Caslon Pro" w:cs="Arial"/>
        </w:rPr>
        <w:t xml:space="preserve"> </w:t>
      </w:r>
      <w:r w:rsidRPr="000907D3">
        <w:rPr>
          <w:rFonts w:ascii="Adobe Caslon Pro" w:hAnsi="Adobe Caslon Pro" w:cs="Arial"/>
        </w:rPr>
        <w:t xml:space="preserve">de quienes han participado con ellos. </w:t>
      </w:r>
    </w:p>
    <w:p w:rsidR="0056695B" w:rsidRPr="000907D3" w:rsidRDefault="0056695B" w:rsidP="0043286B">
      <w:pPr>
        <w:spacing w:after="120" w:line="240" w:lineRule="auto"/>
        <w:jc w:val="both"/>
        <w:rPr>
          <w:rFonts w:ascii="Adobe Caslon Pro" w:hAnsi="Adobe Caslon Pro" w:cs="Arial"/>
        </w:rPr>
      </w:pPr>
    </w:p>
    <w:p w:rsidR="0056695B" w:rsidRPr="000907D3" w:rsidRDefault="00D25F5B" w:rsidP="0043286B">
      <w:pPr>
        <w:spacing w:after="120" w:line="240" w:lineRule="auto"/>
        <w:jc w:val="both"/>
        <w:rPr>
          <w:rFonts w:ascii="Adobe Caslon Pro" w:hAnsi="Adobe Caslon Pro" w:cs="Arial"/>
        </w:rPr>
      </w:pPr>
      <w:r w:rsidRPr="000907D3">
        <w:rPr>
          <w:rFonts w:ascii="Adobe Caslon Pro" w:hAnsi="Adobe Caslon Pro" w:cs="Arial"/>
        </w:rPr>
        <w:t xml:space="preserve">Sin embargo, son pocos los actores sociales que cuentan con las capacidades y el profesionalismo necesarios para realizar la sistematización y documentación de los resultados. Quienes han desarrollado más esta práctica son las </w:t>
      </w:r>
      <w:r w:rsidR="006E30C8">
        <w:rPr>
          <w:rFonts w:ascii="Adobe Caslon Pro" w:hAnsi="Adobe Caslon Pro" w:cs="Arial"/>
        </w:rPr>
        <w:t>IES</w:t>
      </w:r>
      <w:r w:rsidRPr="000907D3">
        <w:rPr>
          <w:rFonts w:ascii="Adobe Caslon Pro" w:hAnsi="Adobe Caslon Pro" w:cs="Arial"/>
        </w:rPr>
        <w:t xml:space="preserve">, los </w:t>
      </w:r>
      <w:r w:rsidR="00160981">
        <w:rPr>
          <w:rFonts w:ascii="Adobe Caslon Pro" w:hAnsi="Adobe Caslon Pro" w:cs="Arial"/>
        </w:rPr>
        <w:t>CI</w:t>
      </w:r>
      <w:r w:rsidRPr="000907D3">
        <w:rPr>
          <w:rFonts w:ascii="Adobe Caslon Pro" w:hAnsi="Adobe Caslon Pro" w:cs="Arial"/>
        </w:rPr>
        <w:t xml:space="preserve"> y otras OSC enfocadas a la capacitación y profesionalización de otros actores sociales, cuya función resulta relevante para que éstos desarrollen mejores acciones de desarrollo social.</w:t>
      </w:r>
    </w:p>
    <w:p w:rsidR="00874EC3" w:rsidRDefault="00D25F5B" w:rsidP="00874EC3">
      <w:pPr>
        <w:spacing w:after="120" w:line="240" w:lineRule="auto"/>
        <w:jc w:val="both"/>
        <w:rPr>
          <w:rFonts w:ascii="Adobe Caslon Pro" w:hAnsi="Adobe Caslon Pro" w:cs="Arial"/>
        </w:rPr>
      </w:pPr>
      <w:r w:rsidRPr="000907D3">
        <w:rPr>
          <w:rFonts w:ascii="Adobe Caslon Pro" w:hAnsi="Adobe Caslon Pro" w:cs="Arial"/>
        </w:rPr>
        <w:t xml:space="preserve">De acuerdo con Tapia (2010) hay pocos casos exitosos sistematizados que sirvan para la capacitación y el aprendizaje institucional, faltan metodologías y herramientas adecuadas. En el caso de las OSC que tienen acceso a financiamientos externos como el </w:t>
      </w:r>
      <w:r w:rsidR="00A01135">
        <w:rPr>
          <w:rFonts w:ascii="Adobe Caslon Pro" w:hAnsi="Adobe Caslon Pro" w:cs="Arial"/>
        </w:rPr>
        <w:t xml:space="preserve">que otorga el </w:t>
      </w:r>
      <w:r w:rsidRPr="000907D3">
        <w:rPr>
          <w:rFonts w:ascii="Adobe Caslon Pro" w:hAnsi="Adobe Caslon Pro" w:cs="Arial"/>
        </w:rPr>
        <w:t>PCS, realizan informes de las actividades que llevan a cabo pero difícilmente cuentan con registros de los resultados obtenidos a través de éstas. Incluso, las OSC que aparecen como inactivas en el Registro Federal de OSC pueden tener como causa el no haber presentado su informe anual; en 2013 el número de OSC inactivas ascendió a 3,417 equivalente al 14.4% del Registro.</w:t>
      </w:r>
    </w:p>
    <w:p w:rsidR="00D25F5B" w:rsidRDefault="00D25F5B" w:rsidP="00874EC3">
      <w:pPr>
        <w:spacing w:after="120" w:line="240" w:lineRule="auto"/>
        <w:jc w:val="both"/>
        <w:rPr>
          <w:rFonts w:ascii="Adobe Caslon Pro" w:hAnsi="Adobe Caslon Pro" w:cs="Arial"/>
        </w:rPr>
      </w:pPr>
      <w:r w:rsidRPr="000907D3">
        <w:rPr>
          <w:rFonts w:ascii="Adobe Caslon Pro" w:hAnsi="Adobe Caslon Pro" w:cs="Arial"/>
        </w:rPr>
        <w:t>En conclusión, si no se documenta y sistematiza el trabajo realizado por los actores sociales, no habrá lecciones aprendidas, ni se elevará el nivel de institucionalización o mejora continua. No se podrán socializar las experiencias exitosas ni contribuir al crecimiento de otros actores sociales en un tiempo menor así como tampoco permitirá saber a los donatarios y/o a quienes financian sus proyectos en qué se traducen los recursos que ellos aportan. Con ello, se pierde tanto visibilidad del trabajo y logros, como incentivos de financiadores para fortalecer los recursos destinados al sector.</w:t>
      </w:r>
    </w:p>
    <w:p w:rsidR="0056695B" w:rsidRPr="000907D3" w:rsidRDefault="0056695B" w:rsidP="0043286B">
      <w:pPr>
        <w:spacing w:after="120" w:line="240" w:lineRule="auto"/>
        <w:jc w:val="both"/>
        <w:rPr>
          <w:rFonts w:ascii="Adobe Caslon Pro" w:eastAsia="Times New Roman" w:hAnsi="Adobe Caslon Pro" w:cs="Arial"/>
          <w:lang w:eastAsia="es-MX"/>
        </w:rPr>
      </w:pPr>
    </w:p>
    <w:p w:rsidR="00D25F5B" w:rsidRPr="000907D3" w:rsidRDefault="00D25F5B" w:rsidP="0043286B">
      <w:pPr>
        <w:spacing w:after="120" w:line="240" w:lineRule="auto"/>
        <w:rPr>
          <w:rFonts w:ascii="Adobe Caslon Pro" w:hAnsi="Adobe Caslon Pro" w:cs="Arial"/>
          <w:b/>
        </w:rPr>
      </w:pPr>
      <w:r w:rsidRPr="000907D3">
        <w:rPr>
          <w:rFonts w:ascii="Adobe Caslon Pro" w:hAnsi="Adobe Caslon Pro" w:cs="Arial"/>
          <w:b/>
        </w:rPr>
        <w:t>Insuficiente información sobre el impacto y valor del trabajo social de los actores sociales en la atención</w:t>
      </w:r>
      <w:r w:rsidR="001E2C48">
        <w:rPr>
          <w:rFonts w:ascii="Adobe Caslon Pro" w:hAnsi="Adobe Caslon Pro" w:cs="Arial"/>
          <w:b/>
        </w:rPr>
        <w:t xml:space="preserve"> </w:t>
      </w:r>
      <w:r w:rsidRPr="000907D3">
        <w:rPr>
          <w:rFonts w:ascii="Adobe Caslon Pro" w:hAnsi="Adobe Caslon Pro" w:cs="Arial"/>
          <w:b/>
        </w:rPr>
        <w:t>de grupos de situación de vulnerabilidad</w:t>
      </w:r>
    </w:p>
    <w:p w:rsidR="00D25F5B" w:rsidRPr="000907D3" w:rsidRDefault="00D25F5B" w:rsidP="0043286B">
      <w:pPr>
        <w:autoSpaceDE w:val="0"/>
        <w:autoSpaceDN w:val="0"/>
        <w:adjustRightInd w:val="0"/>
        <w:spacing w:before="240" w:after="120" w:line="240" w:lineRule="auto"/>
        <w:jc w:val="both"/>
        <w:rPr>
          <w:rFonts w:ascii="Adobe Caslon Pro" w:hAnsi="Adobe Caslon Pro" w:cs="Arial"/>
        </w:rPr>
      </w:pPr>
      <w:r w:rsidRPr="000907D3">
        <w:rPr>
          <w:rFonts w:ascii="Adobe Caslon Pro" w:hAnsi="Adobe Caslon Pro" w:cs="Arial"/>
        </w:rPr>
        <w:t>Además de las razones descritas en el apartado anterior, la reciente conformación y proliferación de actores sociales, se traduce en que todavía haya poca documentación respecto al número preciso de organizaciones, del tipo de acciones que llevan a cabo y los resultados que obtienen (Ocejo, 2011). En la actualidad, el INEGI publi</w:t>
      </w:r>
      <w:r w:rsidR="00A01135">
        <w:rPr>
          <w:rFonts w:ascii="Adobe Caslon Pro" w:hAnsi="Adobe Caslon Pro" w:cs="Arial"/>
        </w:rPr>
        <w:t>ca la Cuenta Satélite para las instituciones sin fines de l</w:t>
      </w:r>
      <w:r w:rsidRPr="000907D3">
        <w:rPr>
          <w:rFonts w:ascii="Adobe Caslon Pro" w:hAnsi="Adobe Caslon Pro" w:cs="Arial"/>
        </w:rPr>
        <w:t>ucro, la cual contiene información del valor de la producción que genera el trabajo realizado por los distintos tipos de OSC, sin embargo, esa publicación no contiene información sobre los ingresos y gastos de las organizaciones que permitan contar con datos más homogéneos, ni tampoco tiene información aproximada de la población atendida a través de las OSC.</w:t>
      </w:r>
    </w:p>
    <w:p w:rsidR="00271526" w:rsidRDefault="00271526" w:rsidP="0043286B">
      <w:pPr>
        <w:spacing w:after="120" w:line="240" w:lineRule="auto"/>
        <w:jc w:val="both"/>
        <w:rPr>
          <w:rFonts w:ascii="Adobe Caslon Pro" w:hAnsi="Adobe Caslon Pro" w:cs="Arial"/>
          <w:b/>
        </w:rPr>
      </w:pPr>
    </w:p>
    <w:p w:rsidR="00271526" w:rsidRDefault="00271526" w:rsidP="0043286B">
      <w:pPr>
        <w:spacing w:after="120" w:line="240" w:lineRule="auto"/>
        <w:jc w:val="both"/>
        <w:rPr>
          <w:rFonts w:ascii="Adobe Caslon Pro" w:hAnsi="Adobe Caslon Pro" w:cs="Arial"/>
          <w:b/>
        </w:rPr>
      </w:pPr>
    </w:p>
    <w:p w:rsidR="00271526" w:rsidRDefault="00271526" w:rsidP="0043286B">
      <w:pPr>
        <w:spacing w:after="120" w:line="240" w:lineRule="auto"/>
        <w:jc w:val="both"/>
        <w:rPr>
          <w:rFonts w:ascii="Adobe Caslon Pro" w:hAnsi="Adobe Caslon Pro" w:cs="Arial"/>
          <w:b/>
        </w:rPr>
      </w:pPr>
    </w:p>
    <w:p w:rsidR="00D25F5B" w:rsidRPr="004C0712" w:rsidRDefault="00D25F5B" w:rsidP="0043286B">
      <w:pPr>
        <w:spacing w:after="120" w:line="240" w:lineRule="auto"/>
        <w:jc w:val="both"/>
        <w:rPr>
          <w:rFonts w:ascii="Adobe Caslon Pro" w:hAnsi="Adobe Caslon Pro" w:cs="Arial"/>
          <w:b/>
        </w:rPr>
      </w:pPr>
      <w:r w:rsidRPr="004C0712">
        <w:rPr>
          <w:rFonts w:ascii="Adobe Caslon Pro" w:hAnsi="Adobe Caslon Pro" w:cs="Arial"/>
          <w:b/>
        </w:rPr>
        <w:t>Programas de fomento al trabajo de actores sociales no contemplan acciones de generación de información y evaluación sistemática de resultados e impactos</w:t>
      </w:r>
    </w:p>
    <w:p w:rsidR="00D25F5B" w:rsidRPr="000907D3" w:rsidRDefault="00D25F5B" w:rsidP="0043286B">
      <w:pPr>
        <w:autoSpaceDE w:val="0"/>
        <w:autoSpaceDN w:val="0"/>
        <w:adjustRightInd w:val="0"/>
        <w:spacing w:before="240" w:after="120" w:line="240" w:lineRule="auto"/>
        <w:jc w:val="both"/>
        <w:rPr>
          <w:rFonts w:ascii="Adobe Caslon Pro" w:hAnsi="Adobe Caslon Pro" w:cs="Arial"/>
        </w:rPr>
      </w:pPr>
      <w:r w:rsidRPr="000907D3">
        <w:rPr>
          <w:rFonts w:ascii="Adobe Caslon Pro" w:hAnsi="Adobe Caslon Pro" w:cs="Arial"/>
        </w:rPr>
        <w:t>Como lo apunta Ocejo (2011) un gran inconveniente para el mejor entendimiento del desarrollo del sector de OSC es que en nuestro país, a diferencia de otros, la documentación y el análisis en forma sistemática de este tipo de intervenciones no es una referencia obligada para documentar, medir y/o evaluar el trabajo de las OSC en términos de incidencia política.</w:t>
      </w:r>
    </w:p>
    <w:p w:rsidR="00D25F5B" w:rsidRPr="000907D3" w:rsidRDefault="00F24615" w:rsidP="0043286B">
      <w:pPr>
        <w:autoSpaceDE w:val="0"/>
        <w:autoSpaceDN w:val="0"/>
        <w:adjustRightInd w:val="0"/>
        <w:spacing w:after="120" w:line="240" w:lineRule="auto"/>
        <w:jc w:val="both"/>
        <w:rPr>
          <w:rFonts w:ascii="Adobe Caslon Pro" w:hAnsi="Adobe Caslon Pro" w:cs="Arial"/>
        </w:rPr>
      </w:pPr>
      <w:r>
        <w:rPr>
          <w:rFonts w:ascii="Adobe Caslon Pro" w:hAnsi="Adobe Caslon Pro" w:cs="Arial"/>
        </w:rPr>
        <w:t>En el caso del PCS</w:t>
      </w:r>
      <w:r w:rsidR="00D25F5B" w:rsidRPr="000907D3">
        <w:rPr>
          <w:rFonts w:ascii="Adobe Caslon Pro" w:hAnsi="Adobe Caslon Pro" w:cs="Arial"/>
        </w:rPr>
        <w:t>, éste no cuenta con un sistema de información completo que dé cuenta tanto de las actividades y los resultados relacionados con las OSC y población beneficiaria, debido a que el sistema de información de evaluación sólo identifica las actividades y los servicios proporcionados. Lo anterior fue destacado en 2012 en el documento de “Aprendizajes y Buenas Prácticas de las OSC en el Marco del</w:t>
      </w:r>
      <w:r>
        <w:rPr>
          <w:rFonts w:ascii="Adobe Caslon Pro" w:hAnsi="Adobe Caslon Pro" w:cs="Arial"/>
        </w:rPr>
        <w:t xml:space="preserve"> PCS</w:t>
      </w:r>
      <w:r w:rsidR="00D25F5B" w:rsidRPr="000907D3">
        <w:rPr>
          <w:rFonts w:ascii="Adobe Caslon Pro" w:hAnsi="Adobe Caslon Pro" w:cs="Arial"/>
        </w:rPr>
        <w:t>”. En el caso de la meta-evaluación del PCS, se señaló como una de las debilidades, el desconocimiento del desempeño y los resultados reales de los proyectos apoyados. También se le observó avanzar en la sistematización de la información de los procesos de seguimiento y evaluación de los proyectos para generar aprendizajes tanto para el programa como para las OSC.</w:t>
      </w:r>
    </w:p>
    <w:p w:rsidR="00D25F5B" w:rsidRPr="000907D3" w:rsidRDefault="00D25F5B" w:rsidP="0043286B">
      <w:pPr>
        <w:autoSpaceDE w:val="0"/>
        <w:autoSpaceDN w:val="0"/>
        <w:adjustRightInd w:val="0"/>
        <w:spacing w:after="120" w:line="240" w:lineRule="auto"/>
        <w:jc w:val="both"/>
        <w:rPr>
          <w:rFonts w:ascii="Adobe Caslon Pro" w:hAnsi="Adobe Caslon Pro" w:cs="Arial"/>
        </w:rPr>
      </w:pPr>
      <w:r w:rsidRPr="000907D3">
        <w:rPr>
          <w:rFonts w:ascii="Adobe Caslon Pro" w:hAnsi="Adobe Caslon Pro" w:cs="Arial"/>
        </w:rPr>
        <w:t>Asimismo, los programas de fomento al trabajo de las OSC no cuentan con la capacidad para dar seguimiento a los proyectos apoyados, y en otros casos no está contemplada la obligación de generar información y evaluar los resultados e impactos en las reglas de operación de los programas. Dada la relevancia de tener información sobre lo que realizan los actores sociales y el cómo lo hacen no se puede postergar por parte de las dependencias gubernamentales</w:t>
      </w:r>
      <w:r w:rsidR="001D30CF">
        <w:rPr>
          <w:rFonts w:ascii="Adobe Caslon Pro" w:hAnsi="Adobe Caslon Pro" w:cs="Arial"/>
        </w:rPr>
        <w:t xml:space="preserve"> </w:t>
      </w:r>
      <w:r w:rsidRPr="000907D3">
        <w:rPr>
          <w:rFonts w:ascii="Adobe Caslon Pro" w:hAnsi="Adobe Caslon Pro" w:cs="Arial"/>
        </w:rPr>
        <w:t>hacer una práctica obligada que los actores sociales generen información del impacto de su trabajo.</w:t>
      </w:r>
    </w:p>
    <w:p w:rsidR="000D6B3F" w:rsidRPr="000907D3" w:rsidRDefault="000D6B3F" w:rsidP="0043286B">
      <w:pPr>
        <w:autoSpaceDE w:val="0"/>
        <w:autoSpaceDN w:val="0"/>
        <w:adjustRightInd w:val="0"/>
        <w:spacing w:after="120" w:line="240" w:lineRule="auto"/>
        <w:jc w:val="both"/>
        <w:rPr>
          <w:rFonts w:ascii="Adobe Caslon Pro" w:hAnsi="Adobe Caslon Pro" w:cs="Arial"/>
        </w:rPr>
      </w:pPr>
    </w:p>
    <w:p w:rsidR="00D25F5B" w:rsidRPr="000907D3" w:rsidRDefault="00D25F5B" w:rsidP="0043286B">
      <w:pPr>
        <w:spacing w:after="120" w:line="240" w:lineRule="auto"/>
        <w:rPr>
          <w:rFonts w:ascii="Adobe Caslon Pro" w:hAnsi="Adobe Caslon Pro" w:cs="Arial"/>
          <w:b/>
        </w:rPr>
      </w:pPr>
      <w:r w:rsidRPr="000907D3">
        <w:rPr>
          <w:rFonts w:ascii="Adobe Caslon Pro" w:hAnsi="Adobe Caslon Pro" w:cs="Arial"/>
          <w:b/>
        </w:rPr>
        <w:t>Escasa o nula sinergia entre actores sociales</w:t>
      </w:r>
    </w:p>
    <w:p w:rsidR="00D25F5B" w:rsidRDefault="00D25F5B" w:rsidP="0043286B">
      <w:pPr>
        <w:spacing w:before="240" w:after="120" w:line="240" w:lineRule="auto"/>
        <w:jc w:val="both"/>
        <w:rPr>
          <w:rFonts w:ascii="Adobe Caslon Pro" w:hAnsi="Adobe Caslon Pro" w:cs="Arial"/>
        </w:rPr>
      </w:pPr>
      <w:r w:rsidRPr="000907D3">
        <w:rPr>
          <w:rFonts w:ascii="Adobe Caslon Pro" w:hAnsi="Adobe Caslon Pro" w:cs="Arial"/>
        </w:rPr>
        <w:t>Cuando un actor social trabaja de forma aislada es más difícil lograr sus objetivos debido a que se desaprovecha la capitalización del trabajo territorial, de base, que puede logr</w:t>
      </w:r>
      <w:r w:rsidR="00047999">
        <w:rPr>
          <w:rFonts w:ascii="Adobe Caslon Pro" w:hAnsi="Adobe Caslon Pro" w:cs="Arial"/>
        </w:rPr>
        <w:t>arse a través de una red (Tapia</w:t>
      </w:r>
      <w:r w:rsidRPr="000907D3">
        <w:rPr>
          <w:rFonts w:ascii="Adobe Caslon Pro" w:hAnsi="Adobe Caslon Pro" w:cs="Arial"/>
        </w:rPr>
        <w:t xml:space="preserve"> </w:t>
      </w:r>
      <w:r w:rsidR="00047999">
        <w:rPr>
          <w:rFonts w:ascii="Adobe Caslon Pro" w:hAnsi="Adobe Caslon Pro" w:cs="Arial"/>
          <w:i/>
        </w:rPr>
        <w:t>et al</w:t>
      </w:r>
      <w:r w:rsidRPr="000907D3">
        <w:rPr>
          <w:rFonts w:ascii="Adobe Caslon Pro" w:hAnsi="Adobe Caslon Pro" w:cs="Arial"/>
        </w:rPr>
        <w:t>, 2010). También disminuye la capacidad de incidir en políticas sociales ya que</w:t>
      </w:r>
      <w:r w:rsidR="002C78CC">
        <w:rPr>
          <w:rFonts w:ascii="Adobe Caslon Pro" w:hAnsi="Adobe Caslon Pro" w:cs="Arial"/>
        </w:rPr>
        <w:t xml:space="preserve"> es más sencillo posicionarse de forma conjunta que si se hiciera por separado.</w:t>
      </w:r>
    </w:p>
    <w:p w:rsidR="00D25F5B" w:rsidRDefault="00D25F5B" w:rsidP="0043286B">
      <w:pPr>
        <w:spacing w:after="120" w:line="240" w:lineRule="auto"/>
        <w:jc w:val="both"/>
        <w:rPr>
          <w:rFonts w:ascii="Adobe Caslon Pro" w:hAnsi="Adobe Caslon Pro" w:cs="Arial"/>
        </w:rPr>
      </w:pPr>
      <w:r w:rsidRPr="000907D3">
        <w:rPr>
          <w:rFonts w:ascii="Adobe Caslon Pro" w:hAnsi="Adobe Caslon Pro" w:cs="Arial"/>
        </w:rPr>
        <w:t>Algunos actores sociales han identificado entre sus desafíos la realización de congresos, seminarios, foros, talleres y encuentros de intercambio, a través de los cuales es más fácil poner su tema en agenda pública e i</w:t>
      </w:r>
      <w:r w:rsidR="00047999">
        <w:rPr>
          <w:rFonts w:ascii="Adobe Caslon Pro" w:hAnsi="Adobe Caslon Pro" w:cs="Arial"/>
        </w:rPr>
        <w:t>nstalarlo en el discurso social (</w:t>
      </w:r>
      <w:r w:rsidR="00DE2AC4">
        <w:rPr>
          <w:rFonts w:ascii="Adobe Caslon Pro" w:hAnsi="Adobe Caslon Pro" w:cs="Arial"/>
        </w:rPr>
        <w:t xml:space="preserve">Fundación </w:t>
      </w:r>
      <w:r w:rsidR="00047999">
        <w:rPr>
          <w:rFonts w:ascii="Adobe Caslon Pro" w:hAnsi="Adobe Caslon Pro" w:cs="Arial"/>
        </w:rPr>
        <w:t>SES, 2004).</w:t>
      </w:r>
      <w:r w:rsidRPr="000907D3">
        <w:rPr>
          <w:rFonts w:ascii="Adobe Caslon Pro" w:hAnsi="Adobe Caslon Pro" w:cs="Arial"/>
        </w:rPr>
        <w:t xml:space="preserve"> El impedimento para crear sinergias entre los actores </w:t>
      </w:r>
      <w:r w:rsidRPr="000907D3">
        <w:rPr>
          <w:rFonts w:ascii="Adobe Caslon Pro" w:hAnsi="Adobe Caslon Pro" w:cs="Arial"/>
        </w:rPr>
        <w:lastRenderedPageBreak/>
        <w:t>sociales proviene por un lado del desconocimiento de las ventajas de hacerlo, por lo que no existe estímulo para crear sinergias y entonces se desaprovechan beneficios como los siguientes: 1) dar mayor fuerza, visibilidad e identidad a los participantes y del sector en general; 2) tener más peso y posicionar agendas a nivel nacional e internacional; 3) tener un espacio para compartir experiencias, capacidades y conocimientos en diversos temas; 4) contar con una plataforma de acción para fortalecer y fomentar la interlocución con actores políticos nacionales e internacionales para incidir en las acciones y políticas públicas locales, nacionales, regionales y globales; y 5) garantizar beneficios económicos, de profesionalización y de capacitación para los miembros de la red.</w:t>
      </w:r>
      <w:r w:rsidRPr="000907D3">
        <w:rPr>
          <w:rStyle w:val="Refdenotaalpie"/>
          <w:rFonts w:ascii="Adobe Caslon Pro" w:hAnsi="Adobe Caslon Pro" w:cs="Arial"/>
        </w:rPr>
        <w:footnoteReference w:id="14"/>
      </w:r>
    </w:p>
    <w:p w:rsidR="00D25F5B" w:rsidRDefault="00D25F5B" w:rsidP="0043286B">
      <w:pPr>
        <w:spacing w:after="120" w:line="240" w:lineRule="auto"/>
        <w:jc w:val="both"/>
        <w:rPr>
          <w:rFonts w:ascii="Adobe Caslon Pro" w:hAnsi="Adobe Caslon Pro" w:cs="Arial"/>
        </w:rPr>
      </w:pPr>
      <w:r w:rsidRPr="000907D3">
        <w:rPr>
          <w:rFonts w:ascii="Adobe Caslon Pro" w:hAnsi="Adobe Caslon Pro" w:cs="Arial"/>
        </w:rPr>
        <w:t xml:space="preserve">Además, la consolidación de redes también se complica porque va más allá de solamente reunirse con organizaciones distintas, ya que se trata de alcanzar una visión en conjunto lo cual no es fácil de lograr. Requiere entender y hablar un lenguaje especializado y desarrollar capacidades de diálogo y coordinación. El estudio de Cívicus (2010) revela que de las OSC encuestadas, el 54% se reunió en un trimestre hasta con 5 organizaciones y el 16% lo hizo hasta con 10 organizaciones, pero sólo intercambiaron información sin llegar a traducirse en la conformación de una red. </w:t>
      </w:r>
    </w:p>
    <w:p w:rsidR="0043286B" w:rsidRDefault="00D25F5B" w:rsidP="0043286B">
      <w:pPr>
        <w:spacing w:after="120" w:line="240" w:lineRule="auto"/>
        <w:jc w:val="both"/>
        <w:rPr>
          <w:rFonts w:ascii="Adobe Caslon Pro" w:hAnsi="Adobe Caslon Pro" w:cs="Arial"/>
        </w:rPr>
      </w:pPr>
      <w:r w:rsidRPr="000907D3">
        <w:rPr>
          <w:rFonts w:ascii="Adobe Caslon Pro" w:hAnsi="Adobe Caslon Pro" w:cs="Arial"/>
        </w:rPr>
        <w:t>De acuerdo con Méndez y Pérez (2013) los factores que inciden en la solidez están los siguientes: que involucren más vínculos, exista mayor variedad, antigüedad y nivel de los miembros. Para esto, los actores sociales tienen obstáculos ya que sus vínculos y las sinergias alcanzadas no permanecen en el tiempo; pues los grandes encuentros entre actores sociales a menudo son detonados por una causa coyuntural en la que una vez satisfechas sus demandas pierden el empuje y la cohesión generada (Coulumb, 1998). También es muy difícil que la agenda política y social de los actores se</w:t>
      </w:r>
      <w:r w:rsidR="00CC2FCE">
        <w:rPr>
          <w:rFonts w:ascii="Adobe Caslon Pro" w:hAnsi="Adobe Caslon Pro" w:cs="Arial"/>
        </w:rPr>
        <w:t>a más amplia (Díaz</w:t>
      </w:r>
      <w:r w:rsidR="0070189B">
        <w:rPr>
          <w:rFonts w:ascii="Adobe Caslon Pro" w:hAnsi="Adobe Caslon Pro" w:cs="Arial"/>
        </w:rPr>
        <w:t>-Albertini</w:t>
      </w:r>
      <w:r w:rsidR="00CC2FCE">
        <w:rPr>
          <w:rFonts w:ascii="Adobe Caslon Pro" w:hAnsi="Adobe Caslon Pro" w:cs="Arial"/>
        </w:rPr>
        <w:t>, 200</w:t>
      </w:r>
      <w:r w:rsidRPr="000907D3">
        <w:rPr>
          <w:rFonts w:ascii="Adobe Caslon Pro" w:hAnsi="Adobe Caslon Pro" w:cs="Arial"/>
        </w:rPr>
        <w:t>3).</w:t>
      </w:r>
    </w:p>
    <w:p w:rsidR="00D25F5B" w:rsidRDefault="00D25F5B" w:rsidP="0043286B">
      <w:pPr>
        <w:spacing w:after="120" w:line="240" w:lineRule="auto"/>
        <w:jc w:val="both"/>
        <w:rPr>
          <w:rFonts w:ascii="Adobe Caslon Pro" w:hAnsi="Adobe Caslon Pro" w:cs="Arial"/>
        </w:rPr>
      </w:pPr>
      <w:r w:rsidRPr="000907D3">
        <w:rPr>
          <w:rFonts w:ascii="Adobe Caslon Pro" w:hAnsi="Adobe Caslon Pro" w:cs="Arial"/>
        </w:rPr>
        <w:t xml:space="preserve">De acuerdo con el estudio de Cívicus (2010), un poco más de la mitad de las OSC que participaron en su encuesta (56.7%) no pertenece a una red o federación mientras que el 39.5% sí pertenece a una red. Pero lo más destacable es que no hubo una red nacional predominante, porque como respuesta las organizaciones encuestadas dieron 119 grupos distintos, predominando tres de ellas: el Centro Mexicano para la Filantropía el cual fue nombrado 13 veces; la Junta de Asistencia Privada que se nombró 7 veces y finalmente, la Fundación del Dr. Simi mencionada en 2 ocasiones. En razón de estas cifras </w:t>
      </w:r>
      <w:r w:rsidR="00DE2AC4">
        <w:rPr>
          <w:rFonts w:ascii="Adobe Caslon Pro" w:hAnsi="Adobe Caslon Pro" w:cs="Arial"/>
        </w:rPr>
        <w:t>se</w:t>
      </w:r>
      <w:r w:rsidRPr="000907D3">
        <w:rPr>
          <w:rFonts w:ascii="Adobe Caslon Pro" w:hAnsi="Adobe Caslon Pro" w:cs="Arial"/>
        </w:rPr>
        <w:t xml:space="preserve"> concluye que es un indicador de la debilidad del nivel de organización de las OSC mexicanas.</w:t>
      </w:r>
    </w:p>
    <w:p w:rsidR="00D25F5B" w:rsidRDefault="00D25F5B" w:rsidP="0043286B">
      <w:pPr>
        <w:spacing w:after="120" w:line="240" w:lineRule="auto"/>
        <w:jc w:val="both"/>
        <w:rPr>
          <w:rFonts w:ascii="Adobe Caslon Pro" w:hAnsi="Adobe Caslon Pro" w:cs="Arial"/>
        </w:rPr>
      </w:pPr>
      <w:r w:rsidRPr="000907D3">
        <w:rPr>
          <w:rFonts w:ascii="Adobe Caslon Pro" w:hAnsi="Adobe Caslon Pro" w:cs="Arial"/>
        </w:rPr>
        <w:t>Por lo que se refiere a redes internacionales las cifras</w:t>
      </w:r>
      <w:r w:rsidR="001F49E7">
        <w:rPr>
          <w:rFonts w:ascii="Adobe Caslon Pro" w:hAnsi="Adobe Caslon Pro" w:cs="Arial"/>
        </w:rPr>
        <w:t xml:space="preserve"> </w:t>
      </w:r>
      <w:r w:rsidRPr="000907D3">
        <w:rPr>
          <w:rFonts w:ascii="Adobe Caslon Pro" w:hAnsi="Adobe Caslon Pro" w:cs="Arial"/>
        </w:rPr>
        <w:t>muestran que sólo 15 de 349 organizaciones encuestadas por Cívicus (2010) dijeron estar vinculadas a una red internacional mientras que sólo 6.6% de las OSC tienen un área de influencia internacional.</w:t>
      </w:r>
    </w:p>
    <w:p w:rsidR="00047999" w:rsidRDefault="00047999" w:rsidP="0043286B">
      <w:pPr>
        <w:spacing w:after="120" w:line="240" w:lineRule="auto"/>
        <w:jc w:val="both"/>
        <w:rPr>
          <w:rFonts w:ascii="Adobe Caslon Pro" w:hAnsi="Adobe Caslon Pro" w:cs="Arial"/>
          <w:b/>
        </w:rPr>
      </w:pPr>
    </w:p>
    <w:p w:rsidR="00D25F5B" w:rsidRPr="004C0712" w:rsidRDefault="00D25F5B" w:rsidP="0043286B">
      <w:pPr>
        <w:spacing w:after="120" w:line="240" w:lineRule="auto"/>
        <w:jc w:val="both"/>
        <w:rPr>
          <w:rFonts w:ascii="Adobe Caslon Pro" w:hAnsi="Adobe Caslon Pro" w:cs="Arial"/>
          <w:b/>
        </w:rPr>
      </w:pPr>
      <w:r w:rsidRPr="004C0712">
        <w:rPr>
          <w:rFonts w:ascii="Adobe Caslon Pro" w:hAnsi="Adobe Caslon Pro" w:cs="Arial"/>
          <w:b/>
        </w:rPr>
        <w:lastRenderedPageBreak/>
        <w:t>Desconocimiento y desconfianza entre actores sociales</w:t>
      </w:r>
    </w:p>
    <w:p w:rsidR="00D25F5B" w:rsidRDefault="00D25F5B" w:rsidP="0043286B">
      <w:pPr>
        <w:spacing w:before="240" w:after="120" w:line="240" w:lineRule="auto"/>
        <w:jc w:val="both"/>
        <w:rPr>
          <w:rFonts w:ascii="Adobe Caslon Pro" w:hAnsi="Adobe Caslon Pro" w:cs="Arial"/>
        </w:rPr>
      </w:pPr>
      <w:r w:rsidRPr="000907D3">
        <w:rPr>
          <w:rFonts w:ascii="Adobe Caslon Pro" w:hAnsi="Adobe Caslon Pro" w:cs="Arial"/>
        </w:rPr>
        <w:t xml:space="preserve">Otros factores que debilitan la sinergia entre actores están vinculados a la ausencia de algunos valores entre los posibles miembros de una red. Superar la desconfianza, la falta de solidaridad, de reciprocidad, el desinterés y la no aceptación entre los potenciales miembros toma tiempo y se asocia a la falta de información, de transparencia e incapacidad de dialogar directamente entre sus miembros. </w:t>
      </w:r>
    </w:p>
    <w:p w:rsidR="00D25F5B" w:rsidRDefault="00D25F5B" w:rsidP="0043286B">
      <w:pPr>
        <w:spacing w:after="120" w:line="240" w:lineRule="auto"/>
        <w:jc w:val="both"/>
        <w:rPr>
          <w:rFonts w:ascii="Adobe Caslon Pro" w:hAnsi="Adobe Caslon Pro" w:cs="Arial"/>
        </w:rPr>
      </w:pPr>
      <w:r w:rsidRPr="000907D3">
        <w:rPr>
          <w:rFonts w:ascii="Adobe Caslon Pro" w:hAnsi="Adobe Caslon Pro" w:cs="Arial"/>
        </w:rPr>
        <w:t xml:space="preserve">Rovere (1998) identifica cinco valores relacionados cada uno con acciones que determinan el grado de profundidad de una red. El primer nivel, se refiere al </w:t>
      </w:r>
      <w:r w:rsidRPr="00047999">
        <w:rPr>
          <w:rFonts w:ascii="Adobe Caslon Pro" w:hAnsi="Adobe Caslon Pro" w:cs="Arial"/>
          <w:i/>
        </w:rPr>
        <w:t>Reconocimiento</w:t>
      </w:r>
      <w:r w:rsidRPr="000907D3">
        <w:rPr>
          <w:rFonts w:ascii="Adobe Caslon Pro" w:hAnsi="Adobe Caslon Pro" w:cs="Arial"/>
        </w:rPr>
        <w:t xml:space="preserve">, se alcanza cuando se reconoce la existencia del otro. Una vez que se reconoció que existen otros pares, aliados, inicia el siguiente nivel. El </w:t>
      </w:r>
      <w:r w:rsidRPr="00047999">
        <w:rPr>
          <w:rFonts w:ascii="Adobe Caslon Pro" w:hAnsi="Adobe Caslon Pro" w:cs="Arial"/>
          <w:i/>
        </w:rPr>
        <w:t>C</w:t>
      </w:r>
      <w:r w:rsidR="009E59ED" w:rsidRPr="00047999">
        <w:rPr>
          <w:rFonts w:ascii="Adobe Caslon Pro" w:hAnsi="Adobe Caslon Pro" w:cs="Arial"/>
          <w:i/>
        </w:rPr>
        <w:t>onocimiento</w:t>
      </w:r>
      <w:r w:rsidR="009E59ED">
        <w:rPr>
          <w:rFonts w:ascii="Adobe Caslon Pro" w:hAnsi="Adobe Caslon Pro" w:cs="Arial"/>
        </w:rPr>
        <w:t>,</w:t>
      </w:r>
      <w:r w:rsidRPr="000907D3">
        <w:rPr>
          <w:rFonts w:ascii="Adobe Caslon Pro" w:hAnsi="Adobe Caslon Pro" w:cs="Arial"/>
        </w:rPr>
        <w:t xml:space="preserve"> interés por saber lo que hace el otro una vez que éste tiene validez como interlocutor. Después sigue la </w:t>
      </w:r>
      <w:r w:rsidRPr="00047999">
        <w:rPr>
          <w:rFonts w:ascii="Adobe Caslon Pro" w:hAnsi="Adobe Caslon Pro" w:cs="Arial"/>
          <w:i/>
        </w:rPr>
        <w:t>Colaboración</w:t>
      </w:r>
      <w:r w:rsidRPr="000907D3">
        <w:rPr>
          <w:rFonts w:ascii="Adobe Caslon Pro" w:hAnsi="Adobe Caslon Pro" w:cs="Arial"/>
        </w:rPr>
        <w:t>, entendida meramente como una ayuda esporádica no sistematizada en la que bajo ciertas condiciones hay lugar para colaborar.</w:t>
      </w:r>
      <w:r w:rsidR="00DE2AC4">
        <w:rPr>
          <w:rFonts w:ascii="Adobe Caslon Pro" w:hAnsi="Adobe Caslon Pro" w:cs="Arial"/>
        </w:rPr>
        <w:t xml:space="preserve"> </w:t>
      </w:r>
      <w:r w:rsidRPr="000907D3">
        <w:rPr>
          <w:rFonts w:ascii="Adobe Caslon Pro" w:hAnsi="Adobe Caslon Pro" w:cs="Arial"/>
        </w:rPr>
        <w:t xml:space="preserve">El cuarto nivel se alcanza cuando existe operación conjunta y sistemática, lo que implica haber identificado con antelación un problema en común, del cual deriva una operación conjunta. El nivel de </w:t>
      </w:r>
      <w:r w:rsidRPr="00047999">
        <w:rPr>
          <w:rFonts w:ascii="Adobe Caslon Pro" w:hAnsi="Adobe Caslon Pro" w:cs="Arial"/>
          <w:i/>
        </w:rPr>
        <w:t>Asociación</w:t>
      </w:r>
      <w:r w:rsidRPr="000907D3">
        <w:rPr>
          <w:rFonts w:ascii="Adobe Caslon Pro" w:hAnsi="Adobe Caslon Pro" w:cs="Arial"/>
        </w:rPr>
        <w:t xml:space="preserve"> se alcanza cuando en el tiempo la interacción entre personas ha alcanzado relaciones de confianza en las que además de compartir una causa en común</w:t>
      </w:r>
      <w:r w:rsidR="009E59ED">
        <w:rPr>
          <w:rFonts w:ascii="Adobe Caslon Pro" w:hAnsi="Adobe Caslon Pro" w:cs="Arial"/>
        </w:rPr>
        <w:t>,</w:t>
      </w:r>
      <w:r w:rsidRPr="000907D3">
        <w:rPr>
          <w:rFonts w:ascii="Adobe Caslon Pro" w:hAnsi="Adobe Caslon Pro" w:cs="Arial"/>
        </w:rPr>
        <w:t xml:space="preserve"> alcanzan acuerdos o un contrato a través del cual se comparten recursos y objetivos, entre otros.</w:t>
      </w:r>
    </w:p>
    <w:p w:rsidR="00D25F5B" w:rsidRPr="000907D3" w:rsidRDefault="00A95DED" w:rsidP="0043286B">
      <w:pPr>
        <w:pStyle w:val="Epgrafe"/>
        <w:spacing w:after="120"/>
        <w:jc w:val="center"/>
        <w:rPr>
          <w:rFonts w:ascii="Adobe Caslon Pro" w:hAnsi="Adobe Caslon Pro" w:cs="Arial"/>
          <w:color w:val="000000"/>
          <w:sz w:val="20"/>
          <w:szCs w:val="22"/>
        </w:rPr>
      </w:pPr>
      <w:bookmarkStart w:id="57" w:name="_Toc381169899"/>
      <w:r>
        <w:rPr>
          <w:rFonts w:ascii="Adobe Caslon Pro" w:hAnsi="Adobe Caslon Pro" w:cs="Arial"/>
          <w:color w:val="000000"/>
          <w:sz w:val="20"/>
          <w:szCs w:val="22"/>
        </w:rPr>
        <w:t>Figura</w:t>
      </w:r>
      <w:r w:rsidR="0043286B">
        <w:rPr>
          <w:rFonts w:ascii="Adobe Caslon Pro" w:hAnsi="Adobe Caslon Pro" w:cs="Arial"/>
          <w:color w:val="000000"/>
          <w:sz w:val="20"/>
          <w:szCs w:val="22"/>
        </w:rPr>
        <w:t xml:space="preserve"> </w:t>
      </w:r>
      <w:r w:rsidR="005D3A4C">
        <w:rPr>
          <w:rFonts w:ascii="Adobe Caslon Pro" w:hAnsi="Adobe Caslon Pro" w:cs="Arial"/>
          <w:color w:val="000000"/>
          <w:sz w:val="20"/>
          <w:szCs w:val="22"/>
        </w:rPr>
        <w:t>4</w:t>
      </w:r>
      <w:r w:rsidR="00D25F5B" w:rsidRPr="000907D3">
        <w:rPr>
          <w:rFonts w:ascii="Adobe Caslon Pro" w:hAnsi="Adobe Caslon Pro" w:cs="Arial"/>
          <w:color w:val="000000"/>
          <w:sz w:val="20"/>
          <w:szCs w:val="22"/>
        </w:rPr>
        <w:t>. Niveles de profundidad de una red</w:t>
      </w:r>
      <w:bookmarkEnd w:id="57"/>
    </w:p>
    <w:tbl>
      <w:tblPr>
        <w:tblW w:w="8015" w:type="dxa"/>
        <w:jc w:val="center"/>
        <w:tblLook w:val="04A0" w:firstRow="1" w:lastRow="0" w:firstColumn="1" w:lastColumn="0" w:noHBand="0" w:noVBand="1"/>
      </w:tblPr>
      <w:tblGrid>
        <w:gridCol w:w="8015"/>
      </w:tblGrid>
      <w:tr w:rsidR="00D25F5B" w:rsidRPr="000907D3" w:rsidTr="004E1B0D">
        <w:trPr>
          <w:trHeight w:val="3976"/>
          <w:jc w:val="center"/>
        </w:trPr>
        <w:tc>
          <w:tcPr>
            <w:tcW w:w="0" w:type="auto"/>
            <w:vAlign w:val="center"/>
          </w:tcPr>
          <w:p w:rsidR="00D25F5B" w:rsidRPr="000907D3" w:rsidRDefault="00D25F5B" w:rsidP="0043286B">
            <w:pPr>
              <w:spacing w:after="120" w:line="240" w:lineRule="auto"/>
              <w:jc w:val="center"/>
              <w:rPr>
                <w:rFonts w:ascii="Adobe Caslon Pro" w:hAnsi="Adobe Caslon Pro" w:cs="Arial"/>
              </w:rPr>
            </w:pPr>
            <w:r w:rsidRPr="000907D3">
              <w:rPr>
                <w:rFonts w:ascii="Adobe Caslon Pro" w:hAnsi="Adobe Caslon Pro" w:cs="Arial"/>
                <w:noProof/>
                <w:lang w:eastAsia="es-MX"/>
              </w:rPr>
              <w:drawing>
                <wp:inline distT="0" distB="0" distL="0" distR="0" wp14:anchorId="34F21D7B" wp14:editId="4761BFFD">
                  <wp:extent cx="4895681" cy="2969777"/>
                  <wp:effectExtent l="0" t="38100" r="0" b="97790"/>
                  <wp:docPr id="22" name="Diagrama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tc>
      </w:tr>
    </w:tbl>
    <w:p w:rsidR="004E1B0D" w:rsidRDefault="004E1B0D" w:rsidP="0043286B">
      <w:pPr>
        <w:spacing w:after="120" w:line="240" w:lineRule="auto"/>
        <w:jc w:val="both"/>
        <w:rPr>
          <w:rFonts w:ascii="Adobe Caslon Pro" w:hAnsi="Adobe Caslon Pro" w:cs="Arial"/>
        </w:rPr>
      </w:pPr>
      <w:r w:rsidRPr="000907D3">
        <w:rPr>
          <w:rFonts w:ascii="Adobe Caslon Pro" w:hAnsi="Adobe Caslon Pro" w:cs="Arial"/>
          <w:sz w:val="18"/>
        </w:rPr>
        <w:t xml:space="preserve">Fuente: </w:t>
      </w:r>
      <w:r w:rsidR="00047999">
        <w:rPr>
          <w:rFonts w:ascii="Adobe Caslon Pro" w:hAnsi="Adobe Caslon Pro" w:cs="Arial"/>
          <w:sz w:val="18"/>
        </w:rPr>
        <w:t xml:space="preserve">Elaboración propia con información de </w:t>
      </w:r>
      <w:r w:rsidRPr="000907D3">
        <w:rPr>
          <w:rFonts w:ascii="Adobe Caslon Pro" w:hAnsi="Adobe Caslon Pro" w:cs="Arial"/>
          <w:sz w:val="18"/>
        </w:rPr>
        <w:t xml:space="preserve">Rovere </w:t>
      </w:r>
      <w:r w:rsidR="00DE2AC4">
        <w:rPr>
          <w:rFonts w:ascii="Adobe Caslon Pro" w:hAnsi="Adobe Caslon Pro" w:cs="Arial"/>
          <w:sz w:val="18"/>
        </w:rPr>
        <w:t>(</w:t>
      </w:r>
      <w:r w:rsidRPr="000907D3">
        <w:rPr>
          <w:rFonts w:ascii="Adobe Caslon Pro" w:hAnsi="Adobe Caslon Pro" w:cs="Arial"/>
          <w:sz w:val="18"/>
        </w:rPr>
        <w:t>1998</w:t>
      </w:r>
      <w:r w:rsidR="00DE2AC4">
        <w:rPr>
          <w:rFonts w:ascii="Adobe Caslon Pro" w:hAnsi="Adobe Caslon Pro" w:cs="Arial"/>
          <w:sz w:val="18"/>
        </w:rPr>
        <w:t>)</w:t>
      </w:r>
      <w:r w:rsidRPr="000907D3">
        <w:rPr>
          <w:rFonts w:ascii="Adobe Caslon Pro" w:hAnsi="Adobe Caslon Pro" w:cs="Arial"/>
          <w:sz w:val="18"/>
        </w:rPr>
        <w:t>.</w:t>
      </w:r>
    </w:p>
    <w:p w:rsidR="002A78A2" w:rsidRDefault="002A78A2" w:rsidP="0043286B">
      <w:pPr>
        <w:spacing w:after="120" w:line="240" w:lineRule="auto"/>
        <w:jc w:val="both"/>
        <w:rPr>
          <w:rFonts w:ascii="Adobe Caslon Pro" w:hAnsi="Adobe Caslon Pro" w:cs="Arial"/>
        </w:rPr>
      </w:pPr>
    </w:p>
    <w:p w:rsidR="00D25F5B" w:rsidRDefault="00D25F5B" w:rsidP="0043286B">
      <w:pPr>
        <w:spacing w:after="120" w:line="240" w:lineRule="auto"/>
        <w:jc w:val="both"/>
        <w:rPr>
          <w:rFonts w:ascii="Adobe Caslon Pro" w:hAnsi="Adobe Caslon Pro" w:cs="Arial"/>
        </w:rPr>
      </w:pPr>
      <w:r w:rsidRPr="000907D3">
        <w:rPr>
          <w:rFonts w:ascii="Adobe Caslon Pro" w:hAnsi="Adobe Caslon Pro" w:cs="Arial"/>
        </w:rPr>
        <w:lastRenderedPageBreak/>
        <w:t xml:space="preserve">En el caso de México, la constitución de redes y vínculos de confianza constituye aún un reto. Si bien el PCS fomenta dicha vinculación, como se observa en este apartado, existen causas estructurales subyacentes que es necesario atender para lograr sinergias efectivas entre los actores sociales. </w:t>
      </w:r>
    </w:p>
    <w:p w:rsidR="0056695B" w:rsidRPr="000907D3" w:rsidRDefault="0056695B" w:rsidP="0043286B">
      <w:pPr>
        <w:spacing w:after="120" w:line="240" w:lineRule="auto"/>
        <w:jc w:val="both"/>
        <w:rPr>
          <w:rFonts w:ascii="Adobe Caslon Pro" w:hAnsi="Adobe Caslon Pro" w:cs="Arial"/>
        </w:rPr>
      </w:pPr>
    </w:p>
    <w:p w:rsidR="00D25F5B" w:rsidRDefault="009A7A25" w:rsidP="0043286B">
      <w:pPr>
        <w:pStyle w:val="Ttulo3"/>
        <w:spacing w:before="0" w:after="120" w:line="240" w:lineRule="auto"/>
      </w:pPr>
      <w:bookmarkStart w:id="58" w:name="_Toc374881492"/>
      <w:bookmarkStart w:id="59" w:name="_Toc376184697"/>
      <w:bookmarkStart w:id="60" w:name="_Toc380497361"/>
      <w:bookmarkStart w:id="61" w:name="_Toc391925220"/>
      <w:r>
        <w:t xml:space="preserve">2.2.4 </w:t>
      </w:r>
      <w:r w:rsidR="00D25F5B" w:rsidRPr="004C0712">
        <w:t>Los efectos del Problema</w:t>
      </w:r>
      <w:bookmarkEnd w:id="58"/>
      <w:bookmarkEnd w:id="59"/>
      <w:bookmarkEnd w:id="60"/>
      <w:bookmarkEnd w:id="61"/>
    </w:p>
    <w:p w:rsidR="0056695B" w:rsidRPr="00271526" w:rsidRDefault="0056695B" w:rsidP="0043286B">
      <w:pPr>
        <w:spacing w:after="120"/>
        <w:rPr>
          <w:sz w:val="12"/>
        </w:rPr>
      </w:pPr>
    </w:p>
    <w:p w:rsidR="00D25F5B" w:rsidRPr="000907D3" w:rsidRDefault="00D25F5B" w:rsidP="0043286B">
      <w:pPr>
        <w:spacing w:after="120" w:line="240" w:lineRule="auto"/>
        <w:jc w:val="both"/>
        <w:rPr>
          <w:rFonts w:ascii="Adobe Caslon Pro" w:hAnsi="Adobe Caslon Pro" w:cs="Arial"/>
        </w:rPr>
      </w:pPr>
      <w:r w:rsidRPr="000907D3">
        <w:rPr>
          <w:rFonts w:ascii="Adobe Caslon Pro" w:hAnsi="Adobe Caslon Pro" w:cs="Arial"/>
          <w:b/>
        </w:rPr>
        <w:t>Dificultad de generación de estrategias para el desarrollo social entre actores sociales</w:t>
      </w:r>
    </w:p>
    <w:p w:rsidR="00D25F5B" w:rsidRDefault="00D25F5B" w:rsidP="0043286B">
      <w:pPr>
        <w:spacing w:before="240" w:after="120" w:line="240" w:lineRule="auto"/>
        <w:jc w:val="both"/>
        <w:rPr>
          <w:rFonts w:ascii="Adobe Caslon Pro" w:hAnsi="Adobe Caslon Pro" w:cs="Arial"/>
        </w:rPr>
      </w:pPr>
      <w:r w:rsidRPr="000907D3">
        <w:rPr>
          <w:rFonts w:ascii="Adobe Caslon Pro" w:hAnsi="Adobe Caslon Pro" w:cs="Arial"/>
        </w:rPr>
        <w:t xml:space="preserve">La debilidad de los actores impacta la generación de estrategias de desarrollo social que éstos puedan realizar, primordialmente, por dos retos importantes: la capacidad de los actores para comunicarse y coordinarse entre ellos mismos, así como la facilidad o dificultad de interacción de éstos con la población. Tapia </w:t>
      </w:r>
      <w:r w:rsidRPr="000907D3">
        <w:rPr>
          <w:rFonts w:ascii="Adobe Caslon Pro" w:hAnsi="Adobe Caslon Pro" w:cs="Arial"/>
          <w:i/>
        </w:rPr>
        <w:t>et al</w:t>
      </w:r>
      <w:r w:rsidRPr="000907D3">
        <w:rPr>
          <w:rFonts w:ascii="Adobe Caslon Pro" w:hAnsi="Adobe Caslon Pro" w:cs="Arial"/>
        </w:rPr>
        <w:t xml:space="preserve"> (2010) destacan que son pocos los actores sociales que conocen la importancia de contar con estrategias para identificar y establecer alianzas con los actores potenciales para posicionar sus temas en el interés público.</w:t>
      </w:r>
    </w:p>
    <w:p w:rsidR="00D25F5B" w:rsidRDefault="00D25F5B" w:rsidP="0043286B">
      <w:pPr>
        <w:spacing w:after="120" w:line="240" w:lineRule="auto"/>
        <w:jc w:val="both"/>
        <w:rPr>
          <w:rFonts w:ascii="Adobe Caslon Pro" w:hAnsi="Adobe Caslon Pro" w:cs="Arial"/>
        </w:rPr>
      </w:pPr>
      <w:r w:rsidRPr="000907D3">
        <w:rPr>
          <w:rFonts w:ascii="Adobe Caslon Pro" w:hAnsi="Adobe Caslon Pro" w:cs="Arial"/>
        </w:rPr>
        <w:t xml:space="preserve">Para ilustrar lo anterior, conviene mencionar que pese </w:t>
      </w:r>
      <w:r w:rsidR="00047999">
        <w:rPr>
          <w:rFonts w:ascii="Adobe Caslon Pro" w:hAnsi="Adobe Caslon Pro" w:cs="Arial"/>
        </w:rPr>
        <w:t xml:space="preserve">a que existe un </w:t>
      </w:r>
      <w:r w:rsidRPr="000907D3">
        <w:rPr>
          <w:rFonts w:ascii="Adobe Caslon Pro" w:hAnsi="Adobe Caslon Pro" w:cs="Arial"/>
        </w:rPr>
        <w:t>número considerablemente grande de actores sociales dentro de la misma temática,</w:t>
      </w:r>
      <w:r w:rsidRPr="000907D3">
        <w:rPr>
          <w:rStyle w:val="Refdenotaalpie"/>
          <w:rFonts w:ascii="Adobe Caslon Pro" w:hAnsi="Adobe Caslon Pro" w:cs="Arial"/>
        </w:rPr>
        <w:footnoteReference w:id="15"/>
      </w:r>
      <w:r w:rsidRPr="000907D3">
        <w:rPr>
          <w:rFonts w:ascii="Adobe Caslon Pro" w:hAnsi="Adobe Caslon Pro" w:cs="Arial"/>
        </w:rPr>
        <w:t xml:space="preserve"> y además trabajando en territorios cercanos; la insuficiente y poco accesible información de lo que hacen los actores sociales en otros territorios, puede contribuir a que las prácticas exitosas alcanzadas por otros actores no se socialicen</w:t>
      </w:r>
      <w:r w:rsidR="00DE2AC4">
        <w:rPr>
          <w:rFonts w:ascii="Adobe Caslon Pro" w:hAnsi="Adobe Caslon Pro" w:cs="Arial"/>
        </w:rPr>
        <w:t xml:space="preserve"> </w:t>
      </w:r>
      <w:r w:rsidR="00DE2AC4" w:rsidRPr="00DE2AC4">
        <w:rPr>
          <w:rFonts w:ascii="Adobe Caslon Pro" w:hAnsi="Adobe Caslon Pro" w:cs="Arial"/>
        </w:rPr>
        <w:t>(</w:t>
      </w:r>
      <w:r w:rsidR="00DE2AC4">
        <w:rPr>
          <w:rFonts w:ascii="Adobe Caslon Pro" w:hAnsi="Adobe Caslon Pro" w:cs="Arial"/>
        </w:rPr>
        <w:t>CIC-PC, INDESOL, 2012)</w:t>
      </w:r>
      <w:r w:rsidRPr="000907D3">
        <w:rPr>
          <w:rFonts w:ascii="Adobe Caslon Pro" w:hAnsi="Adobe Caslon Pro" w:cs="Arial"/>
        </w:rPr>
        <w:t>. Es decir, si los actores sociales que trabajan en la misma temática social interactuaran en forma grupal, podrían llegar a conocer mejor el problema y así poder diseñar mejores estrategias. Sin embargo, la información de los trabajos de los diversos actores sociales catalogada temáticamente y por demarcación territorial sigue siendo escasa.</w:t>
      </w:r>
    </w:p>
    <w:p w:rsidR="00D25F5B" w:rsidRDefault="00D25F5B" w:rsidP="0043286B">
      <w:pPr>
        <w:spacing w:after="120" w:line="240" w:lineRule="auto"/>
        <w:jc w:val="both"/>
        <w:rPr>
          <w:rFonts w:ascii="Adobe Caslon Pro" w:hAnsi="Adobe Caslon Pro" w:cs="Arial"/>
        </w:rPr>
      </w:pPr>
      <w:r w:rsidRPr="000907D3">
        <w:rPr>
          <w:rFonts w:ascii="Adobe Caslon Pro" w:hAnsi="Adobe Caslon Pro" w:cs="Arial"/>
        </w:rPr>
        <w:t xml:space="preserve">Además, existen otras dificultades para generar estrategias para el desarrollo social que provienen de la población, en cuanto a si percibe fácil o difícil contar con el apoyo de sus redes sociales, en caso de requerir ayuda en situaciones como las siguientes: ser cuidado en una enfermedad, obtener dinero, conseguir trabajo, contar con compañía </w:t>
      </w:r>
      <w:r w:rsidR="00047999">
        <w:rPr>
          <w:rFonts w:ascii="Adobe Caslon Pro" w:hAnsi="Adobe Caslon Pro" w:cs="Arial"/>
        </w:rPr>
        <w:t xml:space="preserve">para asistir </w:t>
      </w:r>
      <w:r w:rsidRPr="000907D3">
        <w:rPr>
          <w:rFonts w:ascii="Adobe Caslon Pro" w:hAnsi="Adobe Caslon Pro" w:cs="Arial"/>
        </w:rPr>
        <w:t>al doctor, obtener cooperación para realizar mejoras en la colonia o localidad o cuidar a los infantes.</w:t>
      </w:r>
      <w:r w:rsidR="00047999">
        <w:rPr>
          <w:rFonts w:ascii="Adobe Caslon Pro" w:hAnsi="Adobe Caslon Pro" w:cs="Arial"/>
        </w:rPr>
        <w:t xml:space="preserve"> Estas situaciones son las</w:t>
      </w:r>
      <w:r w:rsidRPr="000907D3">
        <w:rPr>
          <w:rFonts w:ascii="Adobe Caslon Pro" w:hAnsi="Adobe Caslon Pro" w:cs="Arial"/>
        </w:rPr>
        <w:t xml:space="preserve"> que considera el índice de percepción de redes sociales, calculado por el </w:t>
      </w:r>
      <w:r w:rsidR="00AE5A03">
        <w:rPr>
          <w:rFonts w:ascii="Adobe Caslon Pro" w:hAnsi="Adobe Caslon Pro" w:cs="Arial"/>
        </w:rPr>
        <w:t>CONEVAL</w:t>
      </w:r>
      <w:r w:rsidRPr="000907D3">
        <w:rPr>
          <w:rFonts w:ascii="Adobe Caslon Pro" w:hAnsi="Adobe Caslon Pro" w:cs="Arial"/>
        </w:rPr>
        <w:t>.</w:t>
      </w:r>
      <w:r w:rsidRPr="000907D3">
        <w:rPr>
          <w:rStyle w:val="Refdenotaalpie"/>
          <w:rFonts w:ascii="Adobe Caslon Pro" w:hAnsi="Adobe Caslon Pro" w:cs="Arial"/>
        </w:rPr>
        <w:footnoteReference w:id="16"/>
      </w:r>
      <w:r w:rsidRPr="000907D3">
        <w:rPr>
          <w:rFonts w:ascii="Adobe Caslon Pro" w:hAnsi="Adobe Caslon Pro" w:cs="Arial"/>
        </w:rPr>
        <w:t xml:space="preserve"> Los valores que puede tomar este índice son solamente tres: bajo, medio y alto. </w:t>
      </w:r>
    </w:p>
    <w:p w:rsidR="0056695B" w:rsidRPr="000907D3" w:rsidRDefault="0056695B" w:rsidP="0043286B">
      <w:pPr>
        <w:spacing w:after="120" w:line="240" w:lineRule="auto"/>
        <w:jc w:val="both"/>
        <w:rPr>
          <w:rFonts w:ascii="Adobe Caslon Pro" w:hAnsi="Adobe Caslon Pro" w:cs="Arial"/>
        </w:rPr>
      </w:pPr>
    </w:p>
    <w:p w:rsidR="0056695B" w:rsidRDefault="00D25F5B" w:rsidP="0043286B">
      <w:pPr>
        <w:spacing w:after="120" w:line="240" w:lineRule="auto"/>
        <w:jc w:val="both"/>
        <w:rPr>
          <w:rFonts w:ascii="Adobe Caslon Pro" w:hAnsi="Adobe Caslon Pro" w:cs="Arial"/>
          <w:b/>
          <w:color w:val="000000"/>
          <w:sz w:val="20"/>
        </w:rPr>
      </w:pPr>
      <w:r w:rsidRPr="000907D3">
        <w:rPr>
          <w:rFonts w:ascii="Adobe Caslon Pro" w:hAnsi="Adobe Caslon Pro" w:cs="Arial"/>
        </w:rPr>
        <w:lastRenderedPageBreak/>
        <w:t>Los valores de ese índice para el año 2012 comparados con los de 2010, muestran una disminución de 10% a 0% de la población en entidades con grado alto de percepción de redes sociales. También muestran un aumento en el porcentaje de población con un índice de percepción de redes sociales con grado medio el cual pasó de 68.6% a 87.2%. A nivel estatal sólo 4 estados en un nivel alto de percepción de redes</w:t>
      </w:r>
      <w:r w:rsidR="00047999">
        <w:rPr>
          <w:rFonts w:ascii="Adobe Caslon Pro" w:hAnsi="Adobe Caslon Pro" w:cs="Arial"/>
        </w:rPr>
        <w:t xml:space="preserve"> en 2010</w:t>
      </w:r>
      <w:r w:rsidRPr="000907D3">
        <w:rPr>
          <w:rFonts w:ascii="Adobe Caslon Pro" w:hAnsi="Adobe Caslon Pro" w:cs="Arial"/>
        </w:rPr>
        <w:t xml:space="preserve">. La mayoría de los estados, un total de 24, tiene un nivel de percepción de redes medio. No obstante, de 2008 a 2010 pasaron de 3 a 4 las entidades federativas con un nivel bajo de percepción de redes. </w:t>
      </w:r>
    </w:p>
    <w:p w:rsidR="00130F95" w:rsidRDefault="00130F95" w:rsidP="0043286B">
      <w:pPr>
        <w:spacing w:after="120" w:line="240" w:lineRule="auto"/>
        <w:jc w:val="center"/>
        <w:rPr>
          <w:rFonts w:ascii="Adobe Caslon Pro" w:hAnsi="Adobe Caslon Pro" w:cs="Arial"/>
          <w:b/>
          <w:color w:val="000000"/>
          <w:sz w:val="20"/>
        </w:rPr>
      </w:pPr>
      <w:r w:rsidRPr="00130F95">
        <w:rPr>
          <w:rFonts w:ascii="Adobe Caslon Pro" w:hAnsi="Adobe Caslon Pro" w:cs="Arial"/>
          <w:b/>
          <w:color w:val="000000"/>
          <w:sz w:val="20"/>
        </w:rPr>
        <w:t>Gráfica 7. Índice de perc</w:t>
      </w:r>
      <w:r w:rsidR="00DE2AC4">
        <w:rPr>
          <w:rFonts w:ascii="Adobe Caslon Pro" w:hAnsi="Adobe Caslon Pro" w:cs="Arial"/>
          <w:b/>
          <w:color w:val="000000"/>
          <w:sz w:val="20"/>
        </w:rPr>
        <w:t xml:space="preserve">epción de redes sociales 2010 y </w:t>
      </w:r>
      <w:r w:rsidRPr="00130F95">
        <w:rPr>
          <w:rFonts w:ascii="Adobe Caslon Pro" w:hAnsi="Adobe Caslon Pro" w:cs="Arial"/>
          <w:b/>
          <w:color w:val="000000"/>
          <w:sz w:val="20"/>
        </w:rPr>
        <w:t>2012</w:t>
      </w:r>
      <w:r w:rsidR="005C79FF">
        <w:rPr>
          <w:rFonts w:ascii="Adobe Caslon Pro" w:hAnsi="Adobe Caslon Pro" w:cs="Arial"/>
          <w:b/>
          <w:color w:val="000000"/>
          <w:sz w:val="20"/>
        </w:rPr>
        <w:t xml:space="preserve"> (porcentaje)</w:t>
      </w:r>
    </w:p>
    <w:p w:rsidR="00130F95" w:rsidRPr="00130F95" w:rsidRDefault="00130F95" w:rsidP="0043286B">
      <w:pPr>
        <w:spacing w:after="120" w:line="240" w:lineRule="auto"/>
        <w:jc w:val="center"/>
        <w:rPr>
          <w:rFonts w:ascii="Adobe Caslon Pro" w:hAnsi="Adobe Caslon Pro" w:cs="Arial"/>
          <w:b/>
        </w:rPr>
      </w:pPr>
      <w:r w:rsidRPr="000907D3">
        <w:rPr>
          <w:rFonts w:ascii="Adobe Caslon Pro" w:hAnsi="Adobe Caslon Pro" w:cs="Arial"/>
          <w:noProof/>
          <w:lang w:eastAsia="es-MX"/>
        </w:rPr>
        <w:drawing>
          <wp:inline distT="0" distB="0" distL="0" distR="0" wp14:anchorId="0C0F319E" wp14:editId="3DEF32AC">
            <wp:extent cx="4572000" cy="2088000"/>
            <wp:effectExtent l="0" t="0" r="19050" b="26670"/>
            <wp:docPr id="85" name="Gráfico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6695B" w:rsidRPr="0043286B" w:rsidRDefault="00E817AB" w:rsidP="0043286B">
      <w:pPr>
        <w:spacing w:after="120" w:line="240" w:lineRule="auto"/>
        <w:jc w:val="both"/>
        <w:rPr>
          <w:rFonts w:ascii="Adobe Caslon Pro" w:hAnsi="Adobe Caslon Pro" w:cs="Arial"/>
          <w:sz w:val="18"/>
          <w:szCs w:val="18"/>
          <w:lang w:val="es-ES"/>
        </w:rPr>
      </w:pPr>
      <w:r w:rsidRPr="00E817AB">
        <w:rPr>
          <w:rFonts w:ascii="Adobe Caslon Pro" w:hAnsi="Adobe Caslon Pro" w:cs="Arial"/>
          <w:sz w:val="18"/>
          <w:szCs w:val="18"/>
          <w:lang w:val="es-ES"/>
        </w:rPr>
        <w:t>Fuente: estimaciones del CONEVAL con base en el MCS-ENIGH 2012.</w:t>
      </w:r>
    </w:p>
    <w:tbl>
      <w:tblPr>
        <w:tblpPr w:leftFromText="141" w:rightFromText="141" w:vertAnchor="text" w:tblpY="1"/>
        <w:tblOverlap w:val="never"/>
        <w:tblW w:w="6171" w:type="dxa"/>
        <w:tblInd w:w="1710" w:type="dxa"/>
        <w:tblLook w:val="04A0" w:firstRow="1" w:lastRow="0" w:firstColumn="1" w:lastColumn="0" w:noHBand="0" w:noVBand="1"/>
      </w:tblPr>
      <w:tblGrid>
        <w:gridCol w:w="6171"/>
      </w:tblGrid>
      <w:tr w:rsidR="00E817AB" w:rsidRPr="000907D3" w:rsidTr="00AE5A03">
        <w:trPr>
          <w:trHeight w:val="304"/>
        </w:trPr>
        <w:tc>
          <w:tcPr>
            <w:tcW w:w="0" w:type="auto"/>
          </w:tcPr>
          <w:p w:rsidR="00E817AB" w:rsidRPr="000907D3" w:rsidRDefault="00E817AB" w:rsidP="0043286B">
            <w:pPr>
              <w:pStyle w:val="Epgrafe"/>
              <w:spacing w:after="120"/>
              <w:jc w:val="both"/>
              <w:rPr>
                <w:rFonts w:ascii="Adobe Caslon Pro" w:hAnsi="Adobe Caslon Pro" w:cs="Arial"/>
                <w:b w:val="0"/>
                <w:sz w:val="20"/>
                <w:szCs w:val="22"/>
              </w:rPr>
            </w:pPr>
            <w:r w:rsidRPr="000907D3">
              <w:rPr>
                <w:rFonts w:ascii="Adobe Caslon Pro" w:hAnsi="Adobe Caslon Pro" w:cs="Arial"/>
                <w:sz w:val="20"/>
                <w:szCs w:val="22"/>
              </w:rPr>
              <w:br w:type="page"/>
            </w:r>
            <w:bookmarkStart w:id="62" w:name="_Toc381169901"/>
            <w:r w:rsidRPr="000907D3">
              <w:rPr>
                <w:rFonts w:ascii="Adobe Caslon Pro" w:hAnsi="Adobe Caslon Pro" w:cs="Arial"/>
                <w:color w:val="000000"/>
                <w:sz w:val="20"/>
                <w:szCs w:val="22"/>
              </w:rPr>
              <w:t xml:space="preserve">Gráfica </w:t>
            </w:r>
            <w:r>
              <w:rPr>
                <w:rFonts w:ascii="Adobe Caslon Pro" w:hAnsi="Adobe Caslon Pro" w:cs="Arial"/>
                <w:color w:val="000000"/>
                <w:sz w:val="20"/>
                <w:szCs w:val="22"/>
              </w:rPr>
              <w:t>8</w:t>
            </w:r>
            <w:r w:rsidRPr="000907D3">
              <w:rPr>
                <w:rFonts w:ascii="Adobe Caslon Pro" w:hAnsi="Adobe Caslon Pro" w:cs="Arial"/>
                <w:color w:val="000000"/>
                <w:sz w:val="20"/>
                <w:szCs w:val="22"/>
              </w:rPr>
              <w:t>. Índice de percepción de redes por entidad federativa, 2010.</w:t>
            </w:r>
            <w:bookmarkEnd w:id="62"/>
          </w:p>
        </w:tc>
      </w:tr>
    </w:tbl>
    <w:p w:rsidR="00E817AB" w:rsidRDefault="00E817AB" w:rsidP="0043286B">
      <w:pPr>
        <w:spacing w:after="120" w:line="240" w:lineRule="auto"/>
        <w:jc w:val="both"/>
        <w:rPr>
          <w:rFonts w:ascii="Adobe Caslon Pro" w:hAnsi="Adobe Caslon Pro" w:cs="Arial"/>
        </w:rPr>
      </w:pPr>
    </w:p>
    <w:p w:rsidR="00E817AB" w:rsidRDefault="006E05D4" w:rsidP="0043286B">
      <w:pPr>
        <w:spacing w:after="120" w:line="240" w:lineRule="auto"/>
        <w:jc w:val="center"/>
        <w:rPr>
          <w:rFonts w:ascii="Adobe Caslon Pro" w:hAnsi="Adobe Caslon Pro" w:cs="Arial"/>
          <w:sz w:val="18"/>
        </w:rPr>
      </w:pPr>
      <w:r w:rsidRPr="00B337A7">
        <w:rPr>
          <w:noProof/>
          <w:lang w:eastAsia="es-MX"/>
        </w:rPr>
        <mc:AlternateContent>
          <mc:Choice Requires="wps">
            <w:drawing>
              <wp:anchor distT="0" distB="0" distL="114300" distR="114300" simplePos="0" relativeHeight="251708416" behindDoc="0" locked="0" layoutInCell="1" allowOverlap="1" wp14:anchorId="1C77B3C6" wp14:editId="37386AC1">
                <wp:simplePos x="0" y="0"/>
                <wp:positionH relativeFrom="column">
                  <wp:posOffset>2866390</wp:posOffset>
                </wp:positionH>
                <wp:positionV relativeFrom="paragraph">
                  <wp:posOffset>579451</wp:posOffset>
                </wp:positionV>
                <wp:extent cx="914400" cy="1924050"/>
                <wp:effectExtent l="0" t="0" r="0" b="0"/>
                <wp:wrapNone/>
                <wp:docPr id="6" name="5 CuadroTexto"/>
                <wp:cNvGraphicFramePr/>
                <a:graphic xmlns:a="http://schemas.openxmlformats.org/drawingml/2006/main">
                  <a:graphicData uri="http://schemas.microsoft.com/office/word/2010/wordprocessingShape">
                    <wps:wsp>
                      <wps:cNvSpPr txBox="1"/>
                      <wps:spPr>
                        <a:xfrm>
                          <a:off x="0" y="0"/>
                          <a:ext cx="914400" cy="19240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1E4613" w:rsidRDefault="001E4613" w:rsidP="006E05D4">
                            <w:pPr>
                              <w:pStyle w:val="NormalWeb"/>
                              <w:spacing w:before="0" w:beforeAutospacing="0" w:after="0" w:afterAutospacing="0"/>
                              <w:jc w:val="center"/>
                            </w:pPr>
                            <w:r>
                              <w:rPr>
                                <w:rFonts w:ascii="Adobe Caslon Pro" w:hAnsi="Adobe Caslon Pro" w:cstheme="minorBidi"/>
                                <w:color w:val="FFFFFF" w:themeColor="background1"/>
                                <w:sz w:val="16"/>
                                <w:szCs w:val="16"/>
                              </w:rPr>
                              <w:t>Ags, BC, BCS, Camp, Coah, Col, Chis, Chih, DF, Dgo, Gto, Gro, Jal, Mich, Mor, Pue, Qro, Qroo, SLP, Tamps, Tlax, Ver, Yuc y Zac.</w:t>
                            </w:r>
                          </w:p>
                        </w:txbxContent>
                      </wps:txbx>
                      <wps:bodyPr vertOverflow="clip" horzOverflow="clip" wrap="square" rtlCol="0" anchor="t"/>
                    </wps:wsp>
                  </a:graphicData>
                </a:graphic>
              </wp:anchor>
            </w:drawing>
          </mc:Choice>
          <mc:Fallback>
            <w:pict>
              <v:shape id="5 CuadroTexto" o:spid="_x0000_s1029" type="#_x0000_t202" style="position:absolute;left:0;text-align:left;margin-left:225.7pt;margin-top:45.65pt;width:1in;height:151.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" filled="f" stroked="f">
                <v:textbox>
                  <w:txbxContent>
                    <w:p w:rsidR="001E4613" w:rsidRDefault="001E4613" w:rsidP="006E05D4">
                      <w:pPr>
                        <w:pStyle w:val="NormalWeb"/>
                        <w:spacing w:before="0" w:beforeAutospacing="0" w:after="0" w:afterAutospacing="0"/>
                        <w:jc w:val="center"/>
                      </w:pPr>
                      <w:r>
                        <w:rPr>
                          <w:rFonts w:ascii="Adobe Caslon Pro" w:hAnsi="Adobe Caslon Pro" w:cstheme="minorBidi"/>
                          <w:color w:val="FFFFFF" w:themeColor="background1"/>
                          <w:sz w:val="16"/>
                          <w:szCs w:val="16"/>
                        </w:rPr>
                        <w:t>Ags, BC, BCS, Camp, Coah, Col, Chis, Chih, DF, Dgo, Gto, Gro, Jal, Mich, Mor, Pue, Qro, Qroo, SLP, Tamps, Tlax, Ver, Yuc y Zac.</w:t>
                      </w:r>
                    </w:p>
                  </w:txbxContent>
                </v:textbox>
              </v:shape>
            </w:pict>
          </mc:Fallback>
        </mc:AlternateContent>
      </w:r>
      <w:r w:rsidRPr="00B337A7">
        <w:rPr>
          <w:noProof/>
          <w:lang w:eastAsia="es-MX"/>
        </w:rPr>
        <w:drawing>
          <wp:inline distT="0" distB="0" distL="0" distR="0" wp14:anchorId="0A642DF5" wp14:editId="4043BA30">
            <wp:extent cx="4572000" cy="3043238"/>
            <wp:effectExtent l="0" t="0" r="0" b="508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817AB" w:rsidRDefault="00E817AB" w:rsidP="0043286B">
      <w:pPr>
        <w:spacing w:after="120" w:line="240" w:lineRule="auto"/>
        <w:rPr>
          <w:rFonts w:ascii="Adobe Caslon Pro" w:hAnsi="Adobe Caslon Pro" w:cs="Arial"/>
          <w:sz w:val="18"/>
        </w:rPr>
      </w:pPr>
      <w:r w:rsidRPr="000907D3">
        <w:rPr>
          <w:rFonts w:ascii="Adobe Caslon Pro" w:hAnsi="Adobe Caslon Pro" w:cs="Arial"/>
          <w:sz w:val="18"/>
        </w:rPr>
        <w:t xml:space="preserve">Fuente: estimaciones del </w:t>
      </w:r>
      <w:r>
        <w:rPr>
          <w:rFonts w:ascii="Adobe Caslon Pro" w:hAnsi="Adobe Caslon Pro" w:cs="Arial"/>
          <w:sz w:val="18"/>
        </w:rPr>
        <w:t>CONEVAL</w:t>
      </w:r>
      <w:r w:rsidRPr="000907D3">
        <w:rPr>
          <w:rFonts w:ascii="Adobe Caslon Pro" w:hAnsi="Adobe Caslon Pro" w:cs="Arial"/>
          <w:sz w:val="18"/>
        </w:rPr>
        <w:t xml:space="preserve"> con base en el MCS-ENIGH, 2010.</w:t>
      </w:r>
    </w:p>
    <w:p w:rsidR="0056695B" w:rsidRDefault="0056695B" w:rsidP="0043286B">
      <w:pPr>
        <w:spacing w:after="120" w:line="240" w:lineRule="auto"/>
        <w:rPr>
          <w:rFonts w:ascii="Adobe Caslon Pro" w:hAnsi="Adobe Caslon Pro" w:cs="Arial"/>
          <w:sz w:val="18"/>
        </w:rPr>
      </w:pPr>
    </w:p>
    <w:p w:rsidR="00D25F5B" w:rsidRDefault="00D25F5B" w:rsidP="0043286B">
      <w:pPr>
        <w:spacing w:after="120" w:line="240" w:lineRule="auto"/>
        <w:jc w:val="both"/>
        <w:rPr>
          <w:rFonts w:ascii="Adobe Caslon Pro" w:hAnsi="Adobe Caslon Pro" w:cs="Arial"/>
        </w:rPr>
      </w:pPr>
      <w:r w:rsidRPr="000907D3">
        <w:rPr>
          <w:rFonts w:ascii="Adobe Caslon Pro" w:hAnsi="Adobe Caslon Pro" w:cs="Arial"/>
        </w:rPr>
        <w:lastRenderedPageBreak/>
        <w:t xml:space="preserve">Si a lo anterior se agrega que sólo un 14.9% de la población afirma haber tratado alguna vez de pedir apoyo a alguna </w:t>
      </w:r>
      <w:r w:rsidR="00AE47BB">
        <w:rPr>
          <w:rFonts w:ascii="Adobe Caslon Pro" w:hAnsi="Adobe Caslon Pro" w:cs="Arial"/>
        </w:rPr>
        <w:t>AC</w:t>
      </w:r>
      <w:r w:rsidRPr="000907D3">
        <w:rPr>
          <w:rFonts w:ascii="Adobe Caslon Pro" w:hAnsi="Adobe Caslon Pro" w:cs="Arial"/>
        </w:rPr>
        <w:t xml:space="preserve"> (ENCUP, 2012) se refuerza evidencia sobre la dificultad de generar e implementar estrategias con la población.</w:t>
      </w:r>
    </w:p>
    <w:p w:rsidR="006E05D4" w:rsidRDefault="006E05D4" w:rsidP="0043286B">
      <w:pPr>
        <w:spacing w:after="120" w:line="240" w:lineRule="auto"/>
        <w:jc w:val="both"/>
        <w:rPr>
          <w:rFonts w:ascii="Adobe Caslon Pro" w:hAnsi="Adobe Caslon Pro" w:cs="Arial"/>
          <w:b/>
          <w:color w:val="000000" w:themeColor="text1"/>
        </w:rPr>
      </w:pPr>
    </w:p>
    <w:p w:rsidR="00D25F5B" w:rsidRPr="000907D3" w:rsidRDefault="00D25F5B" w:rsidP="0043286B">
      <w:pPr>
        <w:spacing w:after="120" w:line="240" w:lineRule="auto"/>
        <w:jc w:val="both"/>
        <w:rPr>
          <w:rFonts w:ascii="Adobe Caslon Pro" w:hAnsi="Adobe Caslon Pro" w:cs="Arial"/>
          <w:b/>
          <w:color w:val="000000" w:themeColor="text1"/>
        </w:rPr>
      </w:pPr>
      <w:r w:rsidRPr="000907D3">
        <w:rPr>
          <w:rFonts w:ascii="Adobe Caslon Pro" w:hAnsi="Adobe Caslon Pro" w:cs="Arial"/>
          <w:b/>
          <w:color w:val="000000" w:themeColor="text1"/>
        </w:rPr>
        <w:t>Reducción de las actividades de los actores sociales y desvinculación con la sociedad</w:t>
      </w:r>
    </w:p>
    <w:p w:rsidR="00D25F5B" w:rsidRDefault="00D25F5B" w:rsidP="0043286B">
      <w:pPr>
        <w:spacing w:before="240" w:after="120" w:line="240" w:lineRule="auto"/>
        <w:jc w:val="both"/>
        <w:rPr>
          <w:rFonts w:ascii="Adobe Caslon Pro" w:hAnsi="Adobe Caslon Pro" w:cs="Arial"/>
        </w:rPr>
      </w:pPr>
      <w:r w:rsidRPr="000907D3">
        <w:rPr>
          <w:rFonts w:ascii="Adobe Caslon Pro" w:hAnsi="Adobe Caslon Pro" w:cs="Arial"/>
        </w:rPr>
        <w:t>La reducción o terminación de las actividades de un actor social puede deberse a su debilidad para hacer frente a éstas ya sea por cuestiones financieras o por otras capacidade</w:t>
      </w:r>
      <w:r w:rsidR="00F24615">
        <w:rPr>
          <w:rFonts w:ascii="Adobe Caslon Pro" w:hAnsi="Adobe Caslon Pro" w:cs="Arial"/>
        </w:rPr>
        <w:t xml:space="preserve">s de gestión no desarrolladas. </w:t>
      </w:r>
      <w:r w:rsidRPr="000907D3">
        <w:rPr>
          <w:rFonts w:ascii="Adobe Caslon Pro" w:hAnsi="Adobe Caslon Pro" w:cs="Arial"/>
        </w:rPr>
        <w:t xml:space="preserve">Por ejemplo, existen financiamientos públicos como el otorgado por el PCS que en sus reglas de operación requieren la entrega de un </w:t>
      </w:r>
      <w:r w:rsidR="00793182" w:rsidRPr="000907D3">
        <w:rPr>
          <w:rFonts w:ascii="Adobe Caslon Pro" w:hAnsi="Adobe Caslon Pro" w:cs="Arial"/>
        </w:rPr>
        <w:t xml:space="preserve">reporte </w:t>
      </w:r>
      <w:r w:rsidRPr="000907D3">
        <w:rPr>
          <w:rFonts w:ascii="Adobe Caslon Pro" w:hAnsi="Adobe Caslon Pro" w:cs="Arial"/>
        </w:rPr>
        <w:t>parcial y un reporte final por parte del actor social apoyado,</w:t>
      </w:r>
      <w:r w:rsidRPr="000907D3">
        <w:rPr>
          <w:rStyle w:val="Refdenotaalpie"/>
          <w:rFonts w:ascii="Adobe Caslon Pro" w:hAnsi="Adobe Caslon Pro" w:cs="Arial"/>
        </w:rPr>
        <w:footnoteReference w:id="17"/>
      </w:r>
      <w:r w:rsidRPr="000907D3">
        <w:rPr>
          <w:rFonts w:ascii="Adobe Caslon Pro" w:hAnsi="Adobe Caslon Pro" w:cs="Arial"/>
        </w:rPr>
        <w:t xml:space="preserve"> cuyo incumplimiento retira la posibilidad de acceder a futuros financiamientos del PCS.</w:t>
      </w:r>
    </w:p>
    <w:p w:rsidR="00D25F5B" w:rsidRDefault="00D25F5B" w:rsidP="0043286B">
      <w:pPr>
        <w:spacing w:after="120" w:line="240" w:lineRule="auto"/>
        <w:jc w:val="both"/>
        <w:rPr>
          <w:rFonts w:ascii="Adobe Caslon Pro" w:hAnsi="Adobe Caslon Pro" w:cs="Arial"/>
        </w:rPr>
      </w:pPr>
      <w:r w:rsidRPr="000907D3">
        <w:rPr>
          <w:rFonts w:ascii="Adobe Caslon Pro" w:hAnsi="Adobe Caslon Pro" w:cs="Arial"/>
        </w:rPr>
        <w:t xml:space="preserve">Si un actor social no es capaz de consolidarse y termina disolviéndose, se rompe </w:t>
      </w:r>
      <w:r w:rsidR="00047999">
        <w:rPr>
          <w:rFonts w:ascii="Adobe Caslon Pro" w:hAnsi="Adobe Caslon Pro" w:cs="Arial"/>
        </w:rPr>
        <w:t>el</w:t>
      </w:r>
      <w:r w:rsidRPr="000907D3">
        <w:rPr>
          <w:rFonts w:ascii="Adobe Caslon Pro" w:hAnsi="Adobe Caslon Pro" w:cs="Arial"/>
        </w:rPr>
        <w:t xml:space="preserve"> vínculo con la sociedad</w:t>
      </w:r>
      <w:r w:rsidR="00047999">
        <w:rPr>
          <w:rFonts w:ascii="Adobe Caslon Pro" w:hAnsi="Adobe Caslon Pro" w:cs="Arial"/>
        </w:rPr>
        <w:t xml:space="preserve"> ya que </w:t>
      </w:r>
      <w:r w:rsidRPr="000907D3">
        <w:rPr>
          <w:rFonts w:ascii="Adobe Caslon Pro" w:hAnsi="Adobe Caslon Pro" w:cs="Arial"/>
        </w:rPr>
        <w:t xml:space="preserve">los actores sociales construyen y procuran relaciones cercanas con la población vulnerable localizada en zonas rurales o marginadas, con quienes a través de sus estrategias y proyectos fomentan acciones de desarrollo comunitario. </w:t>
      </w:r>
    </w:p>
    <w:p w:rsidR="00D25F5B" w:rsidRDefault="00D25F5B" w:rsidP="0043286B">
      <w:pPr>
        <w:spacing w:after="120" w:line="240" w:lineRule="auto"/>
        <w:jc w:val="both"/>
        <w:rPr>
          <w:rFonts w:ascii="Adobe Caslon Pro" w:hAnsi="Adobe Caslon Pro" w:cs="Arial"/>
        </w:rPr>
      </w:pPr>
      <w:r w:rsidRPr="000907D3">
        <w:rPr>
          <w:rFonts w:ascii="Adobe Caslon Pro" w:hAnsi="Adobe Caslon Pro" w:cs="Arial"/>
        </w:rPr>
        <w:t xml:space="preserve">Cuando desaparece un actor social trasciende negativamente sobre el grupo de población con quien se mantenía el vínculo ya que lo deja nuevamente expuesto a la vulnerabilidad. Por ejemplo, hay </w:t>
      </w:r>
      <w:r w:rsidR="00A711AD">
        <w:rPr>
          <w:rFonts w:ascii="Adobe Caslon Pro" w:hAnsi="Adobe Caslon Pro" w:cs="Arial"/>
        </w:rPr>
        <w:t>OSC</w:t>
      </w:r>
      <w:r w:rsidRPr="000907D3">
        <w:rPr>
          <w:rFonts w:ascii="Adobe Caslon Pro" w:hAnsi="Adobe Caslon Pro" w:cs="Arial"/>
        </w:rPr>
        <w:t xml:space="preserve"> que realizan tareas específicas de asistencia, cuyas acciones se enfocan a la atención de necesidades básicas en materia de alimentación, vestido, vivienda y orientación social a grupos vulnerables por edad, sexo y/o situación económica de manera que su desaparición incide una disminución de casas hogar, internados, comedores y albergues</w:t>
      </w:r>
      <w:r w:rsidR="0086054B" w:rsidRPr="000907D3">
        <w:rPr>
          <w:rStyle w:val="Refdenotaalpie"/>
          <w:rFonts w:ascii="Adobe Caslon Pro" w:hAnsi="Adobe Caslon Pro" w:cs="Arial"/>
        </w:rPr>
        <w:footnoteReference w:id="18"/>
      </w:r>
      <w:r w:rsidR="0086054B">
        <w:rPr>
          <w:rFonts w:ascii="Adobe Caslon Pro" w:hAnsi="Adobe Caslon Pro" w:cs="Arial"/>
        </w:rPr>
        <w:t>.</w:t>
      </w:r>
      <w:r w:rsidR="0086054B" w:rsidRPr="0086054B">
        <w:rPr>
          <w:rStyle w:val="Refdenotaalpie"/>
          <w:rFonts w:ascii="Adobe Caslon Pro" w:hAnsi="Adobe Caslon Pro" w:cs="Arial"/>
        </w:rPr>
        <w:t xml:space="preserve"> </w:t>
      </w:r>
    </w:p>
    <w:p w:rsidR="00D25F5B" w:rsidRDefault="00D25F5B" w:rsidP="0043286B">
      <w:pPr>
        <w:spacing w:after="120" w:line="240" w:lineRule="auto"/>
        <w:jc w:val="both"/>
        <w:rPr>
          <w:rFonts w:ascii="Adobe Caslon Pro" w:hAnsi="Adobe Caslon Pro" w:cs="Arial"/>
        </w:rPr>
      </w:pPr>
      <w:r w:rsidRPr="000907D3">
        <w:rPr>
          <w:rFonts w:ascii="Adobe Caslon Pro" w:hAnsi="Adobe Caslon Pro" w:cs="Arial"/>
        </w:rPr>
        <w:t>En cuanto a los actores sociales que atienden el desarrollo regional y comunitario a través de la promoción y elaboración de proyectos que mejoran las condiciones de vida de la comunidad, o que promueven procesos de concientización y organización entre la población pobre y marginada (más allá del asistencialismo)</w:t>
      </w:r>
      <w:r w:rsidR="00874EC3">
        <w:rPr>
          <w:rFonts w:ascii="Adobe Caslon Pro" w:hAnsi="Adobe Caslon Pro" w:cs="Arial"/>
        </w:rPr>
        <w:t xml:space="preserve"> </w:t>
      </w:r>
      <w:r w:rsidRPr="000907D3">
        <w:rPr>
          <w:rFonts w:ascii="Adobe Caslon Pro" w:hAnsi="Adobe Caslon Pro" w:cs="Arial"/>
        </w:rPr>
        <w:t xml:space="preserve">podría afectarse la integración de las demandas de la comunidad cuya consumación era a través de esos procesos o </w:t>
      </w:r>
      <w:r w:rsidR="00047999">
        <w:rPr>
          <w:rFonts w:ascii="Adobe Caslon Pro" w:hAnsi="Adobe Caslon Pro" w:cs="Arial"/>
        </w:rPr>
        <w:t>genera</w:t>
      </w:r>
      <w:r w:rsidR="00CD4C7A">
        <w:rPr>
          <w:rFonts w:ascii="Adobe Caslon Pro" w:hAnsi="Adobe Caslon Pro" w:cs="Arial"/>
        </w:rPr>
        <w:t>r</w:t>
      </w:r>
      <w:r w:rsidRPr="000907D3">
        <w:rPr>
          <w:rFonts w:ascii="Adobe Caslon Pro" w:hAnsi="Adobe Caslon Pro" w:cs="Arial"/>
        </w:rPr>
        <w:t xml:space="preserve"> </w:t>
      </w:r>
      <w:r w:rsidR="00CD4C7A">
        <w:rPr>
          <w:rFonts w:ascii="Adobe Caslon Pro" w:hAnsi="Adobe Caslon Pro" w:cs="Arial"/>
        </w:rPr>
        <w:t xml:space="preserve">una </w:t>
      </w:r>
      <w:r w:rsidRPr="000907D3">
        <w:rPr>
          <w:rFonts w:ascii="Adobe Caslon Pro" w:hAnsi="Adobe Caslon Pro" w:cs="Arial"/>
        </w:rPr>
        <w:t xml:space="preserve">pérdida del impulso de su auto-organización. En otras circunstancias, puede equivaler a perder un vocero ante negociaciones con el gobierno (Tapia y Verduzco 2013).En cuanto a los actores que acercan visiones alternativas de desarrollo o que apoyan mecanismos para la discusión y toma de decisiones comunitarias, la desvinculación con la comunidad podría perjudicar la efectividad de toma de acuerdos, y el establecimiento de límites a la corrupción y prácticas de nepotismo y/o de compadrazgo (Carroll, 1992). </w:t>
      </w:r>
    </w:p>
    <w:p w:rsidR="00D25F5B" w:rsidRDefault="00D25F5B" w:rsidP="0043286B">
      <w:pPr>
        <w:spacing w:after="120" w:line="240" w:lineRule="auto"/>
        <w:jc w:val="both"/>
        <w:rPr>
          <w:rFonts w:ascii="Adobe Caslon Pro" w:hAnsi="Adobe Caslon Pro" w:cs="Arial"/>
        </w:rPr>
      </w:pPr>
      <w:r w:rsidRPr="000907D3">
        <w:rPr>
          <w:rFonts w:ascii="Adobe Caslon Pro" w:hAnsi="Adobe Caslon Pro" w:cs="Arial"/>
        </w:rPr>
        <w:lastRenderedPageBreak/>
        <w:t xml:space="preserve">La relevancia de que el actor social se fortalezca, radica en que éste es un medio para aprovechar la disposición general de la ciudadanía para resolver sus propios problemas ya que acuerdo con la ENCUP (2012), una tercera parte de la población opina que </w:t>
      </w:r>
      <w:bookmarkStart w:id="63" w:name="OLE_LINK1"/>
      <w:r w:rsidRPr="000907D3">
        <w:rPr>
          <w:rFonts w:ascii="Adobe Caslon Pro" w:hAnsi="Adobe Caslon Pro" w:cs="Arial"/>
        </w:rPr>
        <w:t>la sociedad debe resolver sus problemas sin ayuda del gobierno</w:t>
      </w:r>
      <w:bookmarkEnd w:id="63"/>
      <w:r w:rsidRPr="000907D3">
        <w:rPr>
          <w:rFonts w:ascii="Adobe Caslon Pro" w:hAnsi="Adobe Caslon Pro" w:cs="Arial"/>
        </w:rPr>
        <w:t xml:space="preserve">; de hecho sólo la mitad considera que el gobierno es quien debe resolver los problemas de la sociedad. Lo anterior, se confirma con el 77.7% de la población que piensa que los problemas que enfrenta la sociedad deben ser resueltos con la participación del gobierno y la sociedad. </w:t>
      </w:r>
    </w:p>
    <w:p w:rsidR="006E05D4" w:rsidRPr="006E05D4" w:rsidRDefault="006E05D4" w:rsidP="006E05D4">
      <w:pPr>
        <w:spacing w:after="120" w:line="240" w:lineRule="auto"/>
        <w:jc w:val="center"/>
        <w:rPr>
          <w:rFonts w:ascii="Adobe Caslon Pro" w:hAnsi="Adobe Caslon Pro" w:cs="Arial"/>
          <w:b/>
        </w:rPr>
      </w:pPr>
      <w:bookmarkStart w:id="64" w:name="_Toc381169902"/>
      <w:r w:rsidRPr="006E05D4">
        <w:rPr>
          <w:rFonts w:ascii="Adobe Caslon Pro" w:hAnsi="Adobe Caslon Pro" w:cs="Arial"/>
          <w:b/>
          <w:color w:val="000000"/>
          <w:sz w:val="20"/>
        </w:rPr>
        <w:t>Gráfica 9. Porcentaje de la sociedad por opinión respecto a quién debe resolver los problemas de la sociedad</w:t>
      </w:r>
      <w:bookmarkEnd w:id="64"/>
    </w:p>
    <w:p w:rsidR="006E05D4" w:rsidRDefault="006E05D4" w:rsidP="006E05D4">
      <w:pPr>
        <w:spacing w:after="120" w:line="240" w:lineRule="auto"/>
        <w:jc w:val="center"/>
        <w:rPr>
          <w:rFonts w:ascii="Adobe Caslon Pro" w:hAnsi="Adobe Caslon Pro" w:cs="Arial"/>
        </w:rPr>
      </w:pPr>
      <w:r w:rsidRPr="000907D3">
        <w:rPr>
          <w:rFonts w:ascii="Adobe Caslon Pro" w:hAnsi="Adobe Caslon Pro" w:cs="Arial"/>
          <w:noProof/>
          <w:lang w:eastAsia="es-MX"/>
        </w:rPr>
        <w:drawing>
          <wp:inline distT="0" distB="0" distL="0" distR="0" wp14:anchorId="014AA765" wp14:editId="28048D02">
            <wp:extent cx="4015409" cy="2218414"/>
            <wp:effectExtent l="0" t="0" r="23495" b="10795"/>
            <wp:docPr id="80" name="Gráfico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817AB" w:rsidRDefault="00E817AB" w:rsidP="0043286B">
      <w:pPr>
        <w:spacing w:after="120" w:line="240" w:lineRule="auto"/>
        <w:jc w:val="both"/>
        <w:rPr>
          <w:rFonts w:ascii="Adobe Caslon Pro" w:hAnsi="Adobe Caslon Pro" w:cs="Arial"/>
          <w:sz w:val="18"/>
        </w:rPr>
      </w:pPr>
      <w:r w:rsidRPr="000907D3">
        <w:rPr>
          <w:rFonts w:ascii="Adobe Caslon Pro" w:hAnsi="Adobe Caslon Pro" w:cs="Arial"/>
          <w:sz w:val="18"/>
        </w:rPr>
        <w:t>Fuente: Elaboración propia con datos de la ENCUP 2012.</w:t>
      </w:r>
    </w:p>
    <w:p w:rsidR="0056695B" w:rsidRDefault="0056695B" w:rsidP="0043286B">
      <w:pPr>
        <w:spacing w:after="120" w:line="240" w:lineRule="auto"/>
        <w:jc w:val="both"/>
        <w:rPr>
          <w:rFonts w:ascii="Adobe Caslon Pro" w:hAnsi="Adobe Caslon Pro" w:cs="Arial"/>
        </w:rPr>
      </w:pPr>
    </w:p>
    <w:p w:rsidR="00D25F5B" w:rsidRDefault="00D25F5B" w:rsidP="0043286B">
      <w:pPr>
        <w:spacing w:after="120" w:line="240" w:lineRule="auto"/>
        <w:jc w:val="both"/>
        <w:rPr>
          <w:rFonts w:ascii="Adobe Caslon Pro" w:hAnsi="Adobe Caslon Pro" w:cs="Arial"/>
        </w:rPr>
      </w:pPr>
      <w:r w:rsidRPr="000907D3">
        <w:rPr>
          <w:rFonts w:ascii="Adobe Caslon Pro" w:hAnsi="Adobe Caslon Pro" w:cs="Arial"/>
        </w:rPr>
        <w:t xml:space="preserve">Así, la disolución de los actores sociales equivale a perder un medio de canalización de la participación social junto con el conocimiento desarrollado en la atención de esas comunidades, </w:t>
      </w:r>
      <w:r w:rsidR="00CD4C7A">
        <w:rPr>
          <w:rFonts w:ascii="Adobe Caslon Pro" w:hAnsi="Adobe Caslon Pro" w:cs="Arial"/>
        </w:rPr>
        <w:t xml:space="preserve">lo que impide que esto se aplique </w:t>
      </w:r>
      <w:r w:rsidRPr="000907D3">
        <w:rPr>
          <w:rFonts w:ascii="Adobe Caslon Pro" w:hAnsi="Adobe Caslon Pro" w:cs="Arial"/>
        </w:rPr>
        <w:t>en algún otro grupo de población con características similares.</w:t>
      </w:r>
    </w:p>
    <w:p w:rsidR="0056695B" w:rsidRPr="000907D3" w:rsidRDefault="0056695B" w:rsidP="0043286B">
      <w:pPr>
        <w:spacing w:after="120" w:line="240" w:lineRule="auto"/>
        <w:jc w:val="both"/>
        <w:rPr>
          <w:rFonts w:ascii="Adobe Caslon Pro" w:hAnsi="Adobe Caslon Pro" w:cs="Arial"/>
        </w:rPr>
      </w:pPr>
    </w:p>
    <w:p w:rsidR="00D25F5B" w:rsidRPr="000907D3" w:rsidRDefault="00D25F5B" w:rsidP="0043286B">
      <w:pPr>
        <w:spacing w:after="120" w:line="240" w:lineRule="auto"/>
        <w:jc w:val="both"/>
        <w:rPr>
          <w:rFonts w:ascii="Adobe Caslon Pro" w:hAnsi="Adobe Caslon Pro" w:cs="Arial"/>
          <w:b/>
          <w:color w:val="000000" w:themeColor="text1"/>
        </w:rPr>
      </w:pPr>
      <w:r w:rsidRPr="000907D3">
        <w:rPr>
          <w:rFonts w:ascii="Adobe Caslon Pro" w:hAnsi="Adobe Caslon Pro" w:cs="Arial"/>
          <w:b/>
          <w:color w:val="000000" w:themeColor="text1"/>
        </w:rPr>
        <w:t>Desaprovechamiento de las potenciales sinergias entre actores sociales y gobierno para</w:t>
      </w:r>
      <w:r w:rsidR="00BD2E8A">
        <w:rPr>
          <w:rFonts w:ascii="Adobe Caslon Pro" w:hAnsi="Adobe Caslon Pro" w:cs="Arial"/>
          <w:b/>
          <w:color w:val="000000" w:themeColor="text1"/>
        </w:rPr>
        <w:t xml:space="preserve"> </w:t>
      </w:r>
      <w:r w:rsidRPr="000907D3">
        <w:rPr>
          <w:rFonts w:ascii="Adobe Caslon Pro" w:hAnsi="Adobe Caslon Pro" w:cs="Arial"/>
          <w:b/>
          <w:color w:val="000000" w:themeColor="text1"/>
        </w:rPr>
        <w:t>el desarrollo social</w:t>
      </w:r>
    </w:p>
    <w:p w:rsidR="00D25F5B" w:rsidRDefault="00D25F5B" w:rsidP="0043286B">
      <w:pPr>
        <w:spacing w:before="240" w:after="120" w:line="240" w:lineRule="auto"/>
        <w:jc w:val="both"/>
        <w:rPr>
          <w:rFonts w:ascii="Adobe Caslon Pro" w:hAnsi="Adobe Caslon Pro" w:cs="Arial"/>
        </w:rPr>
      </w:pPr>
      <w:r w:rsidRPr="000907D3">
        <w:rPr>
          <w:rFonts w:ascii="Adobe Caslon Pro" w:hAnsi="Adobe Caslon Pro" w:cs="Arial"/>
        </w:rPr>
        <w:t>Para entender la trascendencia de fomentar el fortalecimiento de los actores sociales sirve mencionar que a pesar de haber numerosos programas federales y estatales relacionados con la defensa de los derechos sociales, acompañados de un importante gasto social de toda la A</w:t>
      </w:r>
      <w:r w:rsidR="000E3B1A" w:rsidRPr="000907D3">
        <w:rPr>
          <w:rFonts w:ascii="Adobe Caslon Pro" w:hAnsi="Adobe Caslon Pro" w:cs="Arial"/>
        </w:rPr>
        <w:t xml:space="preserve">PF </w:t>
      </w:r>
      <w:r w:rsidRPr="000907D3">
        <w:rPr>
          <w:rFonts w:ascii="Adobe Caslon Pro" w:hAnsi="Adobe Caslon Pro" w:cs="Arial"/>
        </w:rPr>
        <w:t>destinado a superar la pobreza</w:t>
      </w:r>
      <w:r w:rsidR="00B10908">
        <w:rPr>
          <w:rFonts w:ascii="Adobe Caslon Pro" w:hAnsi="Adobe Caslon Pro" w:cs="Arial"/>
        </w:rPr>
        <w:t xml:space="preserve"> o la exclusión social</w:t>
      </w:r>
      <w:r w:rsidRPr="000907D3">
        <w:rPr>
          <w:rFonts w:ascii="Adobe Caslon Pro" w:hAnsi="Adobe Caslon Pro" w:cs="Arial"/>
        </w:rPr>
        <w:t xml:space="preserve">; </w:t>
      </w:r>
      <w:r w:rsidR="00B10908">
        <w:rPr>
          <w:rFonts w:ascii="Adobe Caslon Pro" w:hAnsi="Adobe Caslon Pro" w:cs="Arial"/>
        </w:rPr>
        <w:t xml:space="preserve">la población mexicana </w:t>
      </w:r>
      <w:r w:rsidRPr="000907D3">
        <w:rPr>
          <w:rFonts w:ascii="Adobe Caslon Pro" w:hAnsi="Adobe Caslon Pro" w:cs="Arial"/>
        </w:rPr>
        <w:t>que vive</w:t>
      </w:r>
      <w:r w:rsidR="00B10908">
        <w:rPr>
          <w:rFonts w:ascii="Adobe Caslon Pro" w:hAnsi="Adobe Caslon Pro" w:cs="Arial"/>
        </w:rPr>
        <w:t xml:space="preserve"> en pobreza representa</w:t>
      </w:r>
      <w:r w:rsidRPr="000907D3">
        <w:rPr>
          <w:rFonts w:ascii="Adobe Caslon Pro" w:hAnsi="Adobe Caslon Pro" w:cs="Arial"/>
        </w:rPr>
        <w:t xml:space="preserve"> casi la mitad de la población (45.5%), es decir, 53.3 millones de personas en 2012; resultados que fueron afectados por la crisis financiera de 2009 y la volatilidad de los precios internacionales de alimentos</w:t>
      </w:r>
      <w:r w:rsidR="00CD4C7A">
        <w:rPr>
          <w:rFonts w:ascii="Adobe Caslon Pro" w:hAnsi="Adobe Caslon Pro" w:cs="Arial"/>
        </w:rPr>
        <w:t>. E</w:t>
      </w:r>
      <w:r w:rsidRPr="000907D3">
        <w:rPr>
          <w:rFonts w:ascii="Adobe Caslon Pro" w:hAnsi="Adobe Caslon Pro" w:cs="Arial"/>
        </w:rPr>
        <w:t xml:space="preserve">ntre los </w:t>
      </w:r>
      <w:r w:rsidR="00CD4C7A">
        <w:rPr>
          <w:rFonts w:ascii="Adobe Caslon Pro" w:hAnsi="Adobe Caslon Pro" w:cs="Arial"/>
        </w:rPr>
        <w:t>efectos de esta crisis mundial destacan</w:t>
      </w:r>
      <w:r w:rsidRPr="000907D3">
        <w:rPr>
          <w:rFonts w:ascii="Adobe Caslon Pro" w:hAnsi="Adobe Caslon Pro" w:cs="Arial"/>
        </w:rPr>
        <w:t xml:space="preserve"> fue la prolongada duración del crecimiento del valor de la canasta básica por encima del de la inflación, hasta el </w:t>
      </w:r>
      <w:r w:rsidRPr="000907D3">
        <w:rPr>
          <w:rFonts w:ascii="Adobe Caslon Pro" w:hAnsi="Adobe Caslon Pro" w:cs="Arial"/>
        </w:rPr>
        <w:lastRenderedPageBreak/>
        <w:t xml:space="preserve">primer trimestre de 2010 (de acuerdo con el </w:t>
      </w:r>
      <w:r w:rsidR="00AE5A03">
        <w:rPr>
          <w:rFonts w:ascii="Adobe Caslon Pro" w:hAnsi="Adobe Caslon Pro" w:cs="Arial"/>
        </w:rPr>
        <w:t>CONEVAL</w:t>
      </w:r>
      <w:r w:rsidRPr="000907D3">
        <w:rPr>
          <w:rFonts w:ascii="Adobe Caslon Pro" w:hAnsi="Adobe Caslon Pro" w:cs="Arial"/>
        </w:rPr>
        <w:t xml:space="preserve"> la única carencia social que se incrementó entre 2008-2010, fue la alimentaria).</w:t>
      </w:r>
    </w:p>
    <w:p w:rsidR="00D25F5B" w:rsidRPr="000907D3" w:rsidRDefault="00D25F5B" w:rsidP="0043286B">
      <w:pPr>
        <w:spacing w:after="120" w:line="240" w:lineRule="auto"/>
        <w:jc w:val="both"/>
        <w:rPr>
          <w:rFonts w:ascii="Adobe Caslon Pro" w:hAnsi="Adobe Caslon Pro" w:cs="Arial"/>
        </w:rPr>
      </w:pPr>
      <w:r w:rsidRPr="000907D3">
        <w:rPr>
          <w:rFonts w:ascii="Adobe Caslon Pro" w:hAnsi="Adobe Caslon Pro" w:cs="Arial"/>
        </w:rPr>
        <w:t xml:space="preserve">Si bien la población que vive en pobreza extrema disminuyó 11.1% entre 2010 y 2012, los esfuerzos de la política social del gobierno siguen presentando importantes retos para reducir el número de personas en situación vulnerable. El </w:t>
      </w:r>
      <w:r w:rsidR="00AE5A03">
        <w:rPr>
          <w:rFonts w:ascii="Adobe Caslon Pro" w:hAnsi="Adobe Caslon Pro" w:cs="Arial"/>
        </w:rPr>
        <w:t>CONEVAL</w:t>
      </w:r>
      <w:r w:rsidRPr="000907D3">
        <w:rPr>
          <w:rFonts w:ascii="Adobe Caslon Pro" w:hAnsi="Adobe Caslon Pro" w:cs="Arial"/>
        </w:rPr>
        <w:t xml:space="preserve"> estimó que en 2012, había 33.5 millones de personas en situación de vulnerabilidad por carencias sociales y 7.2 millones en situación de vulnerabilidad por ingresos, ambas cifras, fueron mayores a las de 2010 en 4% y 7%, respectivamente. A partir de este concepto se considera como vulnerables a diversos grupos de la población: las niñas, los niños y jóvenes en situación de calle, las personas migrantes, las personas con discapacidad, los adultos mayores y la población indígena, que más allá de ser pobres, viven en situaciones de riesgo.</w:t>
      </w:r>
    </w:p>
    <w:p w:rsidR="00D25F5B" w:rsidRPr="000907D3" w:rsidRDefault="00D25F5B" w:rsidP="006E05D4">
      <w:pPr>
        <w:spacing w:before="240" w:after="0" w:line="240" w:lineRule="auto"/>
        <w:jc w:val="center"/>
        <w:rPr>
          <w:rFonts w:ascii="Adobe Caslon Pro" w:hAnsi="Adobe Caslon Pro" w:cs="Arial"/>
          <w:b/>
          <w:color w:val="000000"/>
        </w:rPr>
      </w:pPr>
      <w:bookmarkStart w:id="65" w:name="_Toc380683857"/>
      <w:r w:rsidRPr="000907D3">
        <w:rPr>
          <w:rFonts w:ascii="Adobe Caslon Pro" w:hAnsi="Adobe Caslon Pro" w:cs="Arial"/>
          <w:b/>
          <w:color w:val="000000"/>
          <w:sz w:val="20"/>
        </w:rPr>
        <w:t xml:space="preserve">Cuadro </w:t>
      </w:r>
      <w:r w:rsidR="007A6D2B" w:rsidRPr="000907D3">
        <w:rPr>
          <w:rFonts w:ascii="Adobe Caslon Pro" w:hAnsi="Adobe Caslon Pro" w:cs="Arial"/>
          <w:b/>
          <w:color w:val="000000"/>
          <w:sz w:val="20"/>
        </w:rPr>
        <w:fldChar w:fldCharType="begin"/>
      </w:r>
      <w:r w:rsidRPr="000907D3">
        <w:rPr>
          <w:rFonts w:ascii="Adobe Caslon Pro" w:hAnsi="Adobe Caslon Pro" w:cs="Arial"/>
          <w:b/>
          <w:color w:val="000000"/>
          <w:sz w:val="20"/>
        </w:rPr>
        <w:instrText xml:space="preserve"> SEQ Cuadro \* ARABIC </w:instrText>
      </w:r>
      <w:r w:rsidR="007A6D2B" w:rsidRPr="000907D3">
        <w:rPr>
          <w:rFonts w:ascii="Adobe Caslon Pro" w:hAnsi="Adobe Caslon Pro" w:cs="Arial"/>
          <w:b/>
          <w:color w:val="000000"/>
          <w:sz w:val="20"/>
        </w:rPr>
        <w:fldChar w:fldCharType="separate"/>
      </w:r>
      <w:r w:rsidR="004112D2">
        <w:rPr>
          <w:rFonts w:ascii="Adobe Caslon Pro" w:hAnsi="Adobe Caslon Pro" w:cs="Arial"/>
          <w:b/>
          <w:noProof/>
          <w:color w:val="000000"/>
          <w:sz w:val="20"/>
        </w:rPr>
        <w:t>2</w:t>
      </w:r>
      <w:r w:rsidR="007A6D2B" w:rsidRPr="000907D3">
        <w:rPr>
          <w:rFonts w:ascii="Adobe Caslon Pro" w:hAnsi="Adobe Caslon Pro" w:cs="Arial"/>
          <w:b/>
          <w:color w:val="000000"/>
          <w:sz w:val="20"/>
        </w:rPr>
        <w:fldChar w:fldCharType="end"/>
      </w:r>
      <w:r w:rsidRPr="000907D3">
        <w:rPr>
          <w:rFonts w:ascii="Adobe Caslon Pro" w:hAnsi="Adobe Caslon Pro" w:cs="Arial"/>
          <w:b/>
          <w:color w:val="000000"/>
          <w:sz w:val="20"/>
        </w:rPr>
        <w:t>.Medición de la Pobreza, Estados Unidos Mexicanos, 2012</w:t>
      </w:r>
      <w:bookmarkEnd w:id="65"/>
    </w:p>
    <w:p w:rsidR="00D25F5B" w:rsidRPr="000907D3" w:rsidRDefault="00D25F5B" w:rsidP="006E05D4">
      <w:pPr>
        <w:spacing w:after="0" w:line="240" w:lineRule="auto"/>
        <w:jc w:val="center"/>
        <w:rPr>
          <w:rFonts w:ascii="Adobe Caslon Pro" w:hAnsi="Adobe Caslon Pro" w:cs="Arial"/>
          <w:b/>
          <w:sz w:val="20"/>
        </w:rPr>
      </w:pPr>
      <w:r w:rsidRPr="000907D3">
        <w:rPr>
          <w:rFonts w:ascii="Adobe Caslon Pro" w:hAnsi="Adobe Caslon Pro" w:cs="Arial"/>
          <w:b/>
          <w:sz w:val="20"/>
        </w:rPr>
        <w:t>Porcentajes, número de personas y carencias promedio por indicador de pobreza 2010-2012</w:t>
      </w:r>
    </w:p>
    <w:p w:rsidR="00D25F5B" w:rsidRPr="00046E10" w:rsidRDefault="002601A7" w:rsidP="006E05D4">
      <w:pPr>
        <w:spacing w:after="0" w:line="240" w:lineRule="auto"/>
      </w:pPr>
      <w:r w:rsidRPr="002601A7">
        <w:rPr>
          <w:noProof/>
          <w:lang w:eastAsia="es-MX"/>
        </w:rPr>
        <w:drawing>
          <wp:inline distT="0" distB="0" distL="0" distR="0" wp14:anchorId="51A24BDC" wp14:editId="5A451CDC">
            <wp:extent cx="5960745" cy="3723202"/>
            <wp:effectExtent l="0" t="0" r="190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60745" cy="3723202"/>
                    </a:xfrm>
                    <a:prstGeom prst="rect">
                      <a:avLst/>
                    </a:prstGeom>
                    <a:noFill/>
                    <a:ln>
                      <a:noFill/>
                    </a:ln>
                  </pic:spPr>
                </pic:pic>
              </a:graphicData>
            </a:graphic>
          </wp:inline>
        </w:drawing>
      </w:r>
      <w:r w:rsidR="00D25F5B" w:rsidRPr="000907D3">
        <w:rPr>
          <w:rFonts w:ascii="Adobe Caslon Pro" w:hAnsi="Adobe Caslon Pro" w:cs="Arial"/>
          <w:sz w:val="18"/>
        </w:rPr>
        <w:t xml:space="preserve">Fuente. Estimaciones del </w:t>
      </w:r>
      <w:r w:rsidR="003B4E02">
        <w:rPr>
          <w:rFonts w:ascii="Adobe Caslon Pro" w:hAnsi="Adobe Caslon Pro" w:cs="Arial"/>
          <w:sz w:val="18"/>
        </w:rPr>
        <w:t>CONEVAL</w:t>
      </w:r>
      <w:r w:rsidR="00D25F5B" w:rsidRPr="000907D3">
        <w:rPr>
          <w:rFonts w:ascii="Adobe Caslon Pro" w:hAnsi="Adobe Caslon Pro" w:cs="Arial"/>
          <w:sz w:val="18"/>
        </w:rPr>
        <w:t xml:space="preserve"> con base en el MCS-ENIGH 2010 y 2012</w:t>
      </w:r>
      <w:r w:rsidR="0014367A">
        <w:rPr>
          <w:rFonts w:ascii="Adobe Caslon Pro" w:hAnsi="Adobe Caslon Pro" w:cs="Arial"/>
          <w:sz w:val="18"/>
        </w:rPr>
        <w:t>.</w:t>
      </w:r>
    </w:p>
    <w:p w:rsidR="0056695B" w:rsidRDefault="0056695B" w:rsidP="0043286B">
      <w:pPr>
        <w:spacing w:after="120" w:line="240" w:lineRule="auto"/>
        <w:jc w:val="both"/>
        <w:rPr>
          <w:rFonts w:ascii="Adobe Caslon Pro" w:hAnsi="Adobe Caslon Pro" w:cs="Arial"/>
        </w:rPr>
      </w:pPr>
    </w:p>
    <w:p w:rsidR="00271526" w:rsidRDefault="00D25F5B" w:rsidP="0043286B">
      <w:pPr>
        <w:spacing w:after="120" w:line="240" w:lineRule="auto"/>
        <w:jc w:val="both"/>
        <w:rPr>
          <w:rFonts w:ascii="Adobe Caslon Pro" w:hAnsi="Adobe Caslon Pro" w:cs="Arial"/>
        </w:rPr>
      </w:pPr>
      <w:r w:rsidRPr="000907D3">
        <w:rPr>
          <w:rFonts w:ascii="Adobe Caslon Pro" w:hAnsi="Adobe Caslon Pro" w:cs="Arial"/>
        </w:rPr>
        <w:t>En México se observan sensibles diferencias entre los estados más pobres y los que conservan menores índices de pobreza:</w:t>
      </w:r>
      <w:bookmarkStart w:id="66" w:name="_Toc380683858"/>
    </w:p>
    <w:p w:rsidR="00271526" w:rsidRDefault="00271526">
      <w:pPr>
        <w:spacing w:after="200"/>
        <w:rPr>
          <w:rFonts w:ascii="Adobe Caslon Pro" w:hAnsi="Adobe Caslon Pro" w:cs="Arial"/>
        </w:rPr>
      </w:pPr>
      <w:r>
        <w:rPr>
          <w:rFonts w:ascii="Adobe Caslon Pro" w:hAnsi="Adobe Caslon Pro" w:cs="Arial"/>
        </w:rPr>
        <w:br w:type="page"/>
      </w:r>
    </w:p>
    <w:p w:rsidR="00B20AD6" w:rsidRDefault="00B20AD6" w:rsidP="0043286B">
      <w:pPr>
        <w:spacing w:after="120" w:line="240" w:lineRule="auto"/>
        <w:jc w:val="both"/>
        <w:rPr>
          <w:rFonts w:ascii="Adobe Caslon Pro" w:hAnsi="Adobe Caslon Pro" w:cs="Arial"/>
          <w:color w:val="000000"/>
          <w:sz w:val="20"/>
        </w:rPr>
      </w:pPr>
    </w:p>
    <w:p w:rsidR="00D25F5B" w:rsidRPr="000907D3" w:rsidRDefault="00D25F5B" w:rsidP="006E05D4">
      <w:pPr>
        <w:pStyle w:val="Epgrafe"/>
        <w:spacing w:after="0"/>
        <w:jc w:val="center"/>
        <w:rPr>
          <w:rFonts w:ascii="Adobe Caslon Pro" w:hAnsi="Adobe Caslon Pro" w:cs="Arial"/>
          <w:b w:val="0"/>
          <w:color w:val="000000"/>
          <w:sz w:val="20"/>
          <w:szCs w:val="22"/>
        </w:rPr>
      </w:pPr>
      <w:r w:rsidRPr="000907D3">
        <w:rPr>
          <w:rFonts w:ascii="Adobe Caslon Pro" w:hAnsi="Adobe Caslon Pro" w:cs="Arial"/>
          <w:color w:val="000000"/>
          <w:sz w:val="20"/>
          <w:szCs w:val="22"/>
        </w:rPr>
        <w:t xml:space="preserve">Cuadro </w:t>
      </w:r>
      <w:r w:rsidR="007A6D2B" w:rsidRPr="000907D3">
        <w:rPr>
          <w:rFonts w:ascii="Adobe Caslon Pro" w:hAnsi="Adobe Caslon Pro" w:cs="Arial"/>
          <w:color w:val="000000"/>
          <w:sz w:val="20"/>
          <w:szCs w:val="22"/>
        </w:rPr>
        <w:fldChar w:fldCharType="begin"/>
      </w:r>
      <w:r w:rsidRPr="000907D3">
        <w:rPr>
          <w:rFonts w:ascii="Adobe Caslon Pro" w:hAnsi="Adobe Caslon Pro" w:cs="Arial"/>
          <w:color w:val="000000"/>
          <w:sz w:val="20"/>
          <w:szCs w:val="22"/>
        </w:rPr>
        <w:instrText xml:space="preserve"> SEQ Cuadro \* ARABIC </w:instrText>
      </w:r>
      <w:r w:rsidR="007A6D2B" w:rsidRPr="000907D3">
        <w:rPr>
          <w:rFonts w:ascii="Adobe Caslon Pro" w:hAnsi="Adobe Caslon Pro" w:cs="Arial"/>
          <w:color w:val="000000"/>
          <w:sz w:val="20"/>
          <w:szCs w:val="22"/>
        </w:rPr>
        <w:fldChar w:fldCharType="separate"/>
      </w:r>
      <w:r w:rsidR="004112D2">
        <w:rPr>
          <w:rFonts w:ascii="Adobe Caslon Pro" w:hAnsi="Adobe Caslon Pro" w:cs="Arial"/>
          <w:noProof/>
          <w:color w:val="000000"/>
          <w:sz w:val="20"/>
          <w:szCs w:val="22"/>
        </w:rPr>
        <w:t>3</w:t>
      </w:r>
      <w:r w:rsidR="007A6D2B" w:rsidRPr="000907D3">
        <w:rPr>
          <w:rFonts w:ascii="Adobe Caslon Pro" w:hAnsi="Adobe Caslon Pro" w:cs="Arial"/>
          <w:color w:val="000000"/>
          <w:sz w:val="20"/>
          <w:szCs w:val="22"/>
        </w:rPr>
        <w:fldChar w:fldCharType="end"/>
      </w:r>
      <w:r w:rsidRPr="000907D3">
        <w:rPr>
          <w:rFonts w:ascii="Adobe Caslon Pro" w:hAnsi="Adobe Caslon Pro" w:cs="Arial"/>
          <w:color w:val="000000"/>
          <w:sz w:val="20"/>
          <w:szCs w:val="22"/>
        </w:rPr>
        <w:t>. Medición de la Pobreza, Estados Unidos Mexicanos, 2012</w:t>
      </w:r>
      <w:bookmarkEnd w:id="66"/>
    </w:p>
    <w:p w:rsidR="00D25F5B" w:rsidRPr="000907D3" w:rsidRDefault="00D25F5B" w:rsidP="006E05D4">
      <w:pPr>
        <w:spacing w:after="0" w:line="240" w:lineRule="auto"/>
        <w:jc w:val="center"/>
        <w:rPr>
          <w:rFonts w:ascii="Adobe Caslon Pro" w:hAnsi="Adobe Caslon Pro" w:cs="Arial"/>
          <w:b/>
          <w:sz w:val="20"/>
        </w:rPr>
      </w:pPr>
      <w:r w:rsidRPr="000907D3">
        <w:rPr>
          <w:rFonts w:ascii="Adobe Caslon Pro" w:hAnsi="Adobe Caslon Pro" w:cs="Arial"/>
          <w:b/>
          <w:sz w:val="20"/>
        </w:rPr>
        <w:t>Evolución de la pobreza y pobreza extrema nacional, 2010-2012</w:t>
      </w:r>
    </w:p>
    <w:p w:rsidR="00D25F5B" w:rsidRPr="000907D3" w:rsidRDefault="002601A7" w:rsidP="006E05D4">
      <w:pPr>
        <w:spacing w:after="0" w:line="240" w:lineRule="auto"/>
        <w:jc w:val="center"/>
        <w:rPr>
          <w:rFonts w:ascii="Adobe Caslon Pro" w:hAnsi="Adobe Caslon Pro" w:cs="Arial"/>
        </w:rPr>
      </w:pPr>
      <w:r w:rsidRPr="002601A7">
        <w:rPr>
          <w:noProof/>
          <w:lang w:eastAsia="es-MX"/>
        </w:rPr>
        <w:drawing>
          <wp:inline distT="0" distB="0" distL="0" distR="0" wp14:anchorId="287115AA" wp14:editId="1558EA42">
            <wp:extent cx="5960745" cy="5695575"/>
            <wp:effectExtent l="0" t="0" r="1905"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60745" cy="5695575"/>
                    </a:xfrm>
                    <a:prstGeom prst="rect">
                      <a:avLst/>
                    </a:prstGeom>
                    <a:noFill/>
                    <a:ln>
                      <a:noFill/>
                    </a:ln>
                  </pic:spPr>
                </pic:pic>
              </a:graphicData>
            </a:graphic>
          </wp:inline>
        </w:drawing>
      </w:r>
    </w:p>
    <w:p w:rsidR="00D25F5B" w:rsidRDefault="00D25F5B" w:rsidP="006E05D4">
      <w:pPr>
        <w:spacing w:after="0" w:line="240" w:lineRule="auto"/>
        <w:rPr>
          <w:rFonts w:ascii="Adobe Caslon Pro" w:hAnsi="Adobe Caslon Pro" w:cs="Arial"/>
          <w:sz w:val="18"/>
        </w:rPr>
      </w:pPr>
      <w:r w:rsidRPr="000907D3">
        <w:rPr>
          <w:rFonts w:ascii="Adobe Caslon Pro" w:hAnsi="Adobe Caslon Pro" w:cs="Arial"/>
          <w:sz w:val="18"/>
        </w:rPr>
        <w:t xml:space="preserve">Fuente. Estimaciones del </w:t>
      </w:r>
      <w:r w:rsidR="003B4E02">
        <w:rPr>
          <w:rFonts w:ascii="Adobe Caslon Pro" w:hAnsi="Adobe Caslon Pro" w:cs="Arial"/>
          <w:sz w:val="18"/>
        </w:rPr>
        <w:t>CONEVAL</w:t>
      </w:r>
      <w:r w:rsidR="003B31E7">
        <w:rPr>
          <w:rFonts w:ascii="Adobe Caslon Pro" w:hAnsi="Adobe Caslon Pro" w:cs="Arial"/>
          <w:sz w:val="18"/>
        </w:rPr>
        <w:t xml:space="preserve"> con base en el MCS-ENIGH 2010 y</w:t>
      </w:r>
      <w:r w:rsidRPr="000907D3">
        <w:rPr>
          <w:rFonts w:ascii="Adobe Caslon Pro" w:hAnsi="Adobe Caslon Pro" w:cs="Arial"/>
          <w:sz w:val="18"/>
        </w:rPr>
        <w:t xml:space="preserve"> 2012.</w:t>
      </w:r>
    </w:p>
    <w:p w:rsidR="00046E10" w:rsidRPr="000907D3" w:rsidRDefault="00046E10" w:rsidP="0043286B">
      <w:pPr>
        <w:spacing w:after="120" w:line="240" w:lineRule="auto"/>
        <w:rPr>
          <w:rFonts w:ascii="Adobe Caslon Pro" w:hAnsi="Adobe Caslon Pro" w:cs="Arial"/>
          <w:sz w:val="18"/>
        </w:rPr>
      </w:pPr>
    </w:p>
    <w:p w:rsidR="00D25F5B" w:rsidRPr="000907D3" w:rsidRDefault="00D25F5B" w:rsidP="0043286B">
      <w:pPr>
        <w:spacing w:before="240" w:after="120" w:line="240" w:lineRule="auto"/>
        <w:jc w:val="both"/>
        <w:rPr>
          <w:rFonts w:ascii="Adobe Caslon Pro" w:hAnsi="Adobe Caslon Pro" w:cs="Arial"/>
          <w:b/>
        </w:rPr>
      </w:pPr>
      <w:r w:rsidRPr="000907D3">
        <w:rPr>
          <w:rFonts w:ascii="Adobe Caslon Pro" w:hAnsi="Adobe Caslon Pro" w:cs="Arial"/>
          <w:b/>
        </w:rPr>
        <w:t>Políticas sociales no logran cabalmente sus objetivos de desarrollo comunitario a través de esquemas de inclusión y cohesión social</w:t>
      </w:r>
    </w:p>
    <w:p w:rsidR="00D25F5B" w:rsidRDefault="00D25F5B" w:rsidP="0043286B">
      <w:pPr>
        <w:spacing w:before="240" w:after="120" w:line="240" w:lineRule="auto"/>
        <w:jc w:val="both"/>
        <w:rPr>
          <w:rFonts w:ascii="Adobe Caslon Pro" w:hAnsi="Adobe Caslon Pro" w:cs="Arial"/>
        </w:rPr>
      </w:pPr>
      <w:r w:rsidRPr="000907D3">
        <w:rPr>
          <w:rFonts w:ascii="Adobe Caslon Pro" w:hAnsi="Adobe Caslon Pro" w:cs="Arial"/>
        </w:rPr>
        <w:t xml:space="preserve">De acuerdo con la CEPAL (2008), los gobiernos, además de promover el desarrollo comunitario a través de generar mayores capacidades educativas y laborales, también deben procurar la inclusión y cohesión social a </w:t>
      </w:r>
      <w:r w:rsidRPr="000907D3">
        <w:rPr>
          <w:rFonts w:ascii="Adobe Caslon Pro" w:hAnsi="Adobe Caslon Pro" w:cs="Arial"/>
        </w:rPr>
        <w:lastRenderedPageBreak/>
        <w:t xml:space="preserve">través de políticas públicas que fomenten la solidaridad entre la población. Señala que si bien reducir la pobreza y la desigualdad es una meta muy deseable, también lo es que la ciudadanía se identifique como parte de un proyecto común y perciban una sociedad más equitativa. De acuerdo con el mismo documento, a menor cohesión, es decir, a menor solidaridad entre distintos grupos y sentido de pertenencia, existe un menor avance en la concertación de pactos entre diversos </w:t>
      </w:r>
      <w:r w:rsidR="00664D02">
        <w:rPr>
          <w:rFonts w:ascii="Adobe Caslon Pro" w:hAnsi="Adobe Caslon Pro" w:cs="Arial"/>
        </w:rPr>
        <w:t>actores</w:t>
      </w:r>
      <w:r w:rsidRPr="000907D3">
        <w:rPr>
          <w:rFonts w:ascii="Adobe Caslon Pro" w:hAnsi="Adobe Caslon Pro" w:cs="Arial"/>
        </w:rPr>
        <w:t xml:space="preserve"> que se perciben como miembros de una comunidad política, para sustentar en el largo plazo las políticas públicas ya que no existe disposición a ceder en su intereses individuales en </w:t>
      </w:r>
      <w:r w:rsidRPr="000907D3">
        <w:rPr>
          <w:rFonts w:ascii="Adobe Caslon Pro" w:hAnsi="Adobe Caslon Pro" w:cs="Arial"/>
          <w:i/>
        </w:rPr>
        <w:t>pro</w:t>
      </w:r>
      <w:r w:rsidRPr="000907D3">
        <w:rPr>
          <w:rFonts w:ascii="Adobe Caslon Pro" w:hAnsi="Adobe Caslon Pro" w:cs="Arial"/>
        </w:rPr>
        <w:t xml:space="preserve"> de favorecer al conjunto.</w:t>
      </w:r>
    </w:p>
    <w:p w:rsidR="00D25F5B" w:rsidRDefault="00D25F5B" w:rsidP="0043286B">
      <w:pPr>
        <w:spacing w:after="120" w:line="240" w:lineRule="auto"/>
        <w:jc w:val="both"/>
        <w:rPr>
          <w:rFonts w:ascii="Adobe Caslon Pro" w:hAnsi="Adobe Caslon Pro" w:cs="Arial"/>
        </w:rPr>
      </w:pPr>
      <w:r w:rsidRPr="000907D3">
        <w:rPr>
          <w:rFonts w:ascii="Adobe Caslon Pro" w:hAnsi="Adobe Caslon Pro" w:cs="Arial"/>
        </w:rPr>
        <w:t xml:space="preserve">En México, a pesar de que al menos en los últimos 13 años el gasto social del gobierno federal destinado a superar la pobreza a través de las dependencias de la </w:t>
      </w:r>
      <w:r w:rsidR="000E3B1A" w:rsidRPr="000907D3">
        <w:rPr>
          <w:rFonts w:ascii="Adobe Caslon Pro" w:hAnsi="Adobe Caslon Pro" w:cs="Arial"/>
        </w:rPr>
        <w:t>APF</w:t>
      </w:r>
      <w:r w:rsidRPr="000907D3">
        <w:rPr>
          <w:rFonts w:ascii="Adobe Caslon Pro" w:hAnsi="Adobe Caslon Pro" w:cs="Arial"/>
        </w:rPr>
        <w:t xml:space="preserve"> ha sido creciente, (particularmente, el destinado al desarrollo social, por ejemplo el </w:t>
      </w:r>
      <w:r w:rsidR="00181790">
        <w:rPr>
          <w:rFonts w:ascii="Adobe Caslon Pro" w:hAnsi="Adobe Caslon Pro" w:cs="Arial"/>
        </w:rPr>
        <w:t>PDHO</w:t>
      </w:r>
      <w:r w:rsidR="00CD4C7A">
        <w:rPr>
          <w:rFonts w:ascii="Adobe Caslon Pro" w:hAnsi="Adobe Caslon Pro" w:cs="Arial"/>
        </w:rPr>
        <w:t>)</w:t>
      </w:r>
      <w:r w:rsidRPr="000907D3">
        <w:rPr>
          <w:rFonts w:ascii="Adobe Caslon Pro" w:hAnsi="Adobe Caslon Pro" w:cs="Arial"/>
        </w:rPr>
        <w:t xml:space="preserve"> las estimaciones del </w:t>
      </w:r>
      <w:r w:rsidR="00AE5A03">
        <w:rPr>
          <w:rFonts w:ascii="Adobe Caslon Pro" w:hAnsi="Adobe Caslon Pro" w:cs="Arial"/>
        </w:rPr>
        <w:t>CONEVAL</w:t>
      </w:r>
      <w:r w:rsidRPr="000907D3">
        <w:rPr>
          <w:rFonts w:ascii="Adobe Caslon Pro" w:hAnsi="Adobe Caslon Pro" w:cs="Arial"/>
        </w:rPr>
        <w:t xml:space="preserve"> reportan que el problema de la pobreza alcanza casi a 5 de 10 mexicanos. Aunque el porcentaje de personas en situación de pobreza multidimensional disminuyó de 46.1 a 45.5, el número de personas aumentó de 52.8 millones a 53.3 millones entre 2010-2012.</w:t>
      </w:r>
    </w:p>
    <w:p w:rsidR="00D25F5B" w:rsidRPr="000907D3" w:rsidRDefault="00D25F5B" w:rsidP="006E05D4">
      <w:pPr>
        <w:pStyle w:val="Epgrafe"/>
        <w:spacing w:after="0"/>
        <w:jc w:val="center"/>
        <w:rPr>
          <w:rFonts w:ascii="Adobe Caslon Pro" w:hAnsi="Adobe Caslon Pro" w:cs="Arial"/>
          <w:color w:val="000000"/>
          <w:sz w:val="20"/>
          <w:szCs w:val="22"/>
        </w:rPr>
      </w:pPr>
      <w:bookmarkStart w:id="67" w:name="_Toc381169903"/>
      <w:r w:rsidRPr="000907D3">
        <w:rPr>
          <w:rFonts w:ascii="Adobe Caslon Pro" w:hAnsi="Adobe Caslon Pro" w:cs="Arial"/>
          <w:color w:val="000000"/>
          <w:sz w:val="20"/>
          <w:szCs w:val="22"/>
        </w:rPr>
        <w:t>Gráfica</w:t>
      </w:r>
      <w:r w:rsidR="005D3A4C">
        <w:rPr>
          <w:rFonts w:ascii="Adobe Caslon Pro" w:hAnsi="Adobe Caslon Pro" w:cs="Arial"/>
          <w:color w:val="000000"/>
          <w:sz w:val="20"/>
          <w:szCs w:val="22"/>
        </w:rPr>
        <w:t xml:space="preserve"> 10</w:t>
      </w:r>
      <w:r w:rsidRPr="000907D3">
        <w:rPr>
          <w:rFonts w:ascii="Adobe Caslon Pro" w:hAnsi="Adobe Caslon Pro" w:cs="Arial"/>
          <w:color w:val="000000"/>
          <w:sz w:val="20"/>
          <w:szCs w:val="22"/>
        </w:rPr>
        <w:t xml:space="preserve">. Gasto del </w:t>
      </w:r>
      <w:r w:rsidR="00BE60D4">
        <w:rPr>
          <w:rFonts w:ascii="Adobe Caslon Pro" w:hAnsi="Adobe Caslon Pro" w:cs="Arial"/>
          <w:color w:val="000000"/>
          <w:sz w:val="20"/>
          <w:szCs w:val="22"/>
        </w:rPr>
        <w:t>gobierno</w:t>
      </w:r>
      <w:r w:rsidRPr="000907D3">
        <w:rPr>
          <w:rFonts w:ascii="Adobe Caslon Pro" w:hAnsi="Adobe Caslon Pro" w:cs="Arial"/>
          <w:color w:val="000000"/>
          <w:sz w:val="20"/>
          <w:szCs w:val="22"/>
        </w:rPr>
        <w:t xml:space="preserve"> Federal ejercido en Programas para la Superación de la Pobreza</w:t>
      </w:r>
      <w:bookmarkEnd w:id="67"/>
    </w:p>
    <w:p w:rsidR="00D25F5B" w:rsidRPr="000907D3" w:rsidRDefault="00D25F5B" w:rsidP="006E05D4">
      <w:pPr>
        <w:spacing w:after="0" w:line="240" w:lineRule="auto"/>
        <w:jc w:val="center"/>
        <w:rPr>
          <w:rFonts w:ascii="Adobe Caslon Pro" w:hAnsi="Adobe Caslon Pro" w:cs="Arial"/>
          <w:b/>
          <w:color w:val="000000"/>
          <w:sz w:val="20"/>
        </w:rPr>
      </w:pPr>
      <w:r w:rsidRPr="000907D3">
        <w:rPr>
          <w:rFonts w:ascii="Adobe Caslon Pro" w:hAnsi="Adobe Caslon Pro" w:cs="Arial"/>
          <w:b/>
          <w:color w:val="000000"/>
          <w:sz w:val="20"/>
        </w:rPr>
        <w:t>(miles de millones de pesos)</w:t>
      </w:r>
    </w:p>
    <w:p w:rsidR="00D25F5B" w:rsidRPr="000907D3" w:rsidRDefault="00D25F5B" w:rsidP="006E05D4">
      <w:pPr>
        <w:spacing w:after="0" w:line="240" w:lineRule="auto"/>
        <w:jc w:val="center"/>
        <w:rPr>
          <w:rFonts w:ascii="Adobe Caslon Pro" w:hAnsi="Adobe Caslon Pro" w:cs="Arial"/>
        </w:rPr>
      </w:pPr>
      <w:r w:rsidRPr="000907D3">
        <w:rPr>
          <w:rFonts w:ascii="Adobe Caslon Pro" w:hAnsi="Adobe Caslon Pro" w:cs="Arial"/>
          <w:noProof/>
          <w:lang w:eastAsia="es-MX"/>
        </w:rPr>
        <w:drawing>
          <wp:inline distT="0" distB="0" distL="0" distR="0" wp14:anchorId="0F1FB51B" wp14:editId="4E737917">
            <wp:extent cx="3600000" cy="1728000"/>
            <wp:effectExtent l="0" t="0" r="19685" b="24765"/>
            <wp:docPr id="7" name="Gráfico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25F5B" w:rsidRPr="000907D3" w:rsidRDefault="00D25F5B" w:rsidP="006E05D4">
      <w:pPr>
        <w:spacing w:after="0" w:line="240" w:lineRule="auto"/>
        <w:rPr>
          <w:rFonts w:ascii="Adobe Caslon Pro" w:hAnsi="Adobe Caslon Pro" w:cs="Arial"/>
          <w:color w:val="E36C0A"/>
          <w:sz w:val="18"/>
        </w:rPr>
      </w:pPr>
      <w:r w:rsidRPr="000907D3">
        <w:rPr>
          <w:rFonts w:ascii="Adobe Caslon Pro" w:hAnsi="Adobe Caslon Pro" w:cs="Arial"/>
          <w:color w:val="000000"/>
          <w:sz w:val="18"/>
        </w:rPr>
        <w:t xml:space="preserve">Fuente: Anexo Estadístico del Primer Informe de </w:t>
      </w:r>
      <w:r w:rsidR="00BE60D4">
        <w:rPr>
          <w:rFonts w:ascii="Adobe Caslon Pro" w:hAnsi="Adobe Caslon Pro" w:cs="Arial"/>
          <w:color w:val="000000"/>
          <w:sz w:val="18"/>
        </w:rPr>
        <w:t>gobierno</w:t>
      </w:r>
      <w:r w:rsidRPr="000907D3">
        <w:rPr>
          <w:rFonts w:ascii="Adobe Caslon Pro" w:hAnsi="Adobe Caslon Pro" w:cs="Arial"/>
          <w:color w:val="000000"/>
          <w:sz w:val="18"/>
        </w:rPr>
        <w:t xml:space="preserve"> Presidente Enrique Peña Nieto</w:t>
      </w:r>
      <w:r w:rsidRPr="000907D3">
        <w:rPr>
          <w:rFonts w:ascii="Adobe Caslon Pro" w:hAnsi="Adobe Caslon Pro" w:cs="Arial"/>
          <w:color w:val="E36C0A"/>
          <w:sz w:val="18"/>
        </w:rPr>
        <w:t>.</w:t>
      </w:r>
    </w:p>
    <w:p w:rsidR="00D25F5B" w:rsidRPr="000907D3" w:rsidRDefault="00D25F5B" w:rsidP="006E05D4">
      <w:pPr>
        <w:pStyle w:val="Epgrafe"/>
        <w:spacing w:after="0"/>
        <w:jc w:val="center"/>
        <w:rPr>
          <w:rFonts w:ascii="Adobe Caslon Pro" w:hAnsi="Adobe Caslon Pro" w:cs="Arial"/>
          <w:b w:val="0"/>
          <w:color w:val="000000"/>
          <w:sz w:val="20"/>
          <w:szCs w:val="22"/>
        </w:rPr>
      </w:pPr>
      <w:bookmarkStart w:id="68" w:name="_Toc381169904"/>
      <w:r w:rsidRPr="000907D3">
        <w:rPr>
          <w:rFonts w:ascii="Adobe Caslon Pro" w:hAnsi="Adobe Caslon Pro" w:cs="Arial"/>
          <w:color w:val="000000"/>
          <w:sz w:val="20"/>
          <w:szCs w:val="22"/>
        </w:rPr>
        <w:t>Gráfica</w:t>
      </w:r>
      <w:r w:rsidR="001F49E7">
        <w:rPr>
          <w:rFonts w:ascii="Adobe Caslon Pro" w:hAnsi="Adobe Caslon Pro" w:cs="Arial"/>
          <w:color w:val="000000"/>
          <w:sz w:val="20"/>
          <w:szCs w:val="22"/>
        </w:rPr>
        <w:t xml:space="preserve"> </w:t>
      </w:r>
      <w:r w:rsidR="000E3B1A" w:rsidRPr="000907D3">
        <w:rPr>
          <w:rFonts w:ascii="Adobe Caslon Pro" w:hAnsi="Adobe Caslon Pro" w:cs="Arial"/>
          <w:color w:val="000000"/>
          <w:sz w:val="20"/>
          <w:szCs w:val="22"/>
        </w:rPr>
        <w:t>1</w:t>
      </w:r>
      <w:r w:rsidR="005D3A4C">
        <w:rPr>
          <w:rFonts w:ascii="Adobe Caslon Pro" w:hAnsi="Adobe Caslon Pro" w:cs="Arial"/>
          <w:color w:val="000000"/>
          <w:sz w:val="20"/>
          <w:szCs w:val="22"/>
        </w:rPr>
        <w:t>1</w:t>
      </w:r>
      <w:r w:rsidRPr="000907D3">
        <w:rPr>
          <w:rFonts w:ascii="Adobe Caslon Pro" w:hAnsi="Adobe Caslon Pro" w:cs="Arial"/>
          <w:color w:val="000000"/>
          <w:sz w:val="20"/>
          <w:szCs w:val="22"/>
        </w:rPr>
        <w:t>. Gasto a través del PDHO</w:t>
      </w:r>
      <w:bookmarkEnd w:id="68"/>
    </w:p>
    <w:p w:rsidR="00D25F5B" w:rsidRPr="000907D3" w:rsidRDefault="00D25F5B" w:rsidP="006E05D4">
      <w:pPr>
        <w:spacing w:after="0" w:line="240" w:lineRule="auto"/>
        <w:jc w:val="center"/>
        <w:rPr>
          <w:rFonts w:ascii="Adobe Caslon Pro" w:hAnsi="Adobe Caslon Pro" w:cs="Arial"/>
          <w:b/>
          <w:color w:val="000000"/>
          <w:sz w:val="20"/>
        </w:rPr>
      </w:pPr>
      <w:r w:rsidRPr="000907D3">
        <w:rPr>
          <w:rFonts w:ascii="Adobe Caslon Pro" w:hAnsi="Adobe Caslon Pro" w:cs="Arial"/>
          <w:b/>
          <w:color w:val="000000"/>
          <w:sz w:val="20"/>
        </w:rPr>
        <w:t>(miles de millones de pesos)</w:t>
      </w:r>
    </w:p>
    <w:p w:rsidR="00D25F5B" w:rsidRPr="000907D3" w:rsidRDefault="00D25F5B" w:rsidP="006E05D4">
      <w:pPr>
        <w:spacing w:after="0" w:line="240" w:lineRule="auto"/>
        <w:jc w:val="center"/>
        <w:rPr>
          <w:rFonts w:ascii="Adobe Caslon Pro" w:hAnsi="Adobe Caslon Pro" w:cs="Arial"/>
          <w:color w:val="000000"/>
        </w:rPr>
      </w:pPr>
      <w:r w:rsidRPr="000907D3">
        <w:rPr>
          <w:rFonts w:ascii="Adobe Caslon Pro" w:hAnsi="Adobe Caslon Pro" w:cs="Arial"/>
          <w:noProof/>
          <w:lang w:eastAsia="es-MX"/>
        </w:rPr>
        <w:drawing>
          <wp:inline distT="0" distB="0" distL="0" distR="0" wp14:anchorId="3EF94E9B" wp14:editId="7D4975AF">
            <wp:extent cx="3600000" cy="1692000"/>
            <wp:effectExtent l="0" t="0" r="19685" b="22860"/>
            <wp:docPr id="13" name="Gráfico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25F5B" w:rsidRDefault="001127C5" w:rsidP="006E05D4">
      <w:pPr>
        <w:spacing w:after="0" w:line="240" w:lineRule="auto"/>
        <w:rPr>
          <w:rFonts w:ascii="Adobe Caslon Pro" w:hAnsi="Adobe Caslon Pro" w:cs="Arial"/>
          <w:color w:val="E36C0A"/>
          <w:sz w:val="18"/>
        </w:rPr>
      </w:pPr>
      <w:r w:rsidRPr="000907D3">
        <w:rPr>
          <w:rFonts w:ascii="Adobe Caslon Pro" w:hAnsi="Adobe Caslon Pro" w:cs="Arial"/>
          <w:color w:val="000000"/>
          <w:sz w:val="18"/>
        </w:rPr>
        <w:t xml:space="preserve">Fuente: Anexo Estadístico del Primer Informe de </w:t>
      </w:r>
      <w:r w:rsidR="00BE60D4">
        <w:rPr>
          <w:rFonts w:ascii="Adobe Caslon Pro" w:hAnsi="Adobe Caslon Pro" w:cs="Arial"/>
          <w:color w:val="000000"/>
          <w:sz w:val="18"/>
        </w:rPr>
        <w:t>gobierno</w:t>
      </w:r>
      <w:r w:rsidRPr="000907D3">
        <w:rPr>
          <w:rFonts w:ascii="Adobe Caslon Pro" w:hAnsi="Adobe Caslon Pro" w:cs="Arial"/>
          <w:color w:val="000000"/>
          <w:sz w:val="18"/>
        </w:rPr>
        <w:t xml:space="preserve"> </w:t>
      </w:r>
      <w:r w:rsidR="00604153">
        <w:rPr>
          <w:rFonts w:ascii="Adobe Caslon Pro" w:hAnsi="Adobe Caslon Pro" w:cs="Arial"/>
          <w:color w:val="000000"/>
          <w:sz w:val="18"/>
        </w:rPr>
        <w:t>2013</w:t>
      </w:r>
      <w:r w:rsidRPr="000907D3">
        <w:rPr>
          <w:rFonts w:ascii="Adobe Caslon Pro" w:hAnsi="Adobe Caslon Pro" w:cs="Arial"/>
          <w:color w:val="E36C0A"/>
          <w:sz w:val="18"/>
        </w:rPr>
        <w:t>.</w:t>
      </w:r>
    </w:p>
    <w:p w:rsidR="008F5529" w:rsidRDefault="008F5529" w:rsidP="006E05D4">
      <w:pPr>
        <w:spacing w:after="0" w:line="240" w:lineRule="auto"/>
        <w:rPr>
          <w:rFonts w:ascii="Adobe Caslon Pro" w:hAnsi="Adobe Caslon Pro" w:cs="Arial"/>
          <w:color w:val="000000"/>
          <w:sz w:val="18"/>
        </w:rPr>
      </w:pPr>
      <w:r w:rsidRPr="000907D3">
        <w:rPr>
          <w:rFonts w:ascii="Adobe Caslon Pro" w:hAnsi="Adobe Caslon Pro" w:cs="Arial"/>
          <w:color w:val="000000"/>
          <w:sz w:val="18"/>
        </w:rPr>
        <w:t>Nota: en el año 2013, se refiere al presupuesto aprobado original</w:t>
      </w:r>
      <w:r w:rsidR="0048606E">
        <w:rPr>
          <w:rFonts w:ascii="Adobe Caslon Pro" w:hAnsi="Adobe Caslon Pro" w:cs="Arial"/>
          <w:color w:val="000000"/>
          <w:sz w:val="18"/>
        </w:rPr>
        <w:t>.</w:t>
      </w:r>
    </w:p>
    <w:p w:rsidR="009D14B9" w:rsidRPr="000907D3" w:rsidRDefault="009D14B9" w:rsidP="006E05D4">
      <w:pPr>
        <w:spacing w:after="0" w:line="240" w:lineRule="auto"/>
        <w:rPr>
          <w:rFonts w:ascii="Adobe Caslon Pro" w:hAnsi="Adobe Caslon Pro" w:cs="Arial"/>
          <w:color w:val="000000"/>
          <w:sz w:val="18"/>
        </w:rPr>
      </w:pPr>
    </w:p>
    <w:p w:rsidR="00D25F5B" w:rsidRPr="000907D3" w:rsidRDefault="00D25F5B" w:rsidP="0043286B">
      <w:pPr>
        <w:spacing w:after="120" w:line="240" w:lineRule="auto"/>
        <w:jc w:val="both"/>
        <w:rPr>
          <w:rFonts w:ascii="Adobe Caslon Pro" w:hAnsi="Adobe Caslon Pro" w:cs="Arial"/>
        </w:rPr>
      </w:pPr>
      <w:r w:rsidRPr="000907D3">
        <w:rPr>
          <w:rFonts w:ascii="Adobe Caslon Pro" w:hAnsi="Adobe Caslon Pro" w:cs="Arial"/>
        </w:rPr>
        <w:t>Desde un enfoque territorial, el 40% de los municipios del país tienen población en pobreza, y se caracterizan por tener población indígena,</w:t>
      </w:r>
      <w:r w:rsidR="00CD4C7A">
        <w:rPr>
          <w:rFonts w:ascii="Adobe Caslon Pro" w:hAnsi="Adobe Caslon Pro" w:cs="Arial"/>
        </w:rPr>
        <w:t xml:space="preserve"> ser</w:t>
      </w:r>
      <w:r w:rsidRPr="000907D3">
        <w:rPr>
          <w:rFonts w:ascii="Adobe Caslon Pro" w:hAnsi="Adobe Caslon Pro" w:cs="Arial"/>
        </w:rPr>
        <w:t xml:space="preserve"> l</w:t>
      </w:r>
      <w:r w:rsidR="00CD4C7A">
        <w:rPr>
          <w:rFonts w:ascii="Adobe Caslon Pro" w:hAnsi="Adobe Caslon Pro" w:cs="Arial"/>
        </w:rPr>
        <w:t>ocalidades rurales y representar</w:t>
      </w:r>
      <w:r w:rsidRPr="000907D3">
        <w:rPr>
          <w:rFonts w:ascii="Adobe Caslon Pro" w:hAnsi="Adobe Caslon Pro" w:cs="Arial"/>
        </w:rPr>
        <w:t xml:space="preserve"> casi tres cuartas partes de quienes viven en ellos. Sin embargo, no sólo hay pobres en las zonas rurales, también hay en las zonas urban</w:t>
      </w:r>
      <w:r w:rsidR="009D14B9">
        <w:rPr>
          <w:rFonts w:ascii="Adobe Caslon Pro" w:hAnsi="Adobe Caslon Pro" w:cs="Arial"/>
        </w:rPr>
        <w:t>as (65% y 40%, respectivamente) [PND 2013-2018].</w:t>
      </w:r>
      <w:r w:rsidRPr="000907D3">
        <w:rPr>
          <w:rFonts w:ascii="Adobe Caslon Pro" w:hAnsi="Adobe Caslon Pro" w:cs="Arial"/>
        </w:rPr>
        <w:t xml:space="preserve"> Sin embargo, en las ciudades se está observando una ruptura del tejido social, comunitario y familiar. Según las cifras de la ENCUP (2012) el 69% de la población opina que no se puede confiar en las personas. De hecho, el porcentaje de personas que considera que si no se cuida, la gente se aprovechará de ellas aumentó de 73% a 81.4% entre los años 2001 y 2012.</w:t>
      </w:r>
    </w:p>
    <w:p w:rsidR="00D25F5B" w:rsidRPr="000907D3" w:rsidRDefault="00D25F5B" w:rsidP="0043286B">
      <w:pPr>
        <w:spacing w:after="120" w:line="240" w:lineRule="auto"/>
        <w:rPr>
          <w:rFonts w:ascii="Adobe Caslon Pro" w:hAnsi="Adobe Caslon Pro" w:cs="Arial"/>
          <w:b/>
        </w:rPr>
      </w:pPr>
    </w:p>
    <w:p w:rsidR="00D25F5B" w:rsidRPr="000907D3" w:rsidRDefault="00D25F5B" w:rsidP="0043286B">
      <w:pPr>
        <w:spacing w:after="120" w:line="240" w:lineRule="auto"/>
        <w:jc w:val="both"/>
        <w:rPr>
          <w:rFonts w:ascii="Adobe Caslon Pro" w:hAnsi="Adobe Caslon Pro" w:cs="Arial"/>
          <w:color w:val="000000" w:themeColor="text1"/>
        </w:rPr>
      </w:pPr>
      <w:r w:rsidRPr="000907D3">
        <w:rPr>
          <w:rFonts w:ascii="Adobe Caslon Pro" w:hAnsi="Adobe Caslon Pro" w:cs="Arial"/>
          <w:b/>
          <w:color w:val="000000" w:themeColor="text1"/>
        </w:rPr>
        <w:t>Limitada participación social en el desarrollo comunitario</w:t>
      </w:r>
    </w:p>
    <w:p w:rsidR="00D25F5B" w:rsidRDefault="00D25F5B" w:rsidP="0043286B">
      <w:pPr>
        <w:spacing w:before="240" w:after="120" w:line="240" w:lineRule="auto"/>
        <w:jc w:val="both"/>
        <w:rPr>
          <w:rFonts w:ascii="Adobe Caslon Pro" w:hAnsi="Adobe Caslon Pro" w:cs="Arial"/>
        </w:rPr>
      </w:pPr>
      <w:r w:rsidRPr="000907D3">
        <w:rPr>
          <w:rFonts w:ascii="Adobe Caslon Pro" w:hAnsi="Adobe Caslon Pro" w:cs="Arial"/>
        </w:rPr>
        <w:t xml:space="preserve">Se ha mostrado que las políticas sociales no bastan para superar la pobreza, la exclusión </w:t>
      </w:r>
      <w:r w:rsidR="00CD4C7A">
        <w:rPr>
          <w:rFonts w:ascii="Adobe Caslon Pro" w:hAnsi="Adobe Caslon Pro" w:cs="Arial"/>
        </w:rPr>
        <w:t>o</w:t>
      </w:r>
      <w:r w:rsidRPr="000907D3">
        <w:rPr>
          <w:rFonts w:ascii="Adobe Caslon Pro" w:hAnsi="Adobe Caslon Pro" w:cs="Arial"/>
        </w:rPr>
        <w:t xml:space="preserve"> la desigualdad en la sociedad, si a esto se agrega la desintegración de los actores sociales por medio de los cuales también se crea capital humano y promueven acciones para generar cohesión y capital social, se disminuye entonces la posibilidad de atención a la población en situación de vulnerabilidad y exclusión.</w:t>
      </w:r>
    </w:p>
    <w:p w:rsidR="00D25F5B" w:rsidRDefault="00D25F5B" w:rsidP="0043286B">
      <w:pPr>
        <w:spacing w:after="120" w:line="240" w:lineRule="auto"/>
        <w:jc w:val="both"/>
        <w:rPr>
          <w:rFonts w:ascii="Adobe Caslon Pro" w:hAnsi="Adobe Caslon Pro" w:cs="Arial"/>
        </w:rPr>
      </w:pPr>
      <w:r w:rsidRPr="000907D3">
        <w:rPr>
          <w:rFonts w:ascii="Adobe Caslon Pro" w:hAnsi="Adobe Caslon Pro" w:cs="Arial"/>
        </w:rPr>
        <w:t>Por su parte “</w:t>
      </w:r>
      <w:r w:rsidR="00CD4C7A">
        <w:rPr>
          <w:rFonts w:ascii="Adobe Caslon Pro" w:hAnsi="Adobe Caslon Pro" w:cs="Arial"/>
          <w:i/>
        </w:rPr>
        <w:t>[p]</w:t>
      </w:r>
      <w:r w:rsidRPr="000907D3">
        <w:rPr>
          <w:rFonts w:ascii="Adobe Caslon Pro" w:hAnsi="Adobe Caslon Pro" w:cs="Arial"/>
          <w:i/>
        </w:rPr>
        <w:t>ersisten altos niveles de exclusión, privación de derechos sociales y desigualdad entre personas y regiones de nuestro país</w:t>
      </w:r>
      <w:r w:rsidRPr="000907D3">
        <w:rPr>
          <w:rFonts w:ascii="Adobe Caslon Pro" w:hAnsi="Adobe Caslon Pro" w:cs="Arial"/>
        </w:rPr>
        <w:t>”, donde para superar la inequidad y exclusión es necesario “</w:t>
      </w:r>
      <w:r w:rsidRPr="000907D3">
        <w:rPr>
          <w:rFonts w:ascii="Adobe Caslon Pro" w:hAnsi="Adobe Caslon Pro" w:cs="Arial"/>
          <w:i/>
        </w:rPr>
        <w:t>generar esquemas de desarrollo comunitario a través de procesos de participación social</w:t>
      </w:r>
      <w:r w:rsidRPr="000907D3">
        <w:rPr>
          <w:rFonts w:ascii="Adobe Caslon Pro" w:hAnsi="Adobe Caslon Pro" w:cs="Arial"/>
        </w:rPr>
        <w:t>”. Además, se destacan otros males asociados a la pobreza que también repercuten desfavorablemente en el nivel de vida de la población como son la desigualdad y la discriminación que se presentan tant</w:t>
      </w:r>
      <w:r w:rsidR="00CD4C7A">
        <w:rPr>
          <w:rFonts w:ascii="Adobe Caslon Pro" w:hAnsi="Adobe Caslon Pro" w:cs="Arial"/>
        </w:rPr>
        <w:t>o en zonas urbanas como rurales y</w:t>
      </w:r>
      <w:r w:rsidRPr="000907D3">
        <w:rPr>
          <w:rFonts w:ascii="Adobe Caslon Pro" w:hAnsi="Adobe Caslon Pro" w:cs="Arial"/>
        </w:rPr>
        <w:t xml:space="preserve"> que se manifiestan con el rompimiento del tejido familiar y comunitario, </w:t>
      </w:r>
      <w:r w:rsidR="009D14B9">
        <w:rPr>
          <w:rFonts w:ascii="Adobe Caslon Pro" w:hAnsi="Adobe Caslon Pro" w:cs="Arial"/>
        </w:rPr>
        <w:t>entre otras patologías sociales (PND 2013-2018).</w:t>
      </w:r>
    </w:p>
    <w:p w:rsidR="001127C5" w:rsidRDefault="00D25F5B" w:rsidP="0043286B">
      <w:pPr>
        <w:spacing w:after="120" w:line="240" w:lineRule="auto"/>
        <w:jc w:val="both"/>
        <w:rPr>
          <w:rFonts w:ascii="Adobe Caslon Pro" w:hAnsi="Adobe Caslon Pro" w:cs="Arial"/>
        </w:rPr>
      </w:pPr>
      <w:r w:rsidRPr="000907D3">
        <w:rPr>
          <w:rFonts w:ascii="Adobe Caslon Pro" w:hAnsi="Adobe Caslon Pro" w:cs="Arial"/>
        </w:rPr>
        <w:t>La gráfica siguiente muestra que en México sólo el 19.8% de la población se encuentra en condiciones de no pobreza y no vulnerabilidad, mientras que el resto enfrenta algún tipo de vulnerabilidad social, de pobreza o ambas.</w:t>
      </w:r>
      <w:r w:rsidRPr="004C0712">
        <w:rPr>
          <w:vertAlign w:val="superscript"/>
        </w:rPr>
        <w:footnoteReference w:id="19"/>
      </w:r>
      <w:r w:rsidRPr="000907D3">
        <w:rPr>
          <w:rFonts w:ascii="Adobe Caslon Pro" w:hAnsi="Adobe Caslon Pro" w:cs="Arial"/>
        </w:rPr>
        <w:t>El mayor problema de pobreza proviene de la insuficiencia de ingresos y se agudiza en los grupos indígenas, en la población infantil pero sobre todo en las zonas</w:t>
      </w:r>
      <w:r w:rsidR="00CD4C7A">
        <w:rPr>
          <w:rFonts w:ascii="Adobe Caslon Pro" w:hAnsi="Adobe Caslon Pro" w:cs="Arial"/>
        </w:rPr>
        <w:t xml:space="preserve"> de atención prioritaria</w:t>
      </w:r>
      <w:r w:rsidRPr="000907D3">
        <w:rPr>
          <w:rFonts w:ascii="Adobe Caslon Pro" w:hAnsi="Adobe Caslon Pro" w:cs="Arial"/>
        </w:rPr>
        <w:t xml:space="preserve">. De 2010 a 2012 la población vulnerable por ingreso aumentó de 6.7 millones de personas a 7.2 millones (de 5.9% a 6.2%); mientras que la población vulnerable por carencia social pasó de 32.1 millones de personas (28.1%) a 33.5 millones </w:t>
      </w:r>
      <w:r w:rsidR="003B31E7">
        <w:rPr>
          <w:rFonts w:ascii="Adobe Caslon Pro" w:hAnsi="Adobe Caslon Pro" w:cs="Arial"/>
        </w:rPr>
        <w:t>(</w:t>
      </w:r>
      <w:r w:rsidRPr="000907D3">
        <w:rPr>
          <w:rFonts w:ascii="Adobe Caslon Pro" w:hAnsi="Adobe Caslon Pro" w:cs="Arial"/>
        </w:rPr>
        <w:t xml:space="preserve">28.6%). </w:t>
      </w:r>
      <w:r w:rsidRPr="000907D3">
        <w:rPr>
          <w:rFonts w:ascii="Adobe Caslon Pro" w:hAnsi="Adobe Caslon Pro" w:cs="Arial"/>
        </w:rPr>
        <w:cr/>
      </w:r>
    </w:p>
    <w:p w:rsidR="00D25F5B" w:rsidRPr="000907D3" w:rsidRDefault="00D25F5B" w:rsidP="0043286B">
      <w:pPr>
        <w:pStyle w:val="Epgrafe"/>
        <w:spacing w:after="120"/>
        <w:jc w:val="center"/>
        <w:rPr>
          <w:rFonts w:ascii="Adobe Caslon Pro" w:hAnsi="Adobe Caslon Pro" w:cs="Arial"/>
          <w:b w:val="0"/>
          <w:color w:val="000000"/>
          <w:sz w:val="20"/>
          <w:szCs w:val="22"/>
        </w:rPr>
      </w:pPr>
      <w:bookmarkStart w:id="69" w:name="_Toc381169905"/>
      <w:r w:rsidRPr="000907D3">
        <w:rPr>
          <w:rFonts w:ascii="Adobe Caslon Pro" w:hAnsi="Adobe Caslon Pro" w:cs="Arial"/>
          <w:color w:val="000000"/>
          <w:sz w:val="20"/>
          <w:szCs w:val="22"/>
        </w:rPr>
        <w:t>Gráfica</w:t>
      </w:r>
      <w:r w:rsidR="00440F43">
        <w:rPr>
          <w:rFonts w:ascii="Adobe Caslon Pro" w:hAnsi="Adobe Caslon Pro" w:cs="Arial"/>
          <w:color w:val="000000"/>
          <w:sz w:val="20"/>
          <w:szCs w:val="22"/>
        </w:rPr>
        <w:t xml:space="preserve"> </w:t>
      </w:r>
      <w:r w:rsidR="00597798">
        <w:rPr>
          <w:rFonts w:ascii="Adobe Caslon Pro" w:hAnsi="Adobe Caslon Pro" w:cs="Arial"/>
          <w:color w:val="000000"/>
          <w:sz w:val="20"/>
          <w:szCs w:val="22"/>
        </w:rPr>
        <w:t>12</w:t>
      </w:r>
      <w:r w:rsidRPr="000907D3">
        <w:rPr>
          <w:rFonts w:ascii="Adobe Caslon Pro" w:hAnsi="Adobe Caslon Pro" w:cs="Arial"/>
          <w:color w:val="000000"/>
          <w:sz w:val="20"/>
          <w:szCs w:val="22"/>
        </w:rPr>
        <w:t>. México, distribución de la población por indicador de pobreza</w:t>
      </w:r>
      <w:bookmarkEnd w:id="69"/>
      <w:r w:rsidR="00440F43">
        <w:rPr>
          <w:rFonts w:ascii="Adobe Caslon Pro" w:hAnsi="Adobe Caslon Pro" w:cs="Arial"/>
          <w:color w:val="000000"/>
          <w:sz w:val="20"/>
          <w:szCs w:val="22"/>
        </w:rPr>
        <w:t xml:space="preserve"> </w:t>
      </w:r>
      <w:r w:rsidRPr="000907D3">
        <w:rPr>
          <w:rFonts w:ascii="Adobe Caslon Pro" w:hAnsi="Adobe Caslon Pro" w:cs="Arial"/>
          <w:color w:val="000000"/>
          <w:sz w:val="20"/>
          <w:szCs w:val="22"/>
        </w:rPr>
        <w:t>en</w:t>
      </w:r>
      <w:r w:rsidR="007D709B">
        <w:rPr>
          <w:rFonts w:ascii="Adobe Caslon Pro" w:hAnsi="Adobe Caslon Pro" w:cs="Arial"/>
          <w:color w:val="000000"/>
          <w:sz w:val="20"/>
          <w:szCs w:val="22"/>
        </w:rPr>
        <w:t xml:space="preserve"> distintos grupos de población </w:t>
      </w:r>
      <w:r w:rsidRPr="000907D3">
        <w:rPr>
          <w:rFonts w:ascii="Adobe Caslon Pro" w:hAnsi="Adobe Caslon Pro" w:cs="Arial"/>
          <w:color w:val="000000"/>
          <w:sz w:val="20"/>
          <w:szCs w:val="22"/>
        </w:rPr>
        <w:t>2012</w:t>
      </w:r>
      <w:r w:rsidR="007D709B">
        <w:rPr>
          <w:rFonts w:ascii="Adobe Caslon Pro" w:hAnsi="Adobe Caslon Pro" w:cs="Arial"/>
          <w:color w:val="000000"/>
          <w:sz w:val="20"/>
          <w:szCs w:val="22"/>
        </w:rPr>
        <w:t xml:space="preserve"> (porcentaje</w:t>
      </w:r>
      <w:r w:rsidRPr="000907D3">
        <w:rPr>
          <w:rFonts w:ascii="Adobe Caslon Pro" w:hAnsi="Adobe Caslon Pro" w:cs="Arial"/>
          <w:color w:val="000000"/>
          <w:sz w:val="20"/>
          <w:szCs w:val="22"/>
        </w:rPr>
        <w:t>)</w:t>
      </w:r>
    </w:p>
    <w:p w:rsidR="00D25F5B" w:rsidRDefault="00FF5A3E" w:rsidP="0043286B">
      <w:pPr>
        <w:spacing w:after="120" w:line="240" w:lineRule="auto"/>
        <w:jc w:val="center"/>
        <w:rPr>
          <w:rFonts w:ascii="Adobe Caslon Pro" w:hAnsi="Adobe Caslon Pro" w:cs="Arial"/>
        </w:rPr>
      </w:pPr>
      <w:r w:rsidRPr="000907D3">
        <w:rPr>
          <w:rFonts w:ascii="Adobe Caslon Pro" w:hAnsi="Adobe Caslon Pro" w:cs="Arial"/>
          <w:noProof/>
          <w:lang w:eastAsia="es-MX"/>
        </w:rPr>
        <w:lastRenderedPageBreak/>
        <w:drawing>
          <wp:inline distT="0" distB="0" distL="0" distR="0" wp14:anchorId="0634B190" wp14:editId="2E8CA5E0">
            <wp:extent cx="4572000" cy="2987899"/>
            <wp:effectExtent l="0" t="0" r="19050" b="22225"/>
            <wp:docPr id="82" name="Gráfico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127C5" w:rsidRDefault="001127C5" w:rsidP="006E05D4">
      <w:pPr>
        <w:spacing w:after="0" w:line="240" w:lineRule="auto"/>
        <w:rPr>
          <w:rFonts w:ascii="Adobe Caslon Pro" w:hAnsi="Adobe Caslon Pro" w:cs="Arial"/>
          <w:sz w:val="18"/>
          <w:szCs w:val="18"/>
          <w:lang w:val="es-ES"/>
        </w:rPr>
      </w:pPr>
      <w:r w:rsidRPr="001127C5">
        <w:rPr>
          <w:rFonts w:ascii="Adobe Caslon Pro" w:hAnsi="Adobe Caslon Pro" w:cs="Arial"/>
          <w:sz w:val="18"/>
          <w:szCs w:val="18"/>
          <w:lang w:val="es-ES"/>
        </w:rPr>
        <w:t>Fuente: estimaciones del CONEVAL con base en el MCS-ENIGH 2012.</w:t>
      </w:r>
    </w:p>
    <w:p w:rsidR="008F5529" w:rsidRPr="001127C5" w:rsidRDefault="008F5529" w:rsidP="006E05D4">
      <w:pPr>
        <w:spacing w:after="0" w:line="240" w:lineRule="auto"/>
        <w:rPr>
          <w:rFonts w:ascii="Adobe Caslon Pro" w:hAnsi="Adobe Caslon Pro" w:cs="Arial"/>
          <w:sz w:val="18"/>
          <w:szCs w:val="18"/>
        </w:rPr>
      </w:pPr>
      <w:r w:rsidRPr="001127C5">
        <w:rPr>
          <w:rFonts w:ascii="Adobe Caslon Pro" w:hAnsi="Adobe Caslon Pro" w:cs="Arial"/>
          <w:sz w:val="18"/>
          <w:szCs w:val="18"/>
          <w:lang w:val="es-ES"/>
        </w:rPr>
        <w:t>Nota: el porcentaje de pobreza NO incluye a</w:t>
      </w:r>
      <w:r w:rsidR="00F24615">
        <w:rPr>
          <w:rFonts w:ascii="Adobe Caslon Pro" w:hAnsi="Adobe Caslon Pro" w:cs="Arial"/>
          <w:sz w:val="18"/>
          <w:szCs w:val="18"/>
          <w:lang w:val="es-ES"/>
        </w:rPr>
        <w:t xml:space="preserve">l porcentaje de pobreza extrema </w:t>
      </w:r>
    </w:p>
    <w:p w:rsidR="008F5529" w:rsidRPr="008F5529" w:rsidRDefault="008F5529" w:rsidP="0043286B">
      <w:pPr>
        <w:spacing w:after="120" w:line="240" w:lineRule="auto"/>
        <w:rPr>
          <w:rFonts w:ascii="Adobe Caslon Pro" w:hAnsi="Adobe Caslon Pro" w:cs="Arial"/>
          <w:sz w:val="18"/>
          <w:szCs w:val="18"/>
        </w:rPr>
      </w:pPr>
    </w:p>
    <w:p w:rsidR="00D25F5B" w:rsidRDefault="00D25F5B" w:rsidP="0043286B">
      <w:pPr>
        <w:spacing w:after="120" w:line="240" w:lineRule="auto"/>
        <w:jc w:val="both"/>
        <w:rPr>
          <w:rFonts w:ascii="Adobe Caslon Pro" w:hAnsi="Adobe Caslon Pro" w:cs="Arial"/>
        </w:rPr>
      </w:pPr>
      <w:r w:rsidRPr="000907D3">
        <w:rPr>
          <w:rFonts w:ascii="Adobe Caslon Pro" w:hAnsi="Adobe Caslon Pro" w:cs="Arial"/>
        </w:rPr>
        <w:t xml:space="preserve">Con respecto a la participación social en el desarrollo comunitario, la ENCUP (2012) reporta cifras bajas de participación de la sociedad en acciones colectivas; por ejemplo, un tercio de la ciudadanía afirmó que </w:t>
      </w:r>
      <w:r w:rsidR="007D709B">
        <w:rPr>
          <w:rFonts w:ascii="Adobe Caslon Pro" w:hAnsi="Adobe Caslon Pro" w:cs="Arial"/>
        </w:rPr>
        <w:t>al verse</w:t>
      </w:r>
      <w:r w:rsidRPr="000907D3">
        <w:rPr>
          <w:rFonts w:ascii="Adobe Caslon Pro" w:hAnsi="Adobe Caslon Pro" w:cs="Arial"/>
        </w:rPr>
        <w:t xml:space="preserve"> afectada por un problema que involucra a otras personas, intentó organizarse con ellas para solucionarlo y sólo 6% recurrió a colocar mantas, carteles o fotografías. </w:t>
      </w:r>
    </w:p>
    <w:p w:rsidR="00D25F5B" w:rsidRDefault="00D25F5B" w:rsidP="0043286B">
      <w:pPr>
        <w:spacing w:after="120" w:line="240" w:lineRule="auto"/>
        <w:jc w:val="both"/>
        <w:rPr>
          <w:rFonts w:ascii="Adobe Caslon Pro" w:hAnsi="Adobe Caslon Pro" w:cs="Arial"/>
        </w:rPr>
      </w:pPr>
      <w:r w:rsidRPr="000907D3">
        <w:rPr>
          <w:rFonts w:ascii="Adobe Caslon Pro" w:hAnsi="Adobe Caslon Pro" w:cs="Arial"/>
        </w:rPr>
        <w:t xml:space="preserve">Como puede apreciarse en </w:t>
      </w:r>
      <w:r w:rsidR="007D709B">
        <w:rPr>
          <w:rFonts w:ascii="Adobe Caslon Pro" w:hAnsi="Adobe Caslon Pro" w:cs="Arial"/>
        </w:rPr>
        <w:t>la gráfica siguiente sólo el 4</w:t>
      </w:r>
      <w:r w:rsidRPr="000907D3">
        <w:rPr>
          <w:rFonts w:ascii="Adobe Caslon Pro" w:hAnsi="Adobe Caslon Pro" w:cs="Arial"/>
        </w:rPr>
        <w:t>% de la población acude frecuentemente a reuniones cuyo objeto es resolver los problemas de su localidad, mientras que el 45% nunca acude.</w:t>
      </w:r>
    </w:p>
    <w:p w:rsidR="006E05D4" w:rsidRDefault="006E05D4">
      <w:pPr>
        <w:spacing w:after="200"/>
        <w:rPr>
          <w:rFonts w:ascii="Adobe Caslon Pro" w:hAnsi="Adobe Caslon Pro" w:cs="Arial"/>
        </w:rPr>
      </w:pPr>
      <w:r>
        <w:rPr>
          <w:rFonts w:ascii="Adobe Caslon Pro" w:hAnsi="Adobe Caslon Pro" w:cs="Arial"/>
        </w:rPr>
        <w:br w:type="page"/>
      </w:r>
    </w:p>
    <w:p w:rsidR="0056695B" w:rsidRDefault="0056695B" w:rsidP="0043286B">
      <w:pPr>
        <w:spacing w:after="120" w:line="240" w:lineRule="auto"/>
        <w:jc w:val="both"/>
        <w:rPr>
          <w:rFonts w:ascii="Adobe Caslon Pro" w:hAnsi="Adobe Caslon Pro" w:cs="Arial"/>
        </w:rPr>
      </w:pPr>
    </w:p>
    <w:p w:rsidR="00D25F5B" w:rsidRPr="000907D3" w:rsidRDefault="00D25F5B" w:rsidP="0043286B">
      <w:pPr>
        <w:pStyle w:val="Epgrafe"/>
        <w:spacing w:after="120"/>
        <w:jc w:val="center"/>
        <w:rPr>
          <w:rFonts w:ascii="Adobe Caslon Pro" w:hAnsi="Adobe Caslon Pro" w:cs="Arial"/>
          <w:color w:val="auto"/>
          <w:sz w:val="20"/>
          <w:szCs w:val="22"/>
        </w:rPr>
      </w:pPr>
      <w:bookmarkStart w:id="70" w:name="_Toc381169906"/>
      <w:r w:rsidRPr="000907D3">
        <w:rPr>
          <w:rFonts w:ascii="Adobe Caslon Pro" w:hAnsi="Adobe Caslon Pro" w:cs="Arial"/>
          <w:color w:val="auto"/>
          <w:sz w:val="20"/>
          <w:szCs w:val="22"/>
        </w:rPr>
        <w:t xml:space="preserve">Gráfica </w:t>
      </w:r>
      <w:r w:rsidR="00D34B25" w:rsidRPr="000907D3">
        <w:rPr>
          <w:rFonts w:ascii="Adobe Caslon Pro" w:hAnsi="Adobe Caslon Pro" w:cs="Arial"/>
          <w:color w:val="auto"/>
          <w:sz w:val="20"/>
          <w:szCs w:val="22"/>
        </w:rPr>
        <w:t>1</w:t>
      </w:r>
      <w:r w:rsidR="00597798">
        <w:rPr>
          <w:rFonts w:ascii="Adobe Caslon Pro" w:hAnsi="Adobe Caslon Pro" w:cs="Arial"/>
          <w:color w:val="auto"/>
          <w:sz w:val="20"/>
          <w:szCs w:val="22"/>
        </w:rPr>
        <w:t>3</w:t>
      </w:r>
      <w:r w:rsidRPr="000907D3">
        <w:rPr>
          <w:rFonts w:ascii="Adobe Caslon Pro" w:hAnsi="Adobe Caslon Pro" w:cs="Arial"/>
          <w:color w:val="auto"/>
          <w:sz w:val="20"/>
          <w:szCs w:val="22"/>
        </w:rPr>
        <w:t>. Frecuencia de asistencia a reuniones que tienen por objeto resolverlos problemas del barrio, la colonia o la comunidad</w:t>
      </w:r>
      <w:bookmarkEnd w:id="70"/>
      <w:r w:rsidR="007D709B">
        <w:rPr>
          <w:rFonts w:ascii="Adobe Caslon Pro" w:hAnsi="Adobe Caslon Pro" w:cs="Arial"/>
          <w:color w:val="auto"/>
          <w:sz w:val="20"/>
          <w:szCs w:val="22"/>
        </w:rPr>
        <w:t xml:space="preserve"> (porcentaje)</w:t>
      </w:r>
    </w:p>
    <w:p w:rsidR="00D25F5B" w:rsidRPr="000907D3" w:rsidRDefault="007D709B" w:rsidP="0043286B">
      <w:pPr>
        <w:spacing w:after="120" w:line="240" w:lineRule="auto"/>
        <w:jc w:val="center"/>
        <w:rPr>
          <w:rFonts w:ascii="Adobe Caslon Pro" w:hAnsi="Adobe Caslon Pro" w:cs="Arial"/>
        </w:rPr>
      </w:pPr>
      <w:r>
        <w:rPr>
          <w:noProof/>
          <w:lang w:eastAsia="es-MX"/>
        </w:rPr>
        <w:drawing>
          <wp:inline distT="0" distB="0" distL="0" distR="0" wp14:anchorId="64C43D91" wp14:editId="577AD08C">
            <wp:extent cx="3204000" cy="2556000"/>
            <wp:effectExtent l="0" t="0" r="15875" b="1587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25F5B" w:rsidRPr="000907D3" w:rsidRDefault="00D25F5B" w:rsidP="0043286B">
      <w:pPr>
        <w:spacing w:after="120" w:line="240" w:lineRule="auto"/>
        <w:rPr>
          <w:rFonts w:ascii="Adobe Caslon Pro" w:hAnsi="Adobe Caslon Pro" w:cs="Arial"/>
          <w:sz w:val="18"/>
        </w:rPr>
      </w:pPr>
      <w:r w:rsidRPr="000907D3">
        <w:rPr>
          <w:rFonts w:ascii="Adobe Caslon Pro" w:hAnsi="Adobe Caslon Pro" w:cs="Arial"/>
          <w:sz w:val="18"/>
        </w:rPr>
        <w:t>Fuente: ENCUP, 2012.</w:t>
      </w:r>
    </w:p>
    <w:p w:rsidR="0056695B" w:rsidRDefault="0056695B" w:rsidP="0043286B">
      <w:pPr>
        <w:spacing w:after="120" w:line="240" w:lineRule="auto"/>
        <w:jc w:val="both"/>
        <w:rPr>
          <w:rFonts w:ascii="Adobe Caslon Pro" w:hAnsi="Adobe Caslon Pro" w:cs="Arial"/>
          <w:b/>
          <w:color w:val="000000" w:themeColor="text1"/>
        </w:rPr>
      </w:pPr>
    </w:p>
    <w:p w:rsidR="00D25F5B" w:rsidRPr="000907D3" w:rsidRDefault="007728CB" w:rsidP="0043286B">
      <w:pPr>
        <w:spacing w:after="120" w:line="240" w:lineRule="auto"/>
        <w:jc w:val="both"/>
        <w:rPr>
          <w:rFonts w:ascii="Adobe Caslon Pro" w:hAnsi="Adobe Caslon Pro" w:cs="Arial"/>
          <w:b/>
          <w:color w:val="000000" w:themeColor="text1"/>
        </w:rPr>
      </w:pPr>
      <w:r w:rsidRPr="000907D3">
        <w:rPr>
          <w:rFonts w:ascii="Adobe Caslon Pro" w:hAnsi="Adobe Caslon Pro" w:cs="Arial"/>
          <w:b/>
          <w:color w:val="000000" w:themeColor="text1"/>
        </w:rPr>
        <w:t>S</w:t>
      </w:r>
      <w:r w:rsidR="00D25F5B" w:rsidRPr="000907D3">
        <w:rPr>
          <w:rFonts w:ascii="Adobe Caslon Pro" w:hAnsi="Adobe Caslon Pro" w:cs="Arial"/>
          <w:b/>
          <w:color w:val="000000" w:themeColor="text1"/>
        </w:rPr>
        <w:t>íntesis</w:t>
      </w:r>
      <w:r w:rsidR="00440F43">
        <w:rPr>
          <w:rFonts w:ascii="Adobe Caslon Pro" w:hAnsi="Adobe Caslon Pro" w:cs="Arial"/>
          <w:b/>
          <w:color w:val="000000" w:themeColor="text1"/>
        </w:rPr>
        <w:t xml:space="preserve"> </w:t>
      </w:r>
      <w:r w:rsidR="004C0712">
        <w:rPr>
          <w:rFonts w:ascii="Adobe Caslon Pro" w:hAnsi="Adobe Caslon Pro" w:cs="Arial"/>
          <w:b/>
          <w:color w:val="000000" w:themeColor="text1"/>
        </w:rPr>
        <w:t xml:space="preserve">del </w:t>
      </w:r>
      <w:r w:rsidRPr="000907D3">
        <w:rPr>
          <w:rFonts w:ascii="Adobe Caslon Pro" w:hAnsi="Adobe Caslon Pro" w:cs="Arial"/>
          <w:b/>
          <w:color w:val="000000" w:themeColor="text1"/>
        </w:rPr>
        <w:t>árbol de</w:t>
      </w:r>
      <w:r w:rsidR="000E3B1A" w:rsidRPr="000907D3">
        <w:rPr>
          <w:rFonts w:ascii="Adobe Caslon Pro" w:hAnsi="Adobe Caslon Pro" w:cs="Arial"/>
          <w:b/>
          <w:color w:val="000000" w:themeColor="text1"/>
        </w:rPr>
        <w:t>l problema</w:t>
      </w:r>
    </w:p>
    <w:p w:rsidR="00D25F5B" w:rsidRPr="000907D3" w:rsidRDefault="00D25F5B" w:rsidP="0043286B">
      <w:pPr>
        <w:spacing w:before="240" w:after="120" w:line="240" w:lineRule="auto"/>
        <w:jc w:val="both"/>
        <w:rPr>
          <w:rFonts w:ascii="Adobe Caslon Pro" w:hAnsi="Adobe Caslon Pro" w:cs="Arial"/>
        </w:rPr>
      </w:pPr>
      <w:r w:rsidRPr="000907D3">
        <w:rPr>
          <w:rFonts w:ascii="Adobe Caslon Pro" w:hAnsi="Adobe Caslon Pro" w:cs="Arial"/>
        </w:rPr>
        <w:t>Del análisis del árbol de</w:t>
      </w:r>
      <w:r w:rsidR="000E3B1A" w:rsidRPr="000907D3">
        <w:rPr>
          <w:rFonts w:ascii="Adobe Caslon Pro" w:hAnsi="Adobe Caslon Pro" w:cs="Arial"/>
        </w:rPr>
        <w:t>l problema</w:t>
      </w:r>
      <w:r w:rsidRPr="000907D3">
        <w:rPr>
          <w:rFonts w:ascii="Adobe Caslon Pro" w:hAnsi="Adobe Caslon Pro" w:cs="Arial"/>
        </w:rPr>
        <w:t xml:space="preserve"> se puede concluir que en México se cuenta con el marco normativo necesario para avanzar y procurar el fomento a las acciones de las OSC a favor del desarrollo social. El reto consiste en lograr que ese sector se fortalezca y profesionalice, y que sus acciones sean efectivas, tanto para aportar propuestas alternativas para el desarrollo, como</w:t>
      </w:r>
      <w:r w:rsidR="00002226">
        <w:rPr>
          <w:rFonts w:ascii="Adobe Caslon Pro" w:hAnsi="Adobe Caslon Pro" w:cs="Arial"/>
        </w:rPr>
        <w:t xml:space="preserve"> </w:t>
      </w:r>
      <w:r w:rsidRPr="000907D3">
        <w:rPr>
          <w:rFonts w:ascii="Adobe Caslon Pro" w:hAnsi="Adobe Caslon Pro" w:cs="Arial"/>
        </w:rPr>
        <w:t xml:space="preserve">para brindar servicios a la población y colocar temas de interés en la agenda pública; de manera articulada con el gobierno, pero conservando su autonomía. En ese sentido, se considera pertinente que a nivel federal se mantengan, y en su caso diseñen nuevas políticas y programas que de manera articulada promuevan el desarrollo de los actores sociales. Para avanzar en esta dirección, en la siguiente sección se presenta la definición de población potencial y objetivo para orientar una estrategia que, en el marco de las atribuciones de la </w:t>
      </w:r>
      <w:r w:rsidR="002F714E">
        <w:rPr>
          <w:rFonts w:ascii="Adobe Caslon Pro" w:hAnsi="Adobe Caslon Pro" w:cs="Arial"/>
        </w:rPr>
        <w:t>SEDESOL</w:t>
      </w:r>
      <w:r w:rsidRPr="000907D3">
        <w:rPr>
          <w:rFonts w:ascii="Adobe Caslon Pro" w:hAnsi="Adobe Caslon Pro" w:cs="Arial"/>
        </w:rPr>
        <w:t>, fomente el trabajo de actores sociales cuyas acciones impacten en la cohesión y capital social de grupos y regiones que viven en situación de vulnerabilidad y exclusión.</w:t>
      </w:r>
    </w:p>
    <w:p w:rsidR="00D25F5B" w:rsidRPr="000907D3" w:rsidRDefault="00D25F5B" w:rsidP="0043286B">
      <w:pPr>
        <w:spacing w:after="120" w:line="240" w:lineRule="auto"/>
        <w:jc w:val="both"/>
        <w:rPr>
          <w:rFonts w:ascii="Adobe Caslon Pro" w:hAnsi="Adobe Caslon Pro" w:cs="Arial"/>
        </w:rPr>
      </w:pPr>
    </w:p>
    <w:p w:rsidR="00D25F5B" w:rsidRPr="004D5D2F" w:rsidRDefault="00D25F5B" w:rsidP="0043286B">
      <w:pPr>
        <w:spacing w:after="120" w:line="240" w:lineRule="auto"/>
        <w:rPr>
          <w:rFonts w:ascii="Adobe Caslon Pro" w:hAnsi="Adobe Caslon Pro" w:cs="Arial"/>
          <w:b/>
        </w:rPr>
      </w:pPr>
      <w:r w:rsidRPr="000907D3">
        <w:rPr>
          <w:rFonts w:ascii="Adobe Caslon Pro" w:hAnsi="Adobe Caslon Pro" w:cs="Arial"/>
        </w:rPr>
        <w:br w:type="page"/>
      </w:r>
      <w:r w:rsidR="000479ED" w:rsidRPr="004D5D2F">
        <w:rPr>
          <w:rFonts w:ascii="Adobe Caslon Pro" w:hAnsi="Adobe Caslon Pro" w:cs="Arial"/>
          <w:b/>
        </w:rPr>
        <w:lastRenderedPageBreak/>
        <w:t xml:space="preserve">Cobertura </w:t>
      </w:r>
    </w:p>
    <w:p w:rsidR="00D25F5B" w:rsidRDefault="00D25F5B" w:rsidP="0043286B">
      <w:pPr>
        <w:spacing w:before="240" w:after="120" w:line="240" w:lineRule="auto"/>
        <w:jc w:val="both"/>
        <w:rPr>
          <w:rFonts w:ascii="Adobe Caslon Pro" w:hAnsi="Adobe Caslon Pro" w:cs="Arial"/>
        </w:rPr>
      </w:pPr>
      <w:r w:rsidRPr="000907D3">
        <w:rPr>
          <w:rFonts w:ascii="Adobe Caslon Pro" w:hAnsi="Adobe Caslon Pro" w:cs="Arial"/>
        </w:rPr>
        <w:t>El problema central identificado en el árbol de</w:t>
      </w:r>
      <w:r w:rsidR="000E3B1A" w:rsidRPr="000907D3">
        <w:rPr>
          <w:rFonts w:ascii="Adobe Caslon Pro" w:hAnsi="Adobe Caslon Pro" w:cs="Arial"/>
        </w:rPr>
        <w:t>l problema</w:t>
      </w:r>
      <w:r w:rsidRPr="000907D3">
        <w:rPr>
          <w:rFonts w:ascii="Adobe Caslon Pro" w:hAnsi="Adobe Caslon Pro" w:cs="Arial"/>
        </w:rPr>
        <w:t xml:space="preserve"> es que existen </w:t>
      </w:r>
      <w:r w:rsidR="0025571B">
        <w:rPr>
          <w:rFonts w:ascii="Adobe Caslon Pro" w:hAnsi="Adobe Caslon Pro" w:cs="Arial"/>
          <w:i/>
        </w:rPr>
        <w:t>actores sociales</w:t>
      </w:r>
      <w:r w:rsidR="00037A7E" w:rsidRPr="000907D3">
        <w:rPr>
          <w:rFonts w:ascii="Adobe Caslon Pro" w:hAnsi="Adobe Caslon Pro" w:cs="Arial"/>
          <w:i/>
        </w:rPr>
        <w:t xml:space="preserve"> con capacidad limitada para desarrollar acciones de fomento a la cohesión social y al capital social de grupos y regiones que viven en situación de vulnerabilidad y exclusión. </w:t>
      </w:r>
      <w:r w:rsidRPr="000907D3">
        <w:rPr>
          <w:rFonts w:ascii="Adobe Caslon Pro" w:hAnsi="Adobe Caslon Pro" w:cs="Arial"/>
        </w:rPr>
        <w:t>En esta sección se profundiza en la caracterización de este problema, partiendo del análisis presentado en el capítulo anterior.</w:t>
      </w:r>
    </w:p>
    <w:p w:rsidR="0056695B" w:rsidRPr="000907D3" w:rsidRDefault="0056695B" w:rsidP="0043286B">
      <w:pPr>
        <w:spacing w:after="120" w:line="240" w:lineRule="auto"/>
        <w:jc w:val="both"/>
        <w:rPr>
          <w:rFonts w:ascii="Adobe Caslon Pro" w:hAnsi="Adobe Caslon Pro" w:cs="Arial"/>
        </w:rPr>
      </w:pPr>
    </w:p>
    <w:p w:rsidR="00D25F5B" w:rsidRPr="004C0712" w:rsidRDefault="00D25F5B" w:rsidP="0043286B">
      <w:pPr>
        <w:spacing w:after="120" w:line="240" w:lineRule="auto"/>
        <w:rPr>
          <w:rFonts w:ascii="Adobe Caslon Pro" w:hAnsi="Adobe Caslon Pro" w:cs="Arial"/>
          <w:b/>
        </w:rPr>
      </w:pPr>
      <w:bookmarkStart w:id="71" w:name="_Toc380497363"/>
      <w:r w:rsidRPr="004C0712">
        <w:rPr>
          <w:rFonts w:ascii="Adobe Caslon Pro" w:hAnsi="Adobe Caslon Pro" w:cs="Arial"/>
          <w:b/>
        </w:rPr>
        <w:t>Antecedentes y magnitud actual del problema</w:t>
      </w:r>
      <w:bookmarkEnd w:id="71"/>
    </w:p>
    <w:p w:rsidR="00D25F5B" w:rsidRPr="000907D3" w:rsidRDefault="00D25F5B" w:rsidP="0043286B">
      <w:pPr>
        <w:autoSpaceDE w:val="0"/>
        <w:autoSpaceDN w:val="0"/>
        <w:adjustRightInd w:val="0"/>
        <w:spacing w:before="240" w:after="120" w:line="240" w:lineRule="auto"/>
        <w:jc w:val="both"/>
        <w:rPr>
          <w:rFonts w:ascii="Adobe Caslon Pro" w:hAnsi="Adobe Caslon Pro" w:cs="Arial"/>
        </w:rPr>
      </w:pPr>
      <w:r w:rsidRPr="000907D3">
        <w:rPr>
          <w:rFonts w:ascii="Adobe Caslon Pro" w:hAnsi="Adobe Caslon Pro" w:cs="Arial"/>
        </w:rPr>
        <w:t xml:space="preserve">Al mes de octubre de 2013, el </w:t>
      </w:r>
      <w:r w:rsidR="00940E10">
        <w:rPr>
          <w:rFonts w:ascii="Adobe Caslon Pro" w:hAnsi="Adobe Caslon Pro" w:cs="Arial"/>
        </w:rPr>
        <w:t>RFOSC</w:t>
      </w:r>
      <w:r w:rsidR="00440F43">
        <w:rPr>
          <w:rFonts w:ascii="Adobe Caslon Pro" w:hAnsi="Adobe Caslon Pro" w:cs="Arial"/>
        </w:rPr>
        <w:t xml:space="preserve"> </w:t>
      </w:r>
      <w:r w:rsidR="00FF5029" w:rsidRPr="000907D3">
        <w:rPr>
          <w:rFonts w:ascii="Adobe Caslon Pro" w:hAnsi="Adobe Caslon Pro" w:cs="Arial"/>
        </w:rPr>
        <w:t>tenía</w:t>
      </w:r>
      <w:r w:rsidRPr="000907D3">
        <w:rPr>
          <w:rFonts w:ascii="Adobe Caslon Pro" w:hAnsi="Adobe Caslon Pro" w:cs="Arial"/>
        </w:rPr>
        <w:t xml:space="preserve"> 23,687 OSC. A partir de las organizaciones registradas, en este apartado se identifican los antecedentes y la magnitud del problema; se define, identifica y cuantifica a la población potencial y la población objetivo; y finalmente, se hace una proyección de la evolución de la población objetivo. </w:t>
      </w:r>
    </w:p>
    <w:p w:rsidR="0056695B" w:rsidRDefault="0056695B" w:rsidP="0043286B">
      <w:pPr>
        <w:pStyle w:val="Ttulo3"/>
        <w:spacing w:before="0" w:after="120" w:line="240" w:lineRule="auto"/>
        <w:rPr>
          <w:rFonts w:eastAsia="Calibri" w:cs="Arial"/>
          <w:bCs w:val="0"/>
          <w:color w:val="auto"/>
        </w:rPr>
      </w:pPr>
      <w:bookmarkStart w:id="72" w:name="_Toc376184700"/>
      <w:bookmarkStart w:id="73" w:name="_Toc380497365"/>
      <w:bookmarkStart w:id="74" w:name="_Toc263896834"/>
    </w:p>
    <w:p w:rsidR="00D25F5B" w:rsidRPr="004D5D2F" w:rsidRDefault="009A7A25" w:rsidP="0043286B">
      <w:pPr>
        <w:pStyle w:val="Ttulo3"/>
        <w:spacing w:before="0" w:after="120" w:line="240" w:lineRule="auto"/>
        <w:rPr>
          <w:rFonts w:eastAsia="Calibri" w:cs="Arial"/>
          <w:bCs w:val="0"/>
          <w:color w:val="auto"/>
        </w:rPr>
      </w:pPr>
      <w:bookmarkStart w:id="75" w:name="_Toc391925221"/>
      <w:r>
        <w:rPr>
          <w:rFonts w:eastAsia="Calibri" w:cs="Arial"/>
          <w:bCs w:val="0"/>
          <w:color w:val="auto"/>
        </w:rPr>
        <w:t xml:space="preserve">2.2.5 </w:t>
      </w:r>
      <w:r w:rsidR="00D25F5B" w:rsidRPr="004D5D2F">
        <w:rPr>
          <w:rFonts w:eastAsia="Calibri" w:cs="Arial"/>
          <w:bCs w:val="0"/>
          <w:color w:val="auto"/>
        </w:rPr>
        <w:t>Magnitud actual del Problema</w:t>
      </w:r>
      <w:bookmarkEnd w:id="72"/>
      <w:bookmarkEnd w:id="73"/>
      <w:bookmarkEnd w:id="74"/>
      <w:bookmarkEnd w:id="75"/>
    </w:p>
    <w:p w:rsidR="00D25F5B" w:rsidRDefault="00D25F5B" w:rsidP="0043286B">
      <w:pPr>
        <w:spacing w:before="240" w:after="120" w:line="240" w:lineRule="auto"/>
        <w:jc w:val="both"/>
        <w:rPr>
          <w:rFonts w:ascii="Adobe Caslon Pro" w:hAnsi="Adobe Caslon Pro" w:cs="Arial"/>
        </w:rPr>
      </w:pPr>
      <w:r w:rsidRPr="000907D3">
        <w:rPr>
          <w:rFonts w:ascii="Adobe Caslon Pro" w:hAnsi="Adobe Caslon Pro" w:cs="Arial"/>
        </w:rPr>
        <w:t xml:space="preserve">A pesar de los avances que se han presentado en los años recientes enfocados a fortalecer al sector, las OSC no sólo en México, sino también a nivel regional, presentan todavía profundas limitaciones para desarrollar acciones que contribuyan al desarrollo social. Esta situación es resultado de las condiciones en las que históricamente se desarrollaron estos actores sociales, y en el caso de México no está claro que la publicación de la </w:t>
      </w:r>
      <w:r w:rsidR="007D709B" w:rsidRPr="000907D3">
        <w:rPr>
          <w:rFonts w:ascii="Adobe Caslon Pro" w:hAnsi="Adobe Caslon Pro" w:cs="Arial"/>
        </w:rPr>
        <w:t>LFFAROSC</w:t>
      </w:r>
      <w:r w:rsidRPr="000907D3">
        <w:rPr>
          <w:rFonts w:ascii="Adobe Caslon Pro" w:hAnsi="Adobe Caslon Pro" w:cs="Arial"/>
        </w:rPr>
        <w:t xml:space="preserve"> y la creación del </w:t>
      </w:r>
      <w:r w:rsidR="00940E10">
        <w:rPr>
          <w:rFonts w:ascii="Adobe Caslon Pro" w:hAnsi="Adobe Caslon Pro" w:cs="Arial"/>
        </w:rPr>
        <w:t>RFOSC</w:t>
      </w:r>
      <w:r w:rsidRPr="000907D3">
        <w:rPr>
          <w:rFonts w:ascii="Adobe Caslon Pro" w:hAnsi="Adobe Caslon Pro" w:cs="Arial"/>
        </w:rPr>
        <w:t xml:space="preserve"> hayan sido suficientes para fortalecer a las OSC, más allá de tener un control administrativo de las acciones que realizan a través de su inscripción en el RFOSC (Hernández, 2012).</w:t>
      </w:r>
    </w:p>
    <w:p w:rsidR="0056695B" w:rsidRPr="000907D3" w:rsidRDefault="0056695B" w:rsidP="0043286B">
      <w:pPr>
        <w:spacing w:after="120" w:line="240" w:lineRule="auto"/>
        <w:jc w:val="both"/>
        <w:rPr>
          <w:rFonts w:ascii="Adobe Caslon Pro" w:hAnsi="Adobe Caslon Pro" w:cs="Arial"/>
        </w:rPr>
      </w:pPr>
    </w:p>
    <w:p w:rsidR="00D25F5B" w:rsidRPr="000907D3" w:rsidRDefault="00D25F5B" w:rsidP="0043286B">
      <w:pPr>
        <w:spacing w:after="120" w:line="240" w:lineRule="auto"/>
        <w:jc w:val="both"/>
        <w:rPr>
          <w:rFonts w:ascii="Adobe Caslon Pro" w:hAnsi="Adobe Caslon Pro" w:cs="Arial"/>
        </w:rPr>
      </w:pPr>
      <w:r w:rsidRPr="000907D3">
        <w:rPr>
          <w:rFonts w:ascii="Adobe Caslon Pro" w:hAnsi="Adobe Caslon Pro" w:cs="Arial"/>
        </w:rPr>
        <w:t xml:space="preserve">Al respecto, en el 12° Congreso de Investigación sobre el Tercer Sector, se reconoció que en América Latina “… </w:t>
      </w:r>
      <w:r w:rsidRPr="000907D3">
        <w:rPr>
          <w:rFonts w:ascii="Adobe Caslon Pro" w:hAnsi="Adobe Caslon Pro" w:cs="Arial"/>
          <w:i/>
        </w:rPr>
        <w:t>se presenta un importante reto en la creación de capacidades técnicas, científicas, gerenciales por parte de las organizaciones que prestan servicios sociales en coordinación con los gobiernos. La endémica escasez de recursos y el reto de la supervivencia de las organizaciones son riesgos de primer orden, pues es necesario preservar su carácter autónomo, crítico y representativo de intereses y causas desde la sociedad…</w:t>
      </w:r>
      <w:r w:rsidR="009D14B9">
        <w:rPr>
          <w:rFonts w:ascii="Adobe Caslon Pro" w:hAnsi="Adobe Caslon Pro" w:cs="Arial"/>
        </w:rPr>
        <w:t>” (Hernández, 2012).</w:t>
      </w:r>
      <w:r w:rsidRPr="000907D3">
        <w:rPr>
          <w:rFonts w:ascii="Adobe Caslon Pro" w:hAnsi="Adobe Caslon Pro" w:cs="Arial"/>
        </w:rPr>
        <w:t xml:space="preserve"> Las limitaciones de los actores sociales, son principalmente:</w:t>
      </w:r>
    </w:p>
    <w:p w:rsidR="00D25F5B" w:rsidRPr="000907D3" w:rsidRDefault="00D25F5B" w:rsidP="0043286B">
      <w:pPr>
        <w:pStyle w:val="Prrafodelista"/>
        <w:numPr>
          <w:ilvl w:val="0"/>
          <w:numId w:val="6"/>
        </w:numPr>
        <w:spacing w:after="120" w:line="240" w:lineRule="auto"/>
        <w:jc w:val="both"/>
        <w:rPr>
          <w:rFonts w:ascii="Adobe Caslon Pro" w:hAnsi="Adobe Caslon Pro" w:cs="Arial"/>
        </w:rPr>
      </w:pPr>
      <w:r w:rsidRPr="000907D3">
        <w:rPr>
          <w:rFonts w:ascii="Adobe Caslon Pro" w:hAnsi="Adobe Caslon Pro" w:cs="Arial"/>
        </w:rPr>
        <w:t>Poca capacidad de participación de las OSC en el fomento a la transparencia y rendición de cuentas.</w:t>
      </w:r>
    </w:p>
    <w:p w:rsidR="00D25F5B" w:rsidRPr="000907D3" w:rsidRDefault="00D25F5B" w:rsidP="0043286B">
      <w:pPr>
        <w:pStyle w:val="Prrafodelista"/>
        <w:numPr>
          <w:ilvl w:val="0"/>
          <w:numId w:val="6"/>
        </w:numPr>
        <w:spacing w:after="120" w:line="240" w:lineRule="auto"/>
        <w:jc w:val="both"/>
        <w:rPr>
          <w:rFonts w:ascii="Adobe Caslon Pro" w:hAnsi="Adobe Caslon Pro" w:cs="Arial"/>
        </w:rPr>
      </w:pPr>
      <w:r w:rsidRPr="000907D3">
        <w:rPr>
          <w:rFonts w:ascii="Adobe Caslon Pro" w:hAnsi="Adobe Caslon Pro" w:cs="Arial"/>
        </w:rPr>
        <w:t>Escasos espacios de participación de los actores sociales en la defensa de los derechos humanos y fortalecimiento del estado de derecho.</w:t>
      </w:r>
    </w:p>
    <w:p w:rsidR="00D25F5B" w:rsidRPr="000907D3" w:rsidRDefault="00D25F5B" w:rsidP="0043286B">
      <w:pPr>
        <w:pStyle w:val="Prrafodelista"/>
        <w:numPr>
          <w:ilvl w:val="0"/>
          <w:numId w:val="6"/>
        </w:numPr>
        <w:spacing w:after="120" w:line="240" w:lineRule="auto"/>
        <w:jc w:val="both"/>
        <w:rPr>
          <w:rFonts w:ascii="Adobe Caslon Pro" w:hAnsi="Adobe Caslon Pro" w:cs="Arial"/>
        </w:rPr>
      </w:pPr>
      <w:r w:rsidRPr="000907D3">
        <w:rPr>
          <w:rFonts w:ascii="Adobe Caslon Pro" w:hAnsi="Adobe Caslon Pro" w:cs="Arial"/>
        </w:rPr>
        <w:lastRenderedPageBreak/>
        <w:t>Baja capacidad para contribuir y participar en la formulación, financiamiento y prestación de servicios públicos.</w:t>
      </w:r>
    </w:p>
    <w:p w:rsidR="00D25F5B" w:rsidRPr="000907D3" w:rsidRDefault="00D25F5B" w:rsidP="0043286B">
      <w:pPr>
        <w:pStyle w:val="Prrafodelista"/>
        <w:numPr>
          <w:ilvl w:val="0"/>
          <w:numId w:val="6"/>
        </w:numPr>
        <w:spacing w:after="120" w:line="240" w:lineRule="auto"/>
        <w:jc w:val="both"/>
        <w:rPr>
          <w:rFonts w:ascii="Adobe Caslon Pro" w:hAnsi="Adobe Caslon Pro" w:cs="Arial"/>
        </w:rPr>
      </w:pPr>
      <w:r w:rsidRPr="000907D3">
        <w:rPr>
          <w:rFonts w:ascii="Adobe Caslon Pro" w:hAnsi="Adobe Caslon Pro" w:cs="Arial"/>
        </w:rPr>
        <w:t>Limitada inclusión de los sectores más vulnerables en la generación de políticas públicas.</w:t>
      </w:r>
    </w:p>
    <w:p w:rsidR="00D25F5B" w:rsidRPr="000907D3" w:rsidRDefault="00D25F5B" w:rsidP="0043286B">
      <w:pPr>
        <w:pStyle w:val="Prrafodelista"/>
        <w:numPr>
          <w:ilvl w:val="0"/>
          <w:numId w:val="6"/>
        </w:numPr>
        <w:spacing w:after="120" w:line="240" w:lineRule="auto"/>
        <w:jc w:val="both"/>
        <w:rPr>
          <w:rFonts w:ascii="Adobe Caslon Pro" w:hAnsi="Adobe Caslon Pro" w:cs="Arial"/>
        </w:rPr>
      </w:pPr>
      <w:r w:rsidRPr="000907D3">
        <w:rPr>
          <w:rFonts w:ascii="Adobe Caslon Pro" w:hAnsi="Adobe Caslon Pro" w:cs="Arial"/>
        </w:rPr>
        <w:t>Escasa contribución de los actores sociales en la esfera pública.</w:t>
      </w:r>
    </w:p>
    <w:p w:rsidR="0056695B" w:rsidRDefault="0056695B" w:rsidP="0043286B">
      <w:pPr>
        <w:spacing w:after="120" w:line="240" w:lineRule="auto"/>
        <w:jc w:val="both"/>
        <w:rPr>
          <w:rFonts w:ascii="Adobe Caslon Pro" w:hAnsi="Adobe Caslon Pro" w:cs="Arial"/>
        </w:rPr>
      </w:pPr>
    </w:p>
    <w:p w:rsidR="00D25F5B" w:rsidRDefault="00D25F5B" w:rsidP="0043286B">
      <w:pPr>
        <w:spacing w:after="120" w:line="240" w:lineRule="auto"/>
        <w:jc w:val="both"/>
        <w:rPr>
          <w:rFonts w:ascii="Adobe Caslon Pro" w:hAnsi="Adobe Caslon Pro" w:cs="Arial"/>
        </w:rPr>
      </w:pPr>
      <w:r w:rsidRPr="000907D3">
        <w:rPr>
          <w:rFonts w:ascii="Adobe Caslon Pro" w:hAnsi="Adobe Caslon Pro" w:cs="Arial"/>
        </w:rPr>
        <w:t xml:space="preserve">Considerando que la población afectada por el problema es el conjunto de </w:t>
      </w:r>
      <w:r w:rsidR="00A711AD">
        <w:rPr>
          <w:rFonts w:ascii="Adobe Caslon Pro" w:hAnsi="Adobe Caslon Pro" w:cs="Arial"/>
        </w:rPr>
        <w:t>OSC</w:t>
      </w:r>
      <w:r w:rsidRPr="000907D3">
        <w:rPr>
          <w:rFonts w:ascii="Adobe Caslon Pro" w:hAnsi="Adobe Caslon Pro" w:cs="Arial"/>
        </w:rPr>
        <w:t xml:space="preserve">, habría que concluir que dado el incremento en su número, el problema ha crecido recientemente. Sin embargo, bajo otro enfoque, en el cual las OSC constituyen actores que pueden contribuir a la solución de problemas sociales y que por ello la LFFAROSC los considera organismos de interés público, podría considerarse que han aumentado los potenciales aliados del gobierno para la atención de la población. </w:t>
      </w:r>
    </w:p>
    <w:p w:rsidR="00D25F5B" w:rsidRDefault="00D25F5B" w:rsidP="0043286B">
      <w:pPr>
        <w:spacing w:after="120" w:line="240" w:lineRule="auto"/>
        <w:jc w:val="both"/>
        <w:rPr>
          <w:rFonts w:ascii="Adobe Caslon Pro" w:hAnsi="Adobe Caslon Pro" w:cs="Arial"/>
        </w:rPr>
      </w:pPr>
      <w:r w:rsidRPr="000907D3">
        <w:rPr>
          <w:rFonts w:ascii="Adobe Caslon Pro" w:hAnsi="Adobe Caslon Pro" w:cs="Arial"/>
        </w:rPr>
        <w:t>El interés de analizar, y en su caso atender la problemática de estos actores sociales, radica en lo siguiente: si bien la intervención gubernamental a través de estrategias generales y enfocadas a atender a sectores amplios de la población puede ser efectiva, tiene</w:t>
      </w:r>
      <w:r w:rsidR="00002226">
        <w:rPr>
          <w:rFonts w:ascii="Adobe Caslon Pro" w:hAnsi="Adobe Caslon Pro" w:cs="Arial"/>
        </w:rPr>
        <w:t xml:space="preserve"> </w:t>
      </w:r>
      <w:r w:rsidRPr="000907D3">
        <w:rPr>
          <w:rFonts w:ascii="Adobe Caslon Pro" w:hAnsi="Adobe Caslon Pro" w:cs="Arial"/>
        </w:rPr>
        <w:t>poca capacidad para atender condiciones específicas y puntuales de desarrollo social focalizadas en grupos de menor dimensión. En ese marco, las OSC pueden ser el conducto para atender estas necesidades focalizadas, pero la poca capacidad operativa de muchas organizaciones como resultado de la insuficiencia de recursos, limita su participación para atenderlas a favor de los grupos sociales en condiciones de</w:t>
      </w:r>
      <w:r w:rsidR="00002226">
        <w:rPr>
          <w:rFonts w:ascii="Adobe Caslon Pro" w:hAnsi="Adobe Caslon Pro" w:cs="Arial"/>
        </w:rPr>
        <w:t xml:space="preserve"> </w:t>
      </w:r>
      <w:r w:rsidRPr="000907D3">
        <w:rPr>
          <w:rFonts w:ascii="Adobe Caslon Pro" w:hAnsi="Adobe Caslon Pro" w:cs="Arial"/>
        </w:rPr>
        <w:t>vulnerabilidad</w:t>
      </w:r>
      <w:r w:rsidR="00521DF2">
        <w:rPr>
          <w:rFonts w:ascii="Adobe Caslon Pro" w:hAnsi="Adobe Caslon Pro" w:cs="Arial"/>
        </w:rPr>
        <w:t xml:space="preserve"> cercanos a las OSC</w:t>
      </w:r>
      <w:r w:rsidRPr="000907D3">
        <w:rPr>
          <w:rFonts w:ascii="Adobe Caslon Pro" w:hAnsi="Adobe Caslon Pro" w:cs="Arial"/>
        </w:rPr>
        <w:t xml:space="preserve">, a pesar de la flexibilidad operativa que tienen como consecuencia de su dimensión (Verduzco </w:t>
      </w:r>
      <w:r w:rsidR="00521DF2" w:rsidRPr="00521DF2">
        <w:rPr>
          <w:rFonts w:ascii="Adobe Caslon Pro" w:hAnsi="Adobe Caslon Pro" w:cs="Arial"/>
          <w:i/>
        </w:rPr>
        <w:t>et al</w:t>
      </w:r>
      <w:r w:rsidR="00521DF2">
        <w:rPr>
          <w:rFonts w:ascii="Adobe Caslon Pro" w:hAnsi="Adobe Caslon Pro" w:cs="Arial"/>
        </w:rPr>
        <w:t>,</w:t>
      </w:r>
      <w:r w:rsidRPr="000907D3">
        <w:rPr>
          <w:rFonts w:ascii="Adobe Caslon Pro" w:hAnsi="Adobe Caslon Pro" w:cs="Arial"/>
        </w:rPr>
        <w:t xml:space="preserve"> 2009).</w:t>
      </w:r>
    </w:p>
    <w:p w:rsidR="00604153" w:rsidRDefault="00604153" w:rsidP="0043286B">
      <w:pPr>
        <w:spacing w:after="120"/>
        <w:rPr>
          <w:rFonts w:ascii="Adobe Caslon Pro" w:hAnsi="Adobe Caslon Pro" w:cs="Arial"/>
        </w:rPr>
      </w:pPr>
      <w:r>
        <w:rPr>
          <w:rFonts w:ascii="Adobe Caslon Pro" w:hAnsi="Adobe Caslon Pro" w:cs="Arial"/>
        </w:rPr>
        <w:br w:type="page"/>
      </w:r>
    </w:p>
    <w:p w:rsidR="0056695B" w:rsidRDefault="0056695B" w:rsidP="0043286B">
      <w:pPr>
        <w:pStyle w:val="Ttulo2"/>
        <w:spacing w:before="0" w:after="120" w:line="240" w:lineRule="auto"/>
      </w:pPr>
      <w:bookmarkStart w:id="76" w:name="_Toc380497366"/>
    </w:p>
    <w:p w:rsidR="00D25F5B" w:rsidRPr="004C0712" w:rsidRDefault="009A7A25" w:rsidP="0043286B">
      <w:pPr>
        <w:pStyle w:val="Ttulo2"/>
        <w:spacing w:before="0" w:after="120" w:line="240" w:lineRule="auto"/>
      </w:pPr>
      <w:bookmarkStart w:id="77" w:name="_Toc391925222"/>
      <w:r>
        <w:t xml:space="preserve">2.3 </w:t>
      </w:r>
      <w:r w:rsidR="00D25F5B" w:rsidRPr="004C0712">
        <w:t>Definición, identificación</w:t>
      </w:r>
      <w:r w:rsidR="00700D7C" w:rsidRPr="004C0712">
        <w:t>,</w:t>
      </w:r>
      <w:r w:rsidR="00D25F5B" w:rsidRPr="004C0712">
        <w:t xml:space="preserve"> cuantificación</w:t>
      </w:r>
      <w:r w:rsidR="00700D7C" w:rsidRPr="004C0712">
        <w:t xml:space="preserve"> y caracterización </w:t>
      </w:r>
      <w:r w:rsidR="00D25F5B" w:rsidRPr="004C0712">
        <w:t>de la población potencial</w:t>
      </w:r>
      <w:bookmarkEnd w:id="76"/>
      <w:bookmarkEnd w:id="77"/>
    </w:p>
    <w:p w:rsidR="00D25F5B" w:rsidRPr="00506C95" w:rsidRDefault="00D25F5B" w:rsidP="0043286B">
      <w:pPr>
        <w:spacing w:before="240" w:after="120"/>
        <w:rPr>
          <w:rFonts w:ascii="Adobe Caslon Pro" w:hAnsi="Adobe Caslon Pro"/>
          <w:b/>
        </w:rPr>
      </w:pPr>
      <w:bookmarkStart w:id="78" w:name="_Toc376184701"/>
      <w:bookmarkStart w:id="79" w:name="_Toc380497367"/>
      <w:bookmarkStart w:id="80" w:name="_Toc263896835"/>
      <w:r w:rsidRPr="00506C95">
        <w:rPr>
          <w:rFonts w:ascii="Adobe Caslon Pro" w:hAnsi="Adobe Caslon Pro"/>
          <w:b/>
        </w:rPr>
        <w:t>Definición de Población potencial</w:t>
      </w:r>
      <w:bookmarkEnd w:id="78"/>
      <w:bookmarkEnd w:id="79"/>
      <w:bookmarkEnd w:id="80"/>
    </w:p>
    <w:p w:rsidR="008218FF" w:rsidRPr="000907D3" w:rsidRDefault="00917E57" w:rsidP="0043286B">
      <w:pPr>
        <w:spacing w:after="120" w:line="240" w:lineRule="auto"/>
        <w:jc w:val="both"/>
        <w:rPr>
          <w:rFonts w:ascii="Adobe Caslon Pro" w:hAnsi="Adobe Caslon Pro" w:cs="Arial"/>
        </w:rPr>
      </w:pPr>
      <w:r w:rsidRPr="000907D3">
        <w:rPr>
          <w:rFonts w:ascii="Adobe Caslon Pro" w:hAnsi="Adobe Caslon Pro" w:cs="Arial"/>
        </w:rPr>
        <w:t xml:space="preserve">La población potencial se define como </w:t>
      </w:r>
      <w:r w:rsidR="00BF12D1" w:rsidRPr="000907D3">
        <w:rPr>
          <w:rFonts w:ascii="Adobe Caslon Pro" w:hAnsi="Adobe Caslon Pro" w:cs="Arial"/>
        </w:rPr>
        <w:t>“</w:t>
      </w:r>
      <w:r w:rsidRPr="000907D3">
        <w:rPr>
          <w:rFonts w:ascii="Adobe Caslon Pro" w:hAnsi="Adobe Caslon Pro" w:cs="Arial"/>
        </w:rPr>
        <w:t>la población que presenta la necesidad y/o problema que el programa busca resolver y que por ende pudiera ser elegible para su atención”. En este sentido</w:t>
      </w:r>
      <w:r w:rsidR="008218FF" w:rsidRPr="000907D3">
        <w:rPr>
          <w:rFonts w:ascii="Adobe Caslon Pro" w:hAnsi="Adobe Caslon Pro" w:cs="Arial"/>
        </w:rPr>
        <w:t xml:space="preserve">, se define </w:t>
      </w:r>
      <w:r w:rsidR="00521DF2">
        <w:rPr>
          <w:rFonts w:ascii="Adobe Caslon Pro" w:hAnsi="Adobe Caslon Pro" w:cs="Arial"/>
        </w:rPr>
        <w:t xml:space="preserve">a </w:t>
      </w:r>
      <w:r w:rsidR="008218FF" w:rsidRPr="000907D3">
        <w:rPr>
          <w:rFonts w:ascii="Adobe Caslon Pro" w:hAnsi="Adobe Caslon Pro" w:cs="Arial"/>
        </w:rPr>
        <w:t xml:space="preserve">la población potencial como </w:t>
      </w:r>
      <w:r w:rsidR="008218FF" w:rsidRPr="000907D3">
        <w:rPr>
          <w:rFonts w:ascii="Adobe Caslon Pro" w:hAnsi="Adobe Caslon Pro" w:cs="Arial"/>
          <w:b/>
        </w:rPr>
        <w:t>los actores sociales que cuentan con proyectos de desarrollo social</w:t>
      </w:r>
      <w:r w:rsidR="00633F11" w:rsidRPr="000907D3">
        <w:rPr>
          <w:rFonts w:ascii="Adobe Caslon Pro" w:hAnsi="Adobe Caslon Pro" w:cs="Arial"/>
          <w:b/>
        </w:rPr>
        <w:t xml:space="preserve"> que coadyuv</w:t>
      </w:r>
      <w:r w:rsidR="00260625" w:rsidRPr="000907D3">
        <w:rPr>
          <w:rFonts w:ascii="Adobe Caslon Pro" w:hAnsi="Adobe Caslon Pro" w:cs="Arial"/>
          <w:b/>
        </w:rPr>
        <w:t>a</w:t>
      </w:r>
      <w:r w:rsidR="00633F11" w:rsidRPr="000907D3">
        <w:rPr>
          <w:rFonts w:ascii="Adobe Caslon Pro" w:hAnsi="Adobe Caslon Pro" w:cs="Arial"/>
          <w:b/>
        </w:rPr>
        <w:t xml:space="preserve">n </w:t>
      </w:r>
      <w:r w:rsidR="004013BC" w:rsidRPr="000907D3">
        <w:rPr>
          <w:rFonts w:ascii="Adobe Caslon Pro" w:hAnsi="Adobe Caslon Pro" w:cs="Arial"/>
          <w:b/>
        </w:rPr>
        <w:t xml:space="preserve">al </w:t>
      </w:r>
      <w:r w:rsidR="00633F11" w:rsidRPr="000907D3">
        <w:rPr>
          <w:rFonts w:ascii="Adobe Caslon Pro" w:hAnsi="Adobe Caslon Pro" w:cs="Arial"/>
          <w:b/>
        </w:rPr>
        <w:t xml:space="preserve">desarrollo de grupos y regiones que viven en situación de vulnerabilidad y </w:t>
      </w:r>
      <w:r w:rsidR="00A93BA8" w:rsidRPr="000907D3">
        <w:rPr>
          <w:rFonts w:ascii="Adobe Caslon Pro" w:hAnsi="Adobe Caslon Pro" w:cs="Arial"/>
          <w:b/>
        </w:rPr>
        <w:t>rezago</w:t>
      </w:r>
      <w:r w:rsidR="00521DF2">
        <w:rPr>
          <w:rStyle w:val="Refdenotaalpie"/>
          <w:rFonts w:ascii="Adobe Caslon Pro" w:hAnsi="Adobe Caslon Pro" w:cs="Arial"/>
          <w:b/>
        </w:rPr>
        <w:footnoteReference w:id="20"/>
      </w:r>
      <w:r w:rsidR="00633F11" w:rsidRPr="000907D3">
        <w:rPr>
          <w:rFonts w:ascii="Adobe Caslon Pro" w:hAnsi="Adobe Caslon Pro" w:cs="Arial"/>
        </w:rPr>
        <w:t>, misma que</w:t>
      </w:r>
      <w:r w:rsidR="00463F8E">
        <w:rPr>
          <w:rFonts w:ascii="Adobe Caslon Pro" w:hAnsi="Adobe Caslon Pro" w:cs="Arial"/>
        </w:rPr>
        <w:t xml:space="preserve"> </w:t>
      </w:r>
      <w:r w:rsidR="00DC5BCA" w:rsidRPr="000907D3">
        <w:rPr>
          <w:rFonts w:ascii="Adobe Caslon Pro" w:hAnsi="Adobe Caslon Pro" w:cs="Arial"/>
        </w:rPr>
        <w:t xml:space="preserve">asciende </w:t>
      </w:r>
      <w:r w:rsidR="008218FF" w:rsidRPr="000907D3">
        <w:rPr>
          <w:rFonts w:ascii="Adobe Caslon Pro" w:hAnsi="Adobe Caslon Pro" w:cs="Arial"/>
        </w:rPr>
        <w:t>a</w:t>
      </w:r>
      <w:r w:rsidR="008218FF" w:rsidRPr="000907D3">
        <w:rPr>
          <w:rFonts w:ascii="Adobe Caslon Pro" w:hAnsi="Adobe Caslon Pro" w:cs="Arial"/>
          <w:b/>
        </w:rPr>
        <w:t xml:space="preserve"> 7,014 actores sociales </w:t>
      </w:r>
      <w:r w:rsidR="00260625" w:rsidRPr="000907D3">
        <w:rPr>
          <w:rFonts w:ascii="Adobe Caslon Pro" w:hAnsi="Adobe Caslon Pro" w:cs="Arial"/>
        </w:rPr>
        <w:t xml:space="preserve">al </w:t>
      </w:r>
      <w:r w:rsidR="008218FF" w:rsidRPr="000907D3">
        <w:rPr>
          <w:rFonts w:ascii="Adobe Caslon Pro" w:hAnsi="Adobe Caslon Pro" w:cs="Arial"/>
        </w:rPr>
        <w:t>cierre de 2013</w:t>
      </w:r>
      <w:r w:rsidR="008218FF" w:rsidRPr="000907D3">
        <w:rPr>
          <w:rFonts w:ascii="Adobe Caslon Pro" w:hAnsi="Adobe Caslon Pro" w:cs="Arial"/>
          <w:b/>
        </w:rPr>
        <w:t>.</w:t>
      </w:r>
    </w:p>
    <w:p w:rsidR="0056695B" w:rsidRDefault="0056695B" w:rsidP="0043286B">
      <w:pPr>
        <w:pStyle w:val="Ttulo3"/>
        <w:spacing w:before="0" w:after="120" w:line="240" w:lineRule="auto"/>
        <w:rPr>
          <w:rFonts w:eastAsia="Calibri"/>
        </w:rPr>
      </w:pPr>
      <w:bookmarkStart w:id="81" w:name="_Toc388554563"/>
      <w:bookmarkStart w:id="82" w:name="_Toc388629710"/>
      <w:bookmarkStart w:id="83" w:name="_Toc263896836"/>
    </w:p>
    <w:p w:rsidR="00D25F5B" w:rsidRPr="00506C95" w:rsidRDefault="004D5D2F" w:rsidP="0043286B">
      <w:pPr>
        <w:spacing w:after="120"/>
        <w:rPr>
          <w:rFonts w:ascii="Adobe Caslon Pro" w:hAnsi="Adobe Caslon Pro"/>
          <w:b/>
        </w:rPr>
      </w:pPr>
      <w:r w:rsidRPr="00506C95">
        <w:rPr>
          <w:rFonts w:ascii="Adobe Caslon Pro" w:hAnsi="Adobe Caslon Pro"/>
          <w:b/>
        </w:rPr>
        <w:t>Identificación</w:t>
      </w:r>
      <w:r w:rsidR="00B10908">
        <w:rPr>
          <w:rFonts w:ascii="Adobe Caslon Pro" w:hAnsi="Adobe Caslon Pro"/>
          <w:b/>
        </w:rPr>
        <w:t xml:space="preserve"> </w:t>
      </w:r>
      <w:r w:rsidR="000479ED" w:rsidRPr="00506C95">
        <w:rPr>
          <w:rFonts w:ascii="Adobe Caslon Pro" w:hAnsi="Adobe Caslon Pro"/>
          <w:b/>
        </w:rPr>
        <w:t xml:space="preserve">de la población </w:t>
      </w:r>
      <w:bookmarkEnd w:id="81"/>
      <w:bookmarkEnd w:id="82"/>
      <w:bookmarkEnd w:id="83"/>
      <w:r w:rsidRPr="00506C95">
        <w:rPr>
          <w:rFonts w:ascii="Adobe Caslon Pro" w:hAnsi="Adobe Caslon Pro"/>
          <w:b/>
        </w:rPr>
        <w:t>potencial</w:t>
      </w:r>
    </w:p>
    <w:p w:rsidR="00BE61A2" w:rsidRPr="000907D3" w:rsidRDefault="00BE61A2" w:rsidP="0043286B">
      <w:pPr>
        <w:spacing w:after="120" w:line="240" w:lineRule="auto"/>
        <w:jc w:val="both"/>
        <w:rPr>
          <w:rFonts w:ascii="Adobe Caslon Pro" w:hAnsi="Adobe Caslon Pro" w:cs="Arial"/>
        </w:rPr>
      </w:pPr>
      <w:r w:rsidRPr="000907D3">
        <w:rPr>
          <w:rFonts w:ascii="Adobe Caslon Pro" w:hAnsi="Adobe Caslon Pro" w:cs="Arial"/>
        </w:rPr>
        <w:t xml:space="preserve">La población potencial está conformada por dos tipos de actores sociales, en primera instancia las </w:t>
      </w:r>
      <w:r w:rsidR="00940E10">
        <w:rPr>
          <w:rFonts w:ascii="Adobe Caslon Pro" w:hAnsi="Adobe Caslon Pro" w:cs="Arial"/>
        </w:rPr>
        <w:t>OSC</w:t>
      </w:r>
      <w:r w:rsidR="00463F8E">
        <w:rPr>
          <w:rFonts w:ascii="Adobe Caslon Pro" w:hAnsi="Adobe Caslon Pro" w:cs="Arial"/>
        </w:rPr>
        <w:t xml:space="preserve"> </w:t>
      </w:r>
      <w:r w:rsidRPr="000907D3">
        <w:rPr>
          <w:rFonts w:ascii="Adobe Caslon Pro" w:hAnsi="Adobe Caslon Pro" w:cs="Arial"/>
        </w:rPr>
        <w:t xml:space="preserve">y en segundo lugar las </w:t>
      </w:r>
      <w:r w:rsidR="00160981">
        <w:rPr>
          <w:rFonts w:ascii="Adobe Caslon Pro" w:hAnsi="Adobe Caslon Pro" w:cs="Arial"/>
        </w:rPr>
        <w:t>IES y los CI</w:t>
      </w:r>
      <w:r w:rsidRPr="000907D3">
        <w:rPr>
          <w:rFonts w:ascii="Adobe Caslon Pro" w:hAnsi="Adobe Caslon Pro" w:cs="Arial"/>
        </w:rPr>
        <w:t xml:space="preserve">, mismas que tendrán que cubrir una serie de </w:t>
      </w:r>
      <w:r w:rsidR="004C45E1" w:rsidRPr="000907D3">
        <w:rPr>
          <w:rFonts w:ascii="Adobe Caslon Pro" w:hAnsi="Adobe Caslon Pro" w:cs="Arial"/>
        </w:rPr>
        <w:t xml:space="preserve">criterios </w:t>
      </w:r>
      <w:r w:rsidRPr="000907D3">
        <w:rPr>
          <w:rFonts w:ascii="Adobe Caslon Pro" w:hAnsi="Adobe Caslon Pro" w:cs="Arial"/>
        </w:rPr>
        <w:t>par</w:t>
      </w:r>
      <w:r w:rsidR="001D3904" w:rsidRPr="000907D3">
        <w:rPr>
          <w:rFonts w:ascii="Adobe Caslon Pro" w:hAnsi="Adobe Caslon Pro" w:cs="Arial"/>
        </w:rPr>
        <w:t>a ser potencialmente atendidas</w:t>
      </w:r>
      <w:r w:rsidR="004C45E1" w:rsidRPr="000907D3">
        <w:rPr>
          <w:rFonts w:ascii="Adobe Caslon Pro" w:hAnsi="Adobe Caslon Pro" w:cs="Arial"/>
        </w:rPr>
        <w:t xml:space="preserve"> por el Programa; los cuales se describen a continuación:</w:t>
      </w:r>
    </w:p>
    <w:p w:rsidR="00CE3A97" w:rsidRPr="00521DF2" w:rsidRDefault="00521DF2" w:rsidP="0043286B">
      <w:pPr>
        <w:pStyle w:val="Prrafodelista"/>
        <w:numPr>
          <w:ilvl w:val="0"/>
          <w:numId w:val="13"/>
        </w:numPr>
        <w:spacing w:before="240" w:after="120" w:line="240" w:lineRule="auto"/>
        <w:jc w:val="both"/>
        <w:rPr>
          <w:rFonts w:ascii="Adobe Caslon Pro" w:hAnsi="Adobe Caslon Pro" w:cs="Arial"/>
        </w:rPr>
      </w:pPr>
      <w:r>
        <w:rPr>
          <w:rFonts w:ascii="Adobe Caslon Pro" w:hAnsi="Adobe Caslon Pro" w:cs="Arial"/>
          <w:b/>
        </w:rPr>
        <w:t xml:space="preserve">Criterios </w:t>
      </w:r>
      <w:r w:rsidRPr="00521DF2">
        <w:rPr>
          <w:rFonts w:ascii="Adobe Caslon Pro" w:hAnsi="Adobe Caslon Pro" w:cs="Arial"/>
          <w:b/>
        </w:rPr>
        <w:t xml:space="preserve">para las OSC: </w:t>
      </w:r>
      <w:r w:rsidR="004C45E1" w:rsidRPr="00521DF2">
        <w:rPr>
          <w:rFonts w:ascii="Adobe Caslon Pro" w:hAnsi="Adobe Caslon Pro" w:cs="Arial"/>
        </w:rPr>
        <w:t>L</w:t>
      </w:r>
      <w:r w:rsidR="00DC5BCA" w:rsidRPr="00521DF2">
        <w:rPr>
          <w:rFonts w:ascii="Adobe Caslon Pro" w:hAnsi="Adobe Caslon Pro" w:cs="Arial"/>
        </w:rPr>
        <w:t xml:space="preserve">a LFFAROSC </w:t>
      </w:r>
      <w:r w:rsidR="001D3904" w:rsidRPr="00521DF2">
        <w:rPr>
          <w:rFonts w:ascii="Adobe Caslon Pro" w:hAnsi="Adobe Caslon Pro" w:cs="Arial"/>
        </w:rPr>
        <w:t xml:space="preserve">establece </w:t>
      </w:r>
      <w:r w:rsidR="00DC5BCA" w:rsidRPr="00521DF2">
        <w:rPr>
          <w:rFonts w:ascii="Adobe Caslon Pro" w:hAnsi="Adobe Caslon Pro" w:cs="Arial"/>
        </w:rPr>
        <w:t xml:space="preserve">que </w:t>
      </w:r>
      <w:r w:rsidR="001D3904" w:rsidRPr="00521DF2">
        <w:rPr>
          <w:rFonts w:ascii="Adobe Caslon Pro" w:hAnsi="Adobe Caslon Pro" w:cs="Arial"/>
        </w:rPr>
        <w:t xml:space="preserve">para que </w:t>
      </w:r>
      <w:r w:rsidR="00DC5BCA" w:rsidRPr="00521DF2">
        <w:rPr>
          <w:rFonts w:ascii="Adobe Caslon Pro" w:hAnsi="Adobe Caslon Pro" w:cs="Arial"/>
        </w:rPr>
        <w:t xml:space="preserve">una organización sea sujeta de los apoyos y beneficios de los programas de orden federal, debe estar inscrita en el </w:t>
      </w:r>
      <w:r w:rsidR="00940E10" w:rsidRPr="00521DF2">
        <w:rPr>
          <w:rFonts w:ascii="Adobe Caslon Pro" w:hAnsi="Adobe Caslon Pro" w:cs="Arial"/>
        </w:rPr>
        <w:t>RFOSC</w:t>
      </w:r>
      <w:r w:rsidR="00DC5BCA" w:rsidRPr="00521DF2">
        <w:rPr>
          <w:rFonts w:ascii="Adobe Caslon Pro" w:hAnsi="Adobe Caslon Pro" w:cs="Arial"/>
        </w:rPr>
        <w:t xml:space="preserve"> y contar co</w:t>
      </w:r>
      <w:r w:rsidR="001D3904" w:rsidRPr="00521DF2">
        <w:rPr>
          <w:rFonts w:ascii="Adobe Caslon Pro" w:hAnsi="Adobe Caslon Pro" w:cs="Arial"/>
        </w:rPr>
        <w:t xml:space="preserve">n la clave del registro (CLUNI). Asimismo, </w:t>
      </w:r>
      <w:r w:rsidR="004A4F6C" w:rsidRPr="00521DF2">
        <w:rPr>
          <w:rFonts w:ascii="Adobe Caslon Pro" w:hAnsi="Adobe Caslon Pro" w:cs="Arial"/>
        </w:rPr>
        <w:t>las Reglas de Operación del P</w:t>
      </w:r>
      <w:r w:rsidR="007D44FB" w:rsidRPr="00521DF2">
        <w:rPr>
          <w:rFonts w:ascii="Adobe Caslon Pro" w:hAnsi="Adobe Caslon Pro" w:cs="Arial"/>
        </w:rPr>
        <w:t>CS</w:t>
      </w:r>
      <w:r w:rsidR="004A4F6C" w:rsidRPr="00521DF2">
        <w:rPr>
          <w:rFonts w:ascii="Adobe Caslon Pro" w:hAnsi="Adobe Caslon Pro" w:cs="Arial"/>
        </w:rPr>
        <w:t xml:space="preserve"> 2013</w:t>
      </w:r>
      <w:r w:rsidR="007D44FB" w:rsidRPr="00521DF2">
        <w:rPr>
          <w:rFonts w:ascii="Adobe Caslon Pro" w:hAnsi="Adobe Caslon Pro" w:cs="Arial"/>
        </w:rPr>
        <w:t>,</w:t>
      </w:r>
      <w:r w:rsidR="004A4F6C" w:rsidRPr="00521DF2">
        <w:rPr>
          <w:rFonts w:ascii="Adobe Caslon Pro" w:hAnsi="Adobe Caslon Pro" w:cs="Arial"/>
        </w:rPr>
        <w:t xml:space="preserve"> establecen que las OSC deberán tener el estatus de activas</w:t>
      </w:r>
      <w:r w:rsidR="006E05D4" w:rsidRPr="00521DF2">
        <w:rPr>
          <w:rStyle w:val="Refdenotaalpie"/>
          <w:rFonts w:ascii="Adobe Caslon Pro" w:hAnsi="Adobe Caslon Pro" w:cs="Arial"/>
        </w:rPr>
        <w:footnoteReference w:id="21"/>
      </w:r>
      <w:r w:rsidR="004A4F6C" w:rsidRPr="00521DF2">
        <w:rPr>
          <w:rFonts w:ascii="Adobe Caslon Pro" w:hAnsi="Adobe Caslon Pro" w:cs="Arial"/>
        </w:rPr>
        <w:t xml:space="preserve"> </w:t>
      </w:r>
      <w:r w:rsidR="007D44FB" w:rsidRPr="00521DF2">
        <w:rPr>
          <w:rFonts w:ascii="Adobe Caslon Pro" w:hAnsi="Adobe Caslon Pro" w:cs="Arial"/>
        </w:rPr>
        <w:t>al momento de presentar su proyecto de desarrollo social.</w:t>
      </w:r>
    </w:p>
    <w:p w:rsidR="00DC5BCA" w:rsidRPr="000907D3" w:rsidRDefault="004C45E1" w:rsidP="0043286B">
      <w:pPr>
        <w:pStyle w:val="Prrafodelista"/>
        <w:numPr>
          <w:ilvl w:val="0"/>
          <w:numId w:val="13"/>
        </w:numPr>
        <w:spacing w:after="120" w:line="240" w:lineRule="auto"/>
        <w:jc w:val="both"/>
        <w:rPr>
          <w:rFonts w:ascii="Adobe Caslon Pro" w:hAnsi="Adobe Caslon Pro" w:cs="Arial"/>
        </w:rPr>
      </w:pPr>
      <w:r w:rsidRPr="00521DF2">
        <w:rPr>
          <w:rFonts w:ascii="Adobe Caslon Pro" w:hAnsi="Adobe Caslon Pro" w:cs="Arial"/>
          <w:b/>
        </w:rPr>
        <w:t>Criterios para las IES y CI</w:t>
      </w:r>
      <w:r w:rsidR="00521DF2" w:rsidRPr="00521DF2">
        <w:rPr>
          <w:rFonts w:ascii="Adobe Caslon Pro" w:hAnsi="Adobe Caslon Pro" w:cs="Arial"/>
          <w:b/>
        </w:rPr>
        <w:t xml:space="preserve">: </w:t>
      </w:r>
      <w:r w:rsidRPr="00521DF2">
        <w:rPr>
          <w:rFonts w:ascii="Adobe Caslon Pro" w:hAnsi="Adobe Caslon Pro" w:cs="Arial"/>
        </w:rPr>
        <w:t xml:space="preserve">Este tipo de instituciones </w:t>
      </w:r>
      <w:r w:rsidR="00DC5BCA" w:rsidRPr="00521DF2">
        <w:rPr>
          <w:rFonts w:ascii="Adobe Caslon Pro" w:hAnsi="Adobe Caslon Pro" w:cs="Arial"/>
        </w:rPr>
        <w:t>se considera</w:t>
      </w:r>
      <w:r w:rsidR="00661D63" w:rsidRPr="00521DF2">
        <w:rPr>
          <w:rFonts w:ascii="Adobe Caslon Pro" w:hAnsi="Adobe Caslon Pro" w:cs="Arial"/>
        </w:rPr>
        <w:t>n</w:t>
      </w:r>
      <w:r w:rsidR="00DC5BCA" w:rsidRPr="00521DF2">
        <w:rPr>
          <w:rFonts w:ascii="Adobe Caslon Pro" w:hAnsi="Adobe Caslon Pro" w:cs="Arial"/>
        </w:rPr>
        <w:t xml:space="preserve"> actores</w:t>
      </w:r>
      <w:r w:rsidR="00DC5BCA" w:rsidRPr="000907D3">
        <w:rPr>
          <w:rFonts w:ascii="Adobe Caslon Pro" w:hAnsi="Adobe Caslon Pro" w:cs="Arial"/>
        </w:rPr>
        <w:t xml:space="preserve"> clave </w:t>
      </w:r>
      <w:r w:rsidR="00661D63" w:rsidRPr="000907D3">
        <w:rPr>
          <w:rFonts w:ascii="Adobe Caslon Pro" w:hAnsi="Adobe Caslon Pro" w:cs="Arial"/>
        </w:rPr>
        <w:t xml:space="preserve">para los objetivos del programa, por lo que potencialmente podrán ser sujetos de atención </w:t>
      </w:r>
      <w:r w:rsidR="00D51639" w:rsidRPr="000907D3">
        <w:rPr>
          <w:rFonts w:ascii="Adobe Caslon Pro" w:hAnsi="Adobe Caslon Pro" w:cs="Arial"/>
        </w:rPr>
        <w:t xml:space="preserve">todos </w:t>
      </w:r>
      <w:r w:rsidR="00661D63" w:rsidRPr="000907D3">
        <w:rPr>
          <w:rFonts w:ascii="Adobe Caslon Pro" w:hAnsi="Adobe Caslon Pro" w:cs="Arial"/>
        </w:rPr>
        <w:t>aquellos que cuenten con proyectos de desarrollo social.</w:t>
      </w:r>
    </w:p>
    <w:p w:rsidR="00CE3A97" w:rsidRPr="000907D3" w:rsidRDefault="00A771FB" w:rsidP="0043286B">
      <w:pPr>
        <w:pStyle w:val="Prrafodelista"/>
        <w:numPr>
          <w:ilvl w:val="0"/>
          <w:numId w:val="13"/>
        </w:numPr>
        <w:spacing w:after="120" w:line="240" w:lineRule="auto"/>
        <w:jc w:val="both"/>
        <w:rPr>
          <w:rFonts w:ascii="Adobe Caslon Pro" w:hAnsi="Adobe Caslon Pro" w:cs="Arial"/>
        </w:rPr>
      </w:pPr>
      <w:r w:rsidRPr="000907D3">
        <w:rPr>
          <w:rFonts w:ascii="Adobe Caslon Pro" w:hAnsi="Adobe Caslon Pro" w:cs="Arial"/>
          <w:b/>
        </w:rPr>
        <w:t>Criterios de participación de los actores sociales</w:t>
      </w:r>
      <w:r w:rsidR="00BF12D1" w:rsidRPr="000907D3">
        <w:rPr>
          <w:rFonts w:ascii="Adobe Caslon Pro" w:hAnsi="Adobe Caslon Pro" w:cs="Arial"/>
          <w:b/>
        </w:rPr>
        <w:t xml:space="preserve"> en proyectos de desarrollo social</w:t>
      </w:r>
      <w:r w:rsidR="00521DF2">
        <w:rPr>
          <w:rFonts w:ascii="Adobe Caslon Pro" w:hAnsi="Adobe Caslon Pro" w:cs="Arial"/>
          <w:b/>
        </w:rPr>
        <w:t xml:space="preserve">: </w:t>
      </w:r>
      <w:r w:rsidR="00CE3A97" w:rsidRPr="000907D3">
        <w:rPr>
          <w:rFonts w:ascii="Adobe Caslon Pro" w:hAnsi="Adobe Caslon Pro" w:cs="Arial"/>
        </w:rPr>
        <w:t xml:space="preserve">Con el objetivo estimar una demanda de actores sociales potencialmente susceptibles de ser atendidos por el programa, se </w:t>
      </w:r>
      <w:r w:rsidRPr="000907D3">
        <w:rPr>
          <w:rFonts w:ascii="Adobe Caslon Pro" w:hAnsi="Adobe Caslon Pro" w:cs="Arial"/>
        </w:rPr>
        <w:t xml:space="preserve">estimaron </w:t>
      </w:r>
      <w:r w:rsidR="00CE3A97" w:rsidRPr="000907D3">
        <w:rPr>
          <w:rFonts w:ascii="Adobe Caslon Pro" w:hAnsi="Adobe Caslon Pro" w:cs="Arial"/>
        </w:rPr>
        <w:t xml:space="preserve">aquellos actores sociales que entre 2009 y 2013 presentaron al menos </w:t>
      </w:r>
      <w:r w:rsidR="00A93BA8" w:rsidRPr="000907D3">
        <w:rPr>
          <w:rFonts w:ascii="Adobe Caslon Pro" w:hAnsi="Adobe Caslon Pro" w:cs="Arial"/>
        </w:rPr>
        <w:t xml:space="preserve">un </w:t>
      </w:r>
      <w:r w:rsidR="00CE3A97" w:rsidRPr="000907D3">
        <w:rPr>
          <w:rFonts w:ascii="Adobe Caslon Pro" w:hAnsi="Adobe Caslon Pro" w:cs="Arial"/>
        </w:rPr>
        <w:t>proyecto</w:t>
      </w:r>
      <w:r w:rsidR="00BF12D1" w:rsidRPr="000907D3">
        <w:rPr>
          <w:rFonts w:ascii="Adobe Caslon Pro" w:hAnsi="Adobe Caslon Pro" w:cs="Arial"/>
        </w:rPr>
        <w:t xml:space="preserve"> de desarrollo social </w:t>
      </w:r>
      <w:r w:rsidR="00CE3A97" w:rsidRPr="000907D3">
        <w:rPr>
          <w:rFonts w:ascii="Adobe Caslon Pro" w:hAnsi="Adobe Caslon Pro" w:cs="Arial"/>
        </w:rPr>
        <w:t>que cumple con los criterios de participación</w:t>
      </w:r>
      <w:r w:rsidRPr="000907D3">
        <w:rPr>
          <w:rFonts w:ascii="Adobe Caslon Pro" w:hAnsi="Adobe Caslon Pro" w:cs="Arial"/>
        </w:rPr>
        <w:t xml:space="preserve"> establecidos</w:t>
      </w:r>
      <w:r w:rsidR="00CE3A97" w:rsidRPr="000907D3">
        <w:rPr>
          <w:rStyle w:val="Refdenotaalpie"/>
          <w:rFonts w:ascii="Adobe Caslon Pro" w:hAnsi="Adobe Caslon Pro" w:cs="Arial"/>
        </w:rPr>
        <w:footnoteReference w:id="22"/>
      </w:r>
      <w:r w:rsidR="00BF12D1" w:rsidRPr="000907D3">
        <w:rPr>
          <w:rFonts w:ascii="Adobe Caslon Pro" w:hAnsi="Adobe Caslon Pro" w:cs="Arial"/>
        </w:rPr>
        <w:t>.</w:t>
      </w:r>
    </w:p>
    <w:p w:rsidR="0056695B" w:rsidRDefault="0056695B" w:rsidP="0043286B">
      <w:pPr>
        <w:pStyle w:val="Ttulo3"/>
        <w:spacing w:before="0" w:after="120" w:line="240" w:lineRule="auto"/>
        <w:rPr>
          <w:rFonts w:eastAsia="Calibri"/>
        </w:rPr>
      </w:pPr>
    </w:p>
    <w:p w:rsidR="002A78A2" w:rsidRDefault="002A78A2" w:rsidP="0043286B">
      <w:pPr>
        <w:spacing w:after="120"/>
        <w:rPr>
          <w:rFonts w:ascii="Adobe Caslon Pro" w:hAnsi="Adobe Caslon Pro"/>
          <w:b/>
        </w:rPr>
      </w:pPr>
      <w:r>
        <w:rPr>
          <w:rFonts w:ascii="Adobe Caslon Pro" w:hAnsi="Adobe Caslon Pro"/>
          <w:b/>
        </w:rPr>
        <w:br w:type="page"/>
      </w:r>
    </w:p>
    <w:p w:rsidR="004D5D2F" w:rsidRPr="00506C95" w:rsidRDefault="004D5D2F" w:rsidP="0043286B">
      <w:pPr>
        <w:spacing w:after="120"/>
        <w:rPr>
          <w:rFonts w:ascii="Adobe Caslon Pro" w:hAnsi="Adobe Caslon Pro"/>
          <w:b/>
        </w:rPr>
      </w:pPr>
      <w:r w:rsidRPr="00506C95">
        <w:rPr>
          <w:rFonts w:ascii="Adobe Caslon Pro" w:hAnsi="Adobe Caslon Pro"/>
          <w:b/>
        </w:rPr>
        <w:lastRenderedPageBreak/>
        <w:t>Cuantificación de Población potencial</w:t>
      </w:r>
    </w:p>
    <w:p w:rsidR="007834D9" w:rsidRPr="000907D3" w:rsidRDefault="00316D13" w:rsidP="0043286B">
      <w:pPr>
        <w:spacing w:after="120" w:line="240" w:lineRule="auto"/>
        <w:jc w:val="both"/>
        <w:rPr>
          <w:rFonts w:ascii="Adobe Caslon Pro" w:hAnsi="Adobe Caslon Pro" w:cs="Arial"/>
        </w:rPr>
      </w:pPr>
      <w:r w:rsidRPr="000907D3">
        <w:rPr>
          <w:rFonts w:ascii="Adobe Caslon Pro" w:hAnsi="Adobe Caslon Pro" w:cs="Arial"/>
        </w:rPr>
        <w:t>A</w:t>
      </w:r>
      <w:r w:rsidR="00374793" w:rsidRPr="000907D3">
        <w:rPr>
          <w:rFonts w:ascii="Adobe Caslon Pro" w:hAnsi="Adobe Caslon Pro" w:cs="Arial"/>
        </w:rPr>
        <w:t>l cierre de 2013</w:t>
      </w:r>
      <w:r w:rsidRPr="000907D3">
        <w:rPr>
          <w:rFonts w:ascii="Adobe Caslon Pro" w:hAnsi="Adobe Caslon Pro" w:cs="Arial"/>
        </w:rPr>
        <w:t xml:space="preserve">, se estima que </w:t>
      </w:r>
      <w:r w:rsidR="00374793" w:rsidRPr="000907D3">
        <w:rPr>
          <w:rFonts w:ascii="Adobe Caslon Pro" w:hAnsi="Adobe Caslon Pro" w:cs="Arial"/>
        </w:rPr>
        <w:t xml:space="preserve">existían un total 7,014 actores sociales </w:t>
      </w:r>
      <w:r w:rsidRPr="000907D3">
        <w:rPr>
          <w:rFonts w:ascii="Adobe Caslon Pro" w:hAnsi="Adobe Caslon Pro" w:cs="Arial"/>
        </w:rPr>
        <w:t>que cumplen con los criterios establecidos</w:t>
      </w:r>
      <w:r w:rsidR="00374793" w:rsidRPr="000907D3">
        <w:rPr>
          <w:rFonts w:ascii="Adobe Caslon Pro" w:hAnsi="Adobe Caslon Pro" w:cs="Arial"/>
        </w:rPr>
        <w:t xml:space="preserve">, en su gran mayoría </w:t>
      </w:r>
      <w:r w:rsidR="00940E10">
        <w:rPr>
          <w:rFonts w:ascii="Adobe Caslon Pro" w:hAnsi="Adobe Caslon Pro" w:cs="Arial"/>
        </w:rPr>
        <w:t>OSC</w:t>
      </w:r>
      <w:r w:rsidR="007834D9" w:rsidRPr="000907D3">
        <w:rPr>
          <w:rFonts w:ascii="Adobe Caslon Pro" w:hAnsi="Adobe Caslon Pro" w:cs="Arial"/>
        </w:rPr>
        <w:t xml:space="preserve"> (9</w:t>
      </w:r>
      <w:r w:rsidR="00521DF2">
        <w:rPr>
          <w:rFonts w:ascii="Adobe Caslon Pro" w:hAnsi="Adobe Caslon Pro" w:cs="Arial"/>
        </w:rPr>
        <w:t>8.7</w:t>
      </w:r>
      <w:r w:rsidR="007834D9" w:rsidRPr="000907D3">
        <w:rPr>
          <w:rFonts w:ascii="Adobe Caslon Pro" w:hAnsi="Adobe Caslon Pro" w:cs="Arial"/>
        </w:rPr>
        <w:t xml:space="preserve">%). </w:t>
      </w:r>
    </w:p>
    <w:p w:rsidR="007834D9" w:rsidRDefault="007834D9" w:rsidP="0043286B">
      <w:pPr>
        <w:pStyle w:val="Epgrafe"/>
        <w:spacing w:after="120"/>
        <w:jc w:val="center"/>
        <w:rPr>
          <w:rFonts w:ascii="Adobe Caslon Pro" w:hAnsi="Adobe Caslon Pro" w:cs="Arial"/>
          <w:color w:val="000000"/>
          <w:sz w:val="20"/>
          <w:szCs w:val="22"/>
        </w:rPr>
      </w:pPr>
      <w:bookmarkStart w:id="84" w:name="_Toc380683860"/>
      <w:r w:rsidRPr="000907D3">
        <w:rPr>
          <w:rFonts w:ascii="Adobe Caslon Pro" w:hAnsi="Adobe Caslon Pro" w:cs="Arial"/>
          <w:color w:val="000000"/>
          <w:sz w:val="20"/>
          <w:szCs w:val="22"/>
        </w:rPr>
        <w:t>Cuadro</w:t>
      </w:r>
      <w:bookmarkEnd w:id="84"/>
      <w:r w:rsidR="0099028D" w:rsidRPr="000907D3">
        <w:rPr>
          <w:rFonts w:ascii="Adobe Caslon Pro" w:hAnsi="Adobe Caslon Pro" w:cs="Arial"/>
          <w:color w:val="000000"/>
          <w:sz w:val="20"/>
          <w:szCs w:val="22"/>
        </w:rPr>
        <w:t xml:space="preserve"> 4</w:t>
      </w:r>
      <w:r w:rsidRPr="000907D3">
        <w:rPr>
          <w:rFonts w:ascii="Adobe Caslon Pro" w:hAnsi="Adobe Caslon Pro" w:cs="Arial"/>
          <w:color w:val="000000"/>
          <w:sz w:val="20"/>
          <w:szCs w:val="22"/>
        </w:rPr>
        <w:t>. Población potencial del PCS</w:t>
      </w:r>
    </w:p>
    <w:tbl>
      <w:tblPr>
        <w:tblW w:w="7320" w:type="dxa"/>
        <w:jc w:val="center"/>
        <w:tblInd w:w="55" w:type="dxa"/>
        <w:tblCellMar>
          <w:left w:w="70" w:type="dxa"/>
          <w:right w:w="70" w:type="dxa"/>
        </w:tblCellMar>
        <w:tblLook w:val="04A0" w:firstRow="1" w:lastRow="0" w:firstColumn="1" w:lastColumn="0" w:noHBand="0" w:noVBand="1"/>
      </w:tblPr>
      <w:tblGrid>
        <w:gridCol w:w="6040"/>
        <w:gridCol w:w="1280"/>
      </w:tblGrid>
      <w:tr w:rsidR="0056695B" w:rsidRPr="0056695B" w:rsidTr="003B31E7">
        <w:trPr>
          <w:trHeight w:val="420"/>
          <w:jc w:val="center"/>
        </w:trPr>
        <w:tc>
          <w:tcPr>
            <w:tcW w:w="60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56695B" w:rsidRPr="0056695B" w:rsidRDefault="0056695B" w:rsidP="00271526">
            <w:pPr>
              <w:spacing w:after="0" w:line="240" w:lineRule="auto"/>
              <w:contextualSpacing/>
              <w:jc w:val="center"/>
              <w:rPr>
                <w:rFonts w:ascii="Adobe Caslon Pro" w:eastAsia="Times New Roman" w:hAnsi="Adobe Caslon Pro"/>
                <w:b/>
                <w:bCs/>
                <w:color w:val="000000"/>
                <w:lang w:eastAsia="es-MX"/>
              </w:rPr>
            </w:pPr>
            <w:bookmarkStart w:id="85" w:name="_Toc376184705"/>
            <w:bookmarkStart w:id="86" w:name="_Toc380497371"/>
            <w:bookmarkStart w:id="87" w:name="_Toc263896838"/>
            <w:r w:rsidRPr="0056695B">
              <w:rPr>
                <w:rFonts w:ascii="Adobe Caslon Pro" w:eastAsia="Times New Roman" w:hAnsi="Adobe Caslon Pro"/>
                <w:b/>
                <w:bCs/>
                <w:color w:val="000000"/>
                <w:lang w:eastAsia="es-MX"/>
              </w:rPr>
              <w:t>Actores Sociales</w:t>
            </w:r>
          </w:p>
        </w:tc>
        <w:tc>
          <w:tcPr>
            <w:tcW w:w="1280" w:type="dxa"/>
            <w:tcBorders>
              <w:top w:val="single" w:sz="4" w:space="0" w:color="auto"/>
              <w:left w:val="nil"/>
              <w:bottom w:val="single" w:sz="4" w:space="0" w:color="auto"/>
              <w:right w:val="single" w:sz="4" w:space="0" w:color="auto"/>
            </w:tcBorders>
            <w:shd w:val="clear" w:color="000000" w:fill="BFBFBF"/>
            <w:vAlign w:val="center"/>
            <w:hideMark/>
          </w:tcPr>
          <w:p w:rsidR="0056695B" w:rsidRPr="0056695B" w:rsidRDefault="0056695B" w:rsidP="00271526">
            <w:pPr>
              <w:spacing w:after="0" w:line="240" w:lineRule="auto"/>
              <w:contextualSpacing/>
              <w:jc w:val="center"/>
              <w:rPr>
                <w:rFonts w:ascii="Adobe Caslon Pro" w:eastAsia="Times New Roman" w:hAnsi="Adobe Caslon Pro"/>
                <w:b/>
                <w:bCs/>
                <w:color w:val="000000"/>
                <w:lang w:eastAsia="es-MX"/>
              </w:rPr>
            </w:pPr>
            <w:r w:rsidRPr="0056695B">
              <w:rPr>
                <w:rFonts w:ascii="Adobe Caslon Pro" w:eastAsia="Times New Roman" w:hAnsi="Adobe Caslon Pro"/>
                <w:b/>
                <w:bCs/>
                <w:color w:val="000000"/>
                <w:lang w:eastAsia="es-MX"/>
              </w:rPr>
              <w:t>Total</w:t>
            </w:r>
          </w:p>
        </w:tc>
      </w:tr>
      <w:tr w:rsidR="0056695B" w:rsidRPr="0056695B" w:rsidTr="003B31E7">
        <w:trPr>
          <w:trHeight w:val="420"/>
          <w:jc w:val="center"/>
        </w:trPr>
        <w:tc>
          <w:tcPr>
            <w:tcW w:w="6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695B" w:rsidRPr="0056695B" w:rsidRDefault="00940E10" w:rsidP="00271526">
            <w:pPr>
              <w:spacing w:after="0" w:line="240" w:lineRule="auto"/>
              <w:contextualSpacing/>
              <w:jc w:val="center"/>
              <w:rPr>
                <w:rFonts w:ascii="Adobe Caslon Pro" w:eastAsia="Times New Roman" w:hAnsi="Adobe Caslon Pro"/>
                <w:color w:val="000000"/>
                <w:lang w:eastAsia="es-MX"/>
              </w:rPr>
            </w:pPr>
            <w:r>
              <w:rPr>
                <w:rFonts w:ascii="Adobe Caslon Pro" w:eastAsia="Times New Roman" w:hAnsi="Adobe Caslon Pro"/>
                <w:color w:val="000000"/>
                <w:lang w:eastAsia="es-MX"/>
              </w:rPr>
              <w:t>OSC</w:t>
            </w:r>
            <w:r w:rsidR="0056695B" w:rsidRPr="0056695B">
              <w:rPr>
                <w:rFonts w:ascii="Adobe Caslon Pro" w:eastAsia="Times New Roman" w:hAnsi="Adobe Caslon Pro"/>
                <w:color w:val="000000"/>
                <w:lang w:eastAsia="es-MX"/>
              </w:rPr>
              <w:t xml:space="preserve"> activas</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56695B" w:rsidRPr="0056695B" w:rsidRDefault="0056695B" w:rsidP="00271526">
            <w:pPr>
              <w:spacing w:after="0" w:line="240" w:lineRule="auto"/>
              <w:contextualSpacing/>
              <w:jc w:val="center"/>
              <w:rPr>
                <w:rFonts w:ascii="Adobe Caslon Pro" w:eastAsia="Times New Roman" w:hAnsi="Adobe Caslon Pro"/>
                <w:color w:val="000000"/>
                <w:lang w:eastAsia="es-MX"/>
              </w:rPr>
            </w:pPr>
            <w:r w:rsidRPr="0056695B">
              <w:rPr>
                <w:rFonts w:ascii="Adobe Caslon Pro" w:eastAsia="Times New Roman" w:hAnsi="Adobe Caslon Pro"/>
                <w:color w:val="000000"/>
                <w:lang w:eastAsia="es-MX"/>
              </w:rPr>
              <w:t>6,925</w:t>
            </w:r>
          </w:p>
        </w:tc>
      </w:tr>
      <w:tr w:rsidR="0056695B" w:rsidRPr="0056695B" w:rsidTr="003B31E7">
        <w:trPr>
          <w:trHeight w:val="420"/>
          <w:jc w:val="center"/>
        </w:trPr>
        <w:tc>
          <w:tcPr>
            <w:tcW w:w="6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6695B" w:rsidRPr="0056695B" w:rsidRDefault="00160981" w:rsidP="00271526">
            <w:pPr>
              <w:spacing w:after="0" w:line="240" w:lineRule="auto"/>
              <w:contextualSpacing/>
              <w:jc w:val="center"/>
              <w:rPr>
                <w:rFonts w:ascii="Adobe Caslon Pro" w:eastAsia="Times New Roman" w:hAnsi="Adobe Caslon Pro"/>
                <w:color w:val="000000"/>
                <w:lang w:eastAsia="es-MX"/>
              </w:rPr>
            </w:pPr>
            <w:r>
              <w:rPr>
                <w:rFonts w:ascii="Adobe Caslon Pro" w:eastAsia="Times New Roman" w:hAnsi="Adobe Caslon Pro"/>
                <w:color w:val="000000"/>
                <w:lang w:eastAsia="es-MX"/>
              </w:rPr>
              <w:t>IES</w:t>
            </w:r>
            <w:r w:rsidR="0056695B" w:rsidRPr="0056695B">
              <w:rPr>
                <w:rFonts w:ascii="Adobe Caslon Pro" w:eastAsia="Times New Roman" w:hAnsi="Adobe Caslon Pro"/>
                <w:color w:val="000000"/>
                <w:lang w:eastAsia="es-MX"/>
              </w:rPr>
              <w:t xml:space="preserve"> y </w:t>
            </w:r>
            <w:r>
              <w:rPr>
                <w:rFonts w:ascii="Adobe Caslon Pro" w:eastAsia="Times New Roman" w:hAnsi="Adobe Caslon Pro"/>
                <w:color w:val="000000"/>
                <w:lang w:eastAsia="es-MX"/>
              </w:rPr>
              <w:t>CI</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56695B" w:rsidRPr="0056695B" w:rsidRDefault="0056695B" w:rsidP="00271526">
            <w:pPr>
              <w:spacing w:after="0" w:line="240" w:lineRule="auto"/>
              <w:contextualSpacing/>
              <w:jc w:val="center"/>
              <w:rPr>
                <w:rFonts w:ascii="Adobe Caslon Pro" w:eastAsia="Times New Roman" w:hAnsi="Adobe Caslon Pro"/>
                <w:color w:val="000000"/>
                <w:lang w:eastAsia="es-MX"/>
              </w:rPr>
            </w:pPr>
            <w:r w:rsidRPr="0056695B">
              <w:rPr>
                <w:rFonts w:ascii="Adobe Caslon Pro" w:eastAsia="Times New Roman" w:hAnsi="Adobe Caslon Pro"/>
                <w:color w:val="000000"/>
                <w:lang w:eastAsia="es-MX"/>
              </w:rPr>
              <w:t>89</w:t>
            </w:r>
          </w:p>
        </w:tc>
      </w:tr>
      <w:tr w:rsidR="003B31E7" w:rsidRPr="0056695B" w:rsidTr="003B31E7">
        <w:trPr>
          <w:trHeight w:val="420"/>
          <w:jc w:val="center"/>
        </w:trPr>
        <w:tc>
          <w:tcPr>
            <w:tcW w:w="6040" w:type="dxa"/>
            <w:tcBorders>
              <w:top w:val="single" w:sz="4" w:space="0" w:color="auto"/>
              <w:left w:val="single" w:sz="4" w:space="0" w:color="auto"/>
              <w:bottom w:val="single" w:sz="4" w:space="0" w:color="auto"/>
              <w:right w:val="single" w:sz="4" w:space="0" w:color="auto"/>
            </w:tcBorders>
            <w:shd w:val="clear" w:color="auto" w:fill="auto"/>
            <w:vAlign w:val="center"/>
          </w:tcPr>
          <w:p w:rsidR="003B31E7" w:rsidRDefault="003B31E7" w:rsidP="00271526">
            <w:pPr>
              <w:spacing w:after="0" w:line="240" w:lineRule="auto"/>
              <w:contextualSpacing/>
              <w:jc w:val="center"/>
              <w:rPr>
                <w:rFonts w:ascii="Adobe Caslon Pro" w:eastAsia="Times New Roman" w:hAnsi="Adobe Caslon Pro"/>
                <w:color w:val="000000"/>
                <w:lang w:eastAsia="es-MX"/>
              </w:rPr>
            </w:pPr>
            <w:r>
              <w:rPr>
                <w:rFonts w:ascii="Adobe Caslon Pro" w:eastAsia="Times New Roman" w:hAnsi="Adobe Caslon Pro"/>
                <w:color w:val="000000"/>
                <w:lang w:eastAsia="es-MX"/>
              </w:rPr>
              <w:t>Total</w:t>
            </w:r>
          </w:p>
        </w:tc>
        <w:tc>
          <w:tcPr>
            <w:tcW w:w="1280" w:type="dxa"/>
            <w:tcBorders>
              <w:top w:val="single" w:sz="4" w:space="0" w:color="auto"/>
              <w:left w:val="nil"/>
              <w:bottom w:val="single" w:sz="4" w:space="0" w:color="auto"/>
              <w:right w:val="single" w:sz="4" w:space="0" w:color="auto"/>
            </w:tcBorders>
            <w:shd w:val="clear" w:color="auto" w:fill="auto"/>
            <w:vAlign w:val="center"/>
          </w:tcPr>
          <w:p w:rsidR="003B31E7" w:rsidRPr="0056695B" w:rsidRDefault="003B31E7" w:rsidP="00271526">
            <w:pPr>
              <w:spacing w:after="0" w:line="240" w:lineRule="auto"/>
              <w:contextualSpacing/>
              <w:jc w:val="center"/>
              <w:rPr>
                <w:rFonts w:ascii="Adobe Caslon Pro" w:eastAsia="Times New Roman" w:hAnsi="Adobe Caslon Pro"/>
                <w:color w:val="000000"/>
                <w:lang w:eastAsia="es-MX"/>
              </w:rPr>
            </w:pPr>
            <w:r>
              <w:rPr>
                <w:rFonts w:ascii="Adobe Caslon Pro" w:eastAsia="Times New Roman" w:hAnsi="Adobe Caslon Pro"/>
                <w:color w:val="000000"/>
                <w:lang w:eastAsia="es-MX"/>
              </w:rPr>
              <w:t>7,014</w:t>
            </w:r>
          </w:p>
        </w:tc>
      </w:tr>
    </w:tbl>
    <w:p w:rsidR="008F5529" w:rsidRDefault="008F5529" w:rsidP="0043286B">
      <w:pPr>
        <w:spacing w:after="120" w:line="240" w:lineRule="auto"/>
        <w:jc w:val="both"/>
        <w:rPr>
          <w:rFonts w:ascii="Adobe Caslon Pro" w:hAnsi="Adobe Caslon Pro" w:cs="Arial"/>
          <w:sz w:val="18"/>
        </w:rPr>
      </w:pPr>
      <w:r w:rsidRPr="000907D3">
        <w:rPr>
          <w:rFonts w:ascii="Adobe Caslon Pro" w:hAnsi="Adobe Caslon Pro" w:cs="Arial"/>
          <w:sz w:val="18"/>
        </w:rPr>
        <w:t>Fuente. Elaboraci</w:t>
      </w:r>
      <w:r>
        <w:rPr>
          <w:rFonts w:ascii="Adobe Caslon Pro" w:hAnsi="Adobe Caslon Pro" w:cs="Arial"/>
          <w:sz w:val="18"/>
        </w:rPr>
        <w:t xml:space="preserve">ón propia con datos del </w:t>
      </w:r>
      <w:r w:rsidR="002F714E">
        <w:rPr>
          <w:rFonts w:ascii="Adobe Caslon Pro" w:hAnsi="Adobe Caslon Pro" w:cs="Arial"/>
          <w:sz w:val="18"/>
        </w:rPr>
        <w:t>INDESOL</w:t>
      </w:r>
      <w:r>
        <w:rPr>
          <w:rFonts w:ascii="Adobe Caslon Pro" w:hAnsi="Adobe Caslon Pro" w:cs="Arial"/>
          <w:sz w:val="18"/>
        </w:rPr>
        <w:t>.</w:t>
      </w:r>
    </w:p>
    <w:p w:rsidR="0056695B" w:rsidRDefault="0056695B" w:rsidP="0043286B">
      <w:pPr>
        <w:pStyle w:val="Ttulo3"/>
        <w:spacing w:before="0" w:after="120" w:line="240" w:lineRule="auto"/>
        <w:rPr>
          <w:rFonts w:eastAsia="Calibri"/>
        </w:rPr>
      </w:pPr>
    </w:p>
    <w:p w:rsidR="001F2552" w:rsidRPr="00506C95" w:rsidRDefault="001F2552" w:rsidP="0043286B">
      <w:pPr>
        <w:spacing w:after="120"/>
        <w:rPr>
          <w:rFonts w:ascii="Adobe Caslon Pro" w:hAnsi="Adobe Caslon Pro"/>
          <w:b/>
        </w:rPr>
      </w:pPr>
      <w:r w:rsidRPr="00506C95">
        <w:rPr>
          <w:rFonts w:ascii="Adobe Caslon Pro" w:hAnsi="Adobe Caslon Pro"/>
          <w:b/>
        </w:rPr>
        <w:t>Caracterización de la población potencial</w:t>
      </w:r>
      <w:bookmarkEnd w:id="85"/>
      <w:bookmarkEnd w:id="86"/>
      <w:bookmarkEnd w:id="87"/>
    </w:p>
    <w:p w:rsidR="00457B1B" w:rsidRDefault="00C44E0F" w:rsidP="0043286B">
      <w:pPr>
        <w:spacing w:after="120" w:line="240" w:lineRule="auto"/>
        <w:jc w:val="both"/>
        <w:rPr>
          <w:rFonts w:ascii="Adobe Caslon Pro" w:hAnsi="Adobe Caslon Pro" w:cs="Arial"/>
        </w:rPr>
      </w:pPr>
      <w:r>
        <w:rPr>
          <w:rFonts w:ascii="Adobe Caslon Pro" w:hAnsi="Adobe Caslon Pro" w:cs="Arial"/>
        </w:rPr>
        <w:t>En esta sección, se realizará una descripción de las principales características de los actores sociales ubicados dentro de la población potencial. En este sentido, e</w:t>
      </w:r>
      <w:r w:rsidR="00900D4C" w:rsidRPr="000907D3">
        <w:rPr>
          <w:rFonts w:ascii="Adobe Caslon Pro" w:hAnsi="Adobe Caslon Pro" w:cs="Arial"/>
        </w:rPr>
        <w:t xml:space="preserve">l promedio de la participación por vertiente entre </w:t>
      </w:r>
      <w:r w:rsidR="00BA7A1D" w:rsidRPr="000907D3">
        <w:rPr>
          <w:rFonts w:ascii="Adobe Caslon Pro" w:hAnsi="Adobe Caslon Pro" w:cs="Arial"/>
        </w:rPr>
        <w:t xml:space="preserve">2009 y 2013, </w:t>
      </w:r>
      <w:r w:rsidR="00900D4C" w:rsidRPr="000907D3">
        <w:rPr>
          <w:rFonts w:ascii="Adobe Caslon Pro" w:hAnsi="Adobe Caslon Pro" w:cs="Arial"/>
        </w:rPr>
        <w:t xml:space="preserve">muestra que </w:t>
      </w:r>
      <w:r w:rsidR="00A02E4E" w:rsidRPr="000907D3">
        <w:rPr>
          <w:rFonts w:ascii="Adobe Caslon Pro" w:hAnsi="Adobe Caslon Pro" w:cs="Arial"/>
        </w:rPr>
        <w:t>la mayor parte de los actores sociales pertenecientes a la población potencial se enmarcan en la vertiente de desarrollo humano y social</w:t>
      </w:r>
      <w:r w:rsidR="00900D4C" w:rsidRPr="000907D3">
        <w:rPr>
          <w:rFonts w:ascii="Adobe Caslon Pro" w:hAnsi="Adobe Caslon Pro" w:cs="Arial"/>
        </w:rPr>
        <w:t xml:space="preserve"> con una concentración de 80.9%,</w:t>
      </w:r>
      <w:r w:rsidR="00A02E4E" w:rsidRPr="000907D3">
        <w:rPr>
          <w:rFonts w:ascii="Adobe Caslon Pro" w:hAnsi="Adobe Caslon Pro" w:cs="Arial"/>
        </w:rPr>
        <w:t xml:space="preserve"> seguido de </w:t>
      </w:r>
      <w:r w:rsidR="00BA7A1D" w:rsidRPr="000907D3">
        <w:rPr>
          <w:rFonts w:ascii="Adobe Caslon Pro" w:hAnsi="Adobe Caslon Pro" w:cs="Arial"/>
        </w:rPr>
        <w:t xml:space="preserve">la vertiente de fortalecimiento institucional </w:t>
      </w:r>
      <w:r w:rsidR="00900D4C" w:rsidRPr="000907D3">
        <w:rPr>
          <w:rFonts w:ascii="Adobe Caslon Pro" w:hAnsi="Adobe Caslon Pro" w:cs="Arial"/>
        </w:rPr>
        <w:t>(13.4%)</w:t>
      </w:r>
      <w:r w:rsidR="001E2C48">
        <w:rPr>
          <w:rFonts w:ascii="Adobe Caslon Pro" w:hAnsi="Adobe Caslon Pro" w:cs="Arial"/>
        </w:rPr>
        <w:t xml:space="preserve"> </w:t>
      </w:r>
      <w:r w:rsidR="00BA7A1D" w:rsidRPr="000907D3">
        <w:rPr>
          <w:rFonts w:ascii="Adobe Caslon Pro" w:hAnsi="Adobe Caslon Pro" w:cs="Arial"/>
        </w:rPr>
        <w:t xml:space="preserve">y una pequeña parte </w:t>
      </w:r>
      <w:r w:rsidR="008E24A1" w:rsidRPr="000907D3">
        <w:rPr>
          <w:rFonts w:ascii="Adobe Caslon Pro" w:hAnsi="Adobe Caslon Pro" w:cs="Arial"/>
        </w:rPr>
        <w:t xml:space="preserve">de ellos </w:t>
      </w:r>
      <w:r w:rsidR="00BA7A1D" w:rsidRPr="000907D3">
        <w:rPr>
          <w:rFonts w:ascii="Adobe Caslon Pro" w:hAnsi="Adobe Caslon Pro" w:cs="Arial"/>
        </w:rPr>
        <w:t>dentro de la vertiente de investigación para el desarrollo social</w:t>
      </w:r>
      <w:r w:rsidR="00900D4C" w:rsidRPr="000907D3">
        <w:rPr>
          <w:rFonts w:ascii="Adobe Caslon Pro" w:hAnsi="Adobe Caslon Pro" w:cs="Arial"/>
        </w:rPr>
        <w:t xml:space="preserve"> (2.8%).</w:t>
      </w:r>
      <w:r w:rsidR="001E2C48">
        <w:rPr>
          <w:rFonts w:ascii="Adobe Caslon Pro" w:hAnsi="Adobe Caslon Pro" w:cs="Arial"/>
        </w:rPr>
        <w:t xml:space="preserve"> </w:t>
      </w:r>
      <w:r w:rsidR="00A02E4E" w:rsidRPr="000907D3">
        <w:rPr>
          <w:rFonts w:ascii="Adobe Caslon Pro" w:hAnsi="Adobe Caslon Pro" w:cs="Arial"/>
        </w:rPr>
        <w:t xml:space="preserve">Cabe aclarar que la suma de la población potencial por año no corresponde al total de la población potencial porque puede darse el caso de que un actor social cumpliera los requisitos en más de un año. </w:t>
      </w:r>
    </w:p>
    <w:p w:rsidR="002E3253" w:rsidRPr="000907D3" w:rsidRDefault="00742EF0" w:rsidP="0043286B">
      <w:pPr>
        <w:autoSpaceDE w:val="0"/>
        <w:autoSpaceDN w:val="0"/>
        <w:adjustRightInd w:val="0"/>
        <w:spacing w:after="120" w:line="240" w:lineRule="auto"/>
        <w:contextualSpacing/>
        <w:jc w:val="center"/>
        <w:rPr>
          <w:rFonts w:ascii="Adobe Caslon Pro" w:hAnsi="Adobe Caslon Pro" w:cs="Arial"/>
          <w:b/>
        </w:rPr>
      </w:pPr>
      <w:r w:rsidRPr="000907D3">
        <w:rPr>
          <w:rFonts w:ascii="Adobe Caslon Pro" w:hAnsi="Adobe Caslon Pro" w:cs="Arial"/>
          <w:b/>
          <w:sz w:val="20"/>
        </w:rPr>
        <w:t>Gráfica 1</w:t>
      </w:r>
      <w:r w:rsidR="00597798">
        <w:rPr>
          <w:rFonts w:ascii="Adobe Caslon Pro" w:hAnsi="Adobe Caslon Pro" w:cs="Arial"/>
          <w:b/>
          <w:sz w:val="20"/>
        </w:rPr>
        <w:t>4</w:t>
      </w:r>
      <w:r w:rsidRPr="000907D3">
        <w:rPr>
          <w:rFonts w:ascii="Adobe Caslon Pro" w:hAnsi="Adobe Caslon Pro" w:cs="Arial"/>
          <w:b/>
          <w:sz w:val="20"/>
        </w:rPr>
        <w:t>.</w:t>
      </w:r>
      <w:r w:rsidR="002E3253" w:rsidRPr="000907D3">
        <w:rPr>
          <w:rFonts w:ascii="Adobe Caslon Pro" w:hAnsi="Adobe Caslon Pro" w:cs="Arial"/>
          <w:b/>
          <w:sz w:val="20"/>
        </w:rPr>
        <w:t>P</w:t>
      </w:r>
      <w:r w:rsidR="00BA7A1D" w:rsidRPr="000907D3">
        <w:rPr>
          <w:rFonts w:ascii="Adobe Caslon Pro" w:hAnsi="Adobe Caslon Pro" w:cs="Arial"/>
          <w:b/>
          <w:sz w:val="20"/>
        </w:rPr>
        <w:t>oblación potencial por tipo de vertiente 2009-2013</w:t>
      </w:r>
      <w:r w:rsidR="001F2552" w:rsidRPr="000907D3">
        <w:rPr>
          <w:rFonts w:ascii="Adobe Caslon Pro" w:hAnsi="Adobe Caslon Pro" w:cs="Arial"/>
          <w:noProof/>
          <w:lang w:eastAsia="es-MX"/>
        </w:rPr>
        <w:drawing>
          <wp:inline distT="0" distB="0" distL="0" distR="0" wp14:anchorId="1D9F61C7" wp14:editId="0676DDBF">
            <wp:extent cx="4572000" cy="2484000"/>
            <wp:effectExtent l="0" t="0" r="19050" b="1206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51895" w:rsidRPr="000907D3" w:rsidRDefault="00451895" w:rsidP="0043286B">
      <w:pPr>
        <w:autoSpaceDE w:val="0"/>
        <w:autoSpaceDN w:val="0"/>
        <w:adjustRightInd w:val="0"/>
        <w:spacing w:after="120" w:line="240" w:lineRule="auto"/>
        <w:contextualSpacing/>
        <w:rPr>
          <w:rFonts w:ascii="Adobe Caslon Pro" w:hAnsi="Adobe Caslon Pro" w:cs="Arial"/>
          <w:sz w:val="18"/>
        </w:rPr>
      </w:pPr>
      <w:r w:rsidRPr="000907D3">
        <w:rPr>
          <w:rFonts w:ascii="Adobe Caslon Pro" w:hAnsi="Adobe Caslon Pro" w:cs="Arial"/>
          <w:sz w:val="18"/>
        </w:rPr>
        <w:t xml:space="preserve">Fuente. Elaboración propia con datos del </w:t>
      </w:r>
      <w:r w:rsidR="002F714E">
        <w:rPr>
          <w:rFonts w:ascii="Adobe Caslon Pro" w:hAnsi="Adobe Caslon Pro" w:cs="Arial"/>
          <w:sz w:val="18"/>
        </w:rPr>
        <w:t>INDESOL</w:t>
      </w:r>
      <w:r w:rsidR="00271526">
        <w:rPr>
          <w:rFonts w:ascii="Adobe Caslon Pro" w:hAnsi="Adobe Caslon Pro" w:cs="Arial"/>
          <w:sz w:val="18"/>
        </w:rPr>
        <w:t>.</w:t>
      </w:r>
    </w:p>
    <w:p w:rsidR="002E3253" w:rsidRPr="0018237B" w:rsidRDefault="002E3253" w:rsidP="0043286B">
      <w:pPr>
        <w:spacing w:after="120" w:line="240" w:lineRule="auto"/>
        <w:jc w:val="both"/>
        <w:rPr>
          <w:rFonts w:ascii="Adobe Caslon Pro" w:hAnsi="Adobe Caslon Pro" w:cs="Arial"/>
          <w:sz w:val="18"/>
        </w:rPr>
      </w:pPr>
    </w:p>
    <w:p w:rsidR="00457B1B" w:rsidRPr="000907D3" w:rsidRDefault="00457B1B" w:rsidP="0043286B">
      <w:pPr>
        <w:spacing w:after="120" w:line="240" w:lineRule="auto"/>
        <w:jc w:val="both"/>
        <w:rPr>
          <w:rFonts w:ascii="Adobe Caslon Pro" w:hAnsi="Adobe Caslon Pro" w:cs="Arial"/>
        </w:rPr>
      </w:pPr>
      <w:r w:rsidRPr="000907D3">
        <w:rPr>
          <w:rFonts w:ascii="Adobe Caslon Pro" w:hAnsi="Adobe Caslon Pro" w:cs="Arial"/>
        </w:rPr>
        <w:t xml:space="preserve">Los actores sociales históricamente se han caracterizado por la capacidad de incidir en la sociedad. </w:t>
      </w:r>
      <w:r w:rsidR="002232AA" w:rsidRPr="000907D3">
        <w:rPr>
          <w:rFonts w:ascii="Adobe Caslon Pro" w:hAnsi="Adobe Caslon Pro" w:cs="Arial"/>
        </w:rPr>
        <w:t xml:space="preserve">En este sentido, este es uno de los elementos que impulsa el PCS pues toma en consideración la trayectoria de los actores al momento de la dictaminación. De esta misma forma, </w:t>
      </w:r>
      <w:r w:rsidRPr="000907D3">
        <w:rPr>
          <w:rFonts w:ascii="Adobe Caslon Pro" w:hAnsi="Adobe Caslon Pro" w:cs="Arial"/>
        </w:rPr>
        <w:t>la población potencial se caracteriza por una larga trayectoria en el trabajo realizado en favor de los grupos en situación de vulnerabilidad y rezago, en promedio, el 43% de los actores sociales cuentan con más de 5 años de experiencia entre 2009 y 2013</w:t>
      </w:r>
      <w:r w:rsidR="00FF5029" w:rsidRPr="000907D3">
        <w:rPr>
          <w:rFonts w:ascii="Adobe Caslon Pro" w:hAnsi="Adobe Caslon Pro" w:cs="Arial"/>
        </w:rPr>
        <w:t xml:space="preserve"> (ver gráfica 1</w:t>
      </w:r>
      <w:r w:rsidR="00597798">
        <w:rPr>
          <w:rFonts w:ascii="Adobe Caslon Pro" w:hAnsi="Adobe Caslon Pro" w:cs="Arial"/>
        </w:rPr>
        <w:t>5</w:t>
      </w:r>
      <w:r w:rsidR="002232AA" w:rsidRPr="000907D3">
        <w:rPr>
          <w:rFonts w:ascii="Adobe Caslon Pro" w:hAnsi="Adobe Caslon Pro" w:cs="Arial"/>
        </w:rPr>
        <w:t>).</w:t>
      </w:r>
    </w:p>
    <w:p w:rsidR="00457B1B" w:rsidRPr="000907D3" w:rsidRDefault="00457B1B" w:rsidP="0043286B">
      <w:pPr>
        <w:pStyle w:val="Epgrafe"/>
        <w:spacing w:after="120"/>
        <w:contextualSpacing/>
        <w:jc w:val="center"/>
        <w:rPr>
          <w:rFonts w:ascii="Adobe Caslon Pro" w:hAnsi="Adobe Caslon Pro" w:cs="Arial"/>
          <w:color w:val="000000" w:themeColor="text1"/>
          <w:sz w:val="20"/>
          <w:szCs w:val="22"/>
        </w:rPr>
      </w:pPr>
      <w:r w:rsidRPr="000907D3">
        <w:rPr>
          <w:rFonts w:ascii="Adobe Caslon Pro" w:hAnsi="Adobe Caslon Pro" w:cs="Arial"/>
          <w:color w:val="000000" w:themeColor="text1"/>
          <w:sz w:val="20"/>
          <w:szCs w:val="22"/>
        </w:rPr>
        <w:t xml:space="preserve">Gráfica </w:t>
      </w:r>
      <w:r w:rsidR="00597798">
        <w:rPr>
          <w:rFonts w:ascii="Adobe Caslon Pro" w:hAnsi="Adobe Caslon Pro" w:cs="Arial"/>
          <w:color w:val="000000" w:themeColor="text1"/>
          <w:sz w:val="20"/>
          <w:szCs w:val="22"/>
        </w:rPr>
        <w:t>15</w:t>
      </w:r>
      <w:r w:rsidRPr="000907D3">
        <w:rPr>
          <w:rFonts w:ascii="Adobe Caslon Pro" w:hAnsi="Adobe Caslon Pro" w:cs="Arial"/>
          <w:color w:val="000000" w:themeColor="text1"/>
          <w:sz w:val="20"/>
          <w:szCs w:val="22"/>
        </w:rPr>
        <w:t>. Población potencial por tiempo de experiencia 2009-2013</w:t>
      </w:r>
    </w:p>
    <w:p w:rsidR="00457B1B" w:rsidRPr="000907D3" w:rsidRDefault="00457B1B" w:rsidP="0043286B">
      <w:pPr>
        <w:spacing w:after="120" w:line="240" w:lineRule="auto"/>
        <w:contextualSpacing/>
        <w:jc w:val="center"/>
        <w:rPr>
          <w:rFonts w:ascii="Adobe Caslon Pro" w:hAnsi="Adobe Caslon Pro" w:cs="Arial"/>
        </w:rPr>
      </w:pPr>
      <w:r w:rsidRPr="000907D3">
        <w:rPr>
          <w:rFonts w:ascii="Adobe Caslon Pro" w:hAnsi="Adobe Caslon Pro" w:cs="Arial"/>
          <w:noProof/>
          <w:lang w:eastAsia="es-MX"/>
        </w:rPr>
        <w:drawing>
          <wp:inline distT="0" distB="0" distL="0" distR="0" wp14:anchorId="1925A2AF" wp14:editId="53DED330">
            <wp:extent cx="4324350" cy="1800000"/>
            <wp:effectExtent l="0" t="0" r="19050" b="1016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457B1B" w:rsidRPr="000907D3" w:rsidRDefault="00457B1B" w:rsidP="0043286B">
      <w:pPr>
        <w:spacing w:after="120" w:line="240" w:lineRule="auto"/>
        <w:contextualSpacing/>
        <w:rPr>
          <w:rFonts w:ascii="Adobe Caslon Pro" w:hAnsi="Adobe Caslon Pro" w:cs="Arial"/>
          <w:sz w:val="18"/>
        </w:rPr>
      </w:pPr>
      <w:r w:rsidRPr="000907D3">
        <w:rPr>
          <w:rFonts w:ascii="Adobe Caslon Pro" w:hAnsi="Adobe Caslon Pro" w:cs="Arial"/>
          <w:sz w:val="18"/>
        </w:rPr>
        <w:t xml:space="preserve">Fuente. Elaboración propia con datos del </w:t>
      </w:r>
      <w:r w:rsidR="002F714E">
        <w:rPr>
          <w:rFonts w:ascii="Adobe Caslon Pro" w:hAnsi="Adobe Caslon Pro" w:cs="Arial"/>
          <w:sz w:val="18"/>
        </w:rPr>
        <w:t>INDESOL</w:t>
      </w:r>
      <w:r w:rsidR="00A01135">
        <w:rPr>
          <w:rFonts w:ascii="Adobe Caslon Pro" w:hAnsi="Adobe Caslon Pro" w:cs="Arial"/>
          <w:sz w:val="18"/>
        </w:rPr>
        <w:t>.</w:t>
      </w:r>
    </w:p>
    <w:p w:rsidR="0056695B" w:rsidRDefault="0056695B" w:rsidP="0043286B">
      <w:pPr>
        <w:spacing w:after="120" w:line="240" w:lineRule="auto"/>
        <w:jc w:val="both"/>
        <w:rPr>
          <w:rFonts w:ascii="Adobe Caslon Pro" w:hAnsi="Adobe Caslon Pro" w:cs="Arial"/>
        </w:rPr>
      </w:pPr>
    </w:p>
    <w:p w:rsidR="002232AA" w:rsidRDefault="002232AA" w:rsidP="0043286B">
      <w:pPr>
        <w:spacing w:after="120" w:line="240" w:lineRule="auto"/>
        <w:jc w:val="both"/>
        <w:rPr>
          <w:rFonts w:ascii="Adobe Caslon Pro" w:hAnsi="Adobe Caslon Pro" w:cs="Arial"/>
        </w:rPr>
      </w:pPr>
      <w:r w:rsidRPr="000907D3">
        <w:rPr>
          <w:rFonts w:ascii="Adobe Caslon Pro" w:hAnsi="Adobe Caslon Pro" w:cs="Arial"/>
        </w:rPr>
        <w:t xml:space="preserve">La capacidad de los </w:t>
      </w:r>
      <w:r w:rsidR="00160981">
        <w:rPr>
          <w:rFonts w:ascii="Adobe Caslon Pro" w:hAnsi="Adobe Caslon Pro" w:cs="Arial"/>
        </w:rPr>
        <w:t>actores sociales</w:t>
      </w:r>
      <w:r w:rsidRPr="000907D3">
        <w:rPr>
          <w:rFonts w:ascii="Adobe Caslon Pro" w:hAnsi="Adobe Caslon Pro" w:cs="Arial"/>
        </w:rPr>
        <w:t xml:space="preserve"> de incidir sobre los distintos grupos vulnerables depende de su ubicación geográfica pues las necesidades son distintas en las distintas poblaciones. Para la caracterización geográfica de los actores sociales se utilizarán dos variables. La primera se relaciona con la entidad de registro</w:t>
      </w:r>
      <w:r w:rsidR="003A3682">
        <w:rPr>
          <w:rFonts w:ascii="Adobe Caslon Pro" w:hAnsi="Adobe Caslon Pro" w:cs="Arial"/>
        </w:rPr>
        <w:t>, es decir, el</w:t>
      </w:r>
      <w:r w:rsidRPr="000907D3">
        <w:rPr>
          <w:rFonts w:ascii="Adobe Caslon Pro" w:hAnsi="Adobe Caslon Pro" w:cs="Arial"/>
        </w:rPr>
        <w:t xml:space="preserve"> </w:t>
      </w:r>
      <w:r w:rsidR="00C44E0F">
        <w:rPr>
          <w:rFonts w:ascii="Adobe Caslon Pro" w:hAnsi="Adobe Caslon Pro" w:cs="Arial"/>
        </w:rPr>
        <w:t>domi</w:t>
      </w:r>
      <w:r w:rsidR="003A3682">
        <w:rPr>
          <w:rFonts w:ascii="Adobe Caslon Pro" w:hAnsi="Adobe Caslon Pro" w:cs="Arial"/>
        </w:rPr>
        <w:t xml:space="preserve">cilio </w:t>
      </w:r>
      <w:r w:rsidR="00C44E0F">
        <w:rPr>
          <w:rFonts w:ascii="Adobe Caslon Pro" w:hAnsi="Adobe Caslon Pro" w:cs="Arial"/>
        </w:rPr>
        <w:t>donde se encuentra ubicado el actor social</w:t>
      </w:r>
      <w:r w:rsidR="003A3682">
        <w:rPr>
          <w:rFonts w:ascii="Adobe Caslon Pro" w:hAnsi="Adobe Caslon Pro" w:cs="Arial"/>
        </w:rPr>
        <w:t>.</w:t>
      </w:r>
      <w:r w:rsidR="00C44E0F">
        <w:rPr>
          <w:rFonts w:ascii="Adobe Caslon Pro" w:hAnsi="Adobe Caslon Pro" w:cs="Arial"/>
        </w:rPr>
        <w:t xml:space="preserve"> </w:t>
      </w:r>
      <w:r w:rsidR="003A3682">
        <w:rPr>
          <w:rFonts w:ascii="Adobe Caslon Pro" w:hAnsi="Adobe Caslon Pro" w:cs="Arial"/>
        </w:rPr>
        <w:t>La</w:t>
      </w:r>
      <w:r w:rsidRPr="000907D3">
        <w:rPr>
          <w:rFonts w:ascii="Adobe Caslon Pro" w:hAnsi="Adobe Caslon Pro" w:cs="Arial"/>
        </w:rPr>
        <w:t xml:space="preserve"> segunda</w:t>
      </w:r>
      <w:r w:rsidR="003A3682">
        <w:rPr>
          <w:rFonts w:ascii="Adobe Caslon Pro" w:hAnsi="Adobe Caslon Pro" w:cs="Arial"/>
        </w:rPr>
        <w:t xml:space="preserve"> </w:t>
      </w:r>
      <w:r w:rsidR="00C44E0F">
        <w:rPr>
          <w:rFonts w:ascii="Adobe Caslon Pro" w:hAnsi="Adobe Caslon Pro" w:cs="Arial"/>
        </w:rPr>
        <w:t xml:space="preserve">por su parte, tiene relación con </w:t>
      </w:r>
      <w:r w:rsidRPr="000907D3">
        <w:rPr>
          <w:rFonts w:ascii="Adobe Caslon Pro" w:hAnsi="Adobe Caslon Pro" w:cs="Arial"/>
        </w:rPr>
        <w:t xml:space="preserve">las entidades </w:t>
      </w:r>
      <w:r w:rsidR="003A3682">
        <w:rPr>
          <w:rFonts w:ascii="Adobe Caslon Pro" w:hAnsi="Adobe Caslon Pro" w:cs="Arial"/>
        </w:rPr>
        <w:t xml:space="preserve">en donde </w:t>
      </w:r>
      <w:r w:rsidRPr="000907D3">
        <w:rPr>
          <w:rFonts w:ascii="Adobe Caslon Pro" w:hAnsi="Adobe Caslon Pro" w:cs="Arial"/>
        </w:rPr>
        <w:t>los actores sociales planean realizar sus actividades y esta variable se entenderá como incidencia potencial.</w:t>
      </w:r>
    </w:p>
    <w:p w:rsidR="00731499" w:rsidRPr="000907D3" w:rsidRDefault="002232AA" w:rsidP="0043286B">
      <w:pPr>
        <w:spacing w:after="120" w:line="240" w:lineRule="auto"/>
        <w:jc w:val="both"/>
        <w:rPr>
          <w:rFonts w:ascii="Adobe Caslon Pro" w:hAnsi="Adobe Caslon Pro" w:cs="Arial"/>
        </w:rPr>
      </w:pPr>
      <w:r w:rsidRPr="000907D3">
        <w:rPr>
          <w:rFonts w:ascii="Adobe Caslon Pro" w:hAnsi="Adobe Caslon Pro" w:cs="Arial"/>
        </w:rPr>
        <w:t>Para la primera variable, de registro</w:t>
      </w:r>
      <w:r w:rsidR="001E2C48">
        <w:rPr>
          <w:rStyle w:val="Refdenotaalpie"/>
          <w:rFonts w:ascii="Adobe Caslon Pro" w:hAnsi="Adobe Caslon Pro" w:cs="Arial"/>
        </w:rPr>
        <w:footnoteReference w:id="23"/>
      </w:r>
      <w:r w:rsidRPr="000907D3">
        <w:rPr>
          <w:rFonts w:ascii="Adobe Caslon Pro" w:hAnsi="Adobe Caslon Pro" w:cs="Arial"/>
        </w:rPr>
        <w:t>, e</w:t>
      </w:r>
      <w:r w:rsidR="007834D9" w:rsidRPr="000907D3">
        <w:rPr>
          <w:rFonts w:ascii="Adobe Caslon Pro" w:hAnsi="Adobe Caslon Pro" w:cs="Arial"/>
        </w:rPr>
        <w:t>n promedio, en el periodo comprendido entre 2009 y 2013, a</w:t>
      </w:r>
      <w:r w:rsidR="001F2552" w:rsidRPr="000907D3">
        <w:rPr>
          <w:rFonts w:ascii="Adobe Caslon Pro" w:hAnsi="Adobe Caslon Pro" w:cs="Arial"/>
        </w:rPr>
        <w:t xml:space="preserve"> nivel nacional, el 50% </w:t>
      </w:r>
      <w:r w:rsidR="00451895" w:rsidRPr="000907D3">
        <w:rPr>
          <w:rFonts w:ascii="Adobe Caslon Pro" w:hAnsi="Adobe Caslon Pro" w:cs="Arial"/>
        </w:rPr>
        <w:t xml:space="preserve">de los actores sociales pertenecientes a la población potencial se concentran en </w:t>
      </w:r>
      <w:r w:rsidR="001F2552" w:rsidRPr="000907D3">
        <w:rPr>
          <w:rFonts w:ascii="Adobe Caslon Pro" w:hAnsi="Adobe Caslon Pro" w:cs="Arial"/>
        </w:rPr>
        <w:t xml:space="preserve">7 entidades </w:t>
      </w:r>
      <w:r w:rsidR="00451895" w:rsidRPr="000907D3">
        <w:rPr>
          <w:rFonts w:ascii="Adobe Caslon Pro" w:hAnsi="Adobe Caslon Pro" w:cs="Arial"/>
        </w:rPr>
        <w:t>federativas</w:t>
      </w:r>
      <w:r w:rsidRPr="000907D3">
        <w:rPr>
          <w:rFonts w:ascii="Adobe Caslon Pro" w:hAnsi="Adobe Caslon Pro" w:cs="Arial"/>
        </w:rPr>
        <w:t>:</w:t>
      </w:r>
      <w:r w:rsidR="001F2552" w:rsidRPr="000907D3">
        <w:rPr>
          <w:rFonts w:ascii="Adobe Caslon Pro" w:hAnsi="Adobe Caslon Pro" w:cs="Arial"/>
        </w:rPr>
        <w:t xml:space="preserve"> el Distrito Federal, el Estado de México, Oaxaca, Baja California,</w:t>
      </w:r>
      <w:r w:rsidR="00451895" w:rsidRPr="000907D3">
        <w:rPr>
          <w:rFonts w:ascii="Adobe Caslon Pro" w:hAnsi="Adobe Caslon Pro" w:cs="Arial"/>
        </w:rPr>
        <w:t xml:space="preserve"> Puebla, Michoacán y Veracruz</w:t>
      </w:r>
      <w:r w:rsidR="006844DC" w:rsidRPr="000907D3">
        <w:rPr>
          <w:rFonts w:ascii="Adobe Caslon Pro" w:hAnsi="Adobe Caslon Pro" w:cs="Arial"/>
        </w:rPr>
        <w:t>. De estas entidades, destaca el Distrito Federal que concentra a poco más del 20% del total de registro de actores sociales</w:t>
      </w:r>
      <w:r w:rsidR="00BE64C8" w:rsidRPr="000907D3">
        <w:rPr>
          <w:rFonts w:ascii="Adobe Caslon Pro" w:hAnsi="Adobe Caslon Pro" w:cs="Arial"/>
        </w:rPr>
        <w:t xml:space="preserve"> y que resulta natural por la gran actividad social y política de la capital del país</w:t>
      </w:r>
      <w:r w:rsidRPr="000907D3">
        <w:rPr>
          <w:rFonts w:ascii="Adobe Caslon Pro" w:hAnsi="Adobe Caslon Pro" w:cs="Arial"/>
        </w:rPr>
        <w:t>.</w:t>
      </w:r>
    </w:p>
    <w:p w:rsidR="00271526" w:rsidRDefault="00271526">
      <w:pPr>
        <w:spacing w:after="200"/>
        <w:rPr>
          <w:rFonts w:ascii="Adobe Caslon Pro" w:hAnsi="Adobe Caslon Pro" w:cs="Arial"/>
          <w:b/>
          <w:sz w:val="20"/>
        </w:rPr>
      </w:pPr>
      <w:r>
        <w:rPr>
          <w:rFonts w:ascii="Adobe Caslon Pro" w:hAnsi="Adobe Caslon Pro" w:cs="Arial"/>
          <w:b/>
          <w:sz w:val="20"/>
        </w:rPr>
        <w:br w:type="page"/>
      </w:r>
    </w:p>
    <w:p w:rsidR="007834D9" w:rsidRPr="000907D3" w:rsidRDefault="00114067" w:rsidP="0043286B">
      <w:pPr>
        <w:spacing w:after="120" w:line="240" w:lineRule="auto"/>
        <w:jc w:val="center"/>
        <w:rPr>
          <w:rFonts w:ascii="Adobe Caslon Pro" w:hAnsi="Adobe Caslon Pro" w:cs="Arial"/>
          <w:b/>
          <w:sz w:val="20"/>
        </w:rPr>
      </w:pPr>
      <w:r w:rsidRPr="000907D3">
        <w:rPr>
          <w:rFonts w:ascii="Adobe Caslon Pro" w:hAnsi="Adobe Caslon Pro" w:cs="Arial"/>
          <w:b/>
          <w:sz w:val="20"/>
        </w:rPr>
        <w:lastRenderedPageBreak/>
        <w:t>Gráfica</w:t>
      </w:r>
      <w:r w:rsidR="00742EF0" w:rsidRPr="000907D3">
        <w:rPr>
          <w:rFonts w:ascii="Adobe Caslon Pro" w:hAnsi="Adobe Caslon Pro" w:cs="Arial"/>
          <w:b/>
          <w:sz w:val="20"/>
        </w:rPr>
        <w:t xml:space="preserve"> 1</w:t>
      </w:r>
      <w:r w:rsidR="00597798">
        <w:rPr>
          <w:rFonts w:ascii="Adobe Caslon Pro" w:hAnsi="Adobe Caslon Pro" w:cs="Arial"/>
          <w:b/>
          <w:sz w:val="20"/>
        </w:rPr>
        <w:t>6</w:t>
      </w:r>
      <w:r w:rsidR="002E3253" w:rsidRPr="000907D3">
        <w:rPr>
          <w:rFonts w:ascii="Adobe Caslon Pro" w:hAnsi="Adobe Caslon Pro" w:cs="Arial"/>
          <w:b/>
          <w:sz w:val="20"/>
        </w:rPr>
        <w:t xml:space="preserve">. Población potencial por entidad </w:t>
      </w:r>
    </w:p>
    <w:p w:rsidR="007834D9" w:rsidRPr="000907D3" w:rsidRDefault="007834D9" w:rsidP="0043286B">
      <w:pPr>
        <w:spacing w:after="120" w:line="240" w:lineRule="auto"/>
        <w:jc w:val="center"/>
        <w:rPr>
          <w:rFonts w:ascii="Adobe Caslon Pro" w:hAnsi="Adobe Caslon Pro" w:cs="Arial"/>
          <w:b/>
        </w:rPr>
      </w:pPr>
      <w:r w:rsidRPr="00597798">
        <w:rPr>
          <w:rFonts w:ascii="Adobe Caslon Pro" w:hAnsi="Adobe Caslon Pro" w:cs="Arial"/>
          <w:noProof/>
          <w:lang w:eastAsia="es-MX"/>
        </w:rPr>
        <w:drawing>
          <wp:inline distT="0" distB="0" distL="0" distR="0" wp14:anchorId="2658BA72" wp14:editId="34F5715F">
            <wp:extent cx="6196084" cy="2415654"/>
            <wp:effectExtent l="0" t="0" r="14605" b="2286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F2552" w:rsidRDefault="001F2552" w:rsidP="0043286B">
      <w:pPr>
        <w:spacing w:after="120" w:line="240" w:lineRule="auto"/>
        <w:rPr>
          <w:rFonts w:ascii="Adobe Caslon Pro" w:hAnsi="Adobe Caslon Pro" w:cs="Arial"/>
          <w:sz w:val="18"/>
        </w:rPr>
      </w:pPr>
      <w:r w:rsidRPr="000907D3">
        <w:rPr>
          <w:rFonts w:ascii="Adobe Caslon Pro" w:hAnsi="Adobe Caslon Pro" w:cs="Arial"/>
          <w:sz w:val="18"/>
        </w:rPr>
        <w:t>Fuente. Elaboración propia con dat</w:t>
      </w:r>
      <w:r w:rsidR="00D86715" w:rsidRPr="000907D3">
        <w:rPr>
          <w:rFonts w:ascii="Adobe Caslon Pro" w:hAnsi="Adobe Caslon Pro" w:cs="Arial"/>
          <w:sz w:val="18"/>
        </w:rPr>
        <w:t xml:space="preserve">os del </w:t>
      </w:r>
      <w:r w:rsidR="002F714E">
        <w:rPr>
          <w:rFonts w:ascii="Adobe Caslon Pro" w:hAnsi="Adobe Caslon Pro" w:cs="Arial"/>
          <w:sz w:val="18"/>
        </w:rPr>
        <w:t>INDESOL</w:t>
      </w:r>
      <w:r w:rsidR="00271526">
        <w:rPr>
          <w:rFonts w:ascii="Adobe Caslon Pro" w:hAnsi="Adobe Caslon Pro" w:cs="Arial"/>
          <w:sz w:val="18"/>
        </w:rPr>
        <w:t>.</w:t>
      </w:r>
    </w:p>
    <w:p w:rsidR="0056695B" w:rsidRPr="0018237B" w:rsidRDefault="0056695B" w:rsidP="0043286B">
      <w:pPr>
        <w:spacing w:after="120" w:line="240" w:lineRule="auto"/>
        <w:rPr>
          <w:rFonts w:ascii="Adobe Caslon Pro" w:hAnsi="Adobe Caslon Pro" w:cs="Arial"/>
          <w:sz w:val="16"/>
        </w:rPr>
      </w:pPr>
    </w:p>
    <w:p w:rsidR="00900D4C" w:rsidRDefault="00900D4C" w:rsidP="0043286B">
      <w:pPr>
        <w:spacing w:after="120" w:line="240" w:lineRule="auto"/>
        <w:contextualSpacing/>
        <w:jc w:val="both"/>
        <w:rPr>
          <w:rFonts w:ascii="Adobe Caslon Pro" w:hAnsi="Adobe Caslon Pro" w:cs="Arial"/>
        </w:rPr>
      </w:pPr>
      <w:r w:rsidRPr="000907D3">
        <w:rPr>
          <w:rFonts w:ascii="Adobe Caslon Pro" w:hAnsi="Adobe Caslon Pro" w:cs="Arial"/>
        </w:rPr>
        <w:t xml:space="preserve">Para observar el impacto de los actores sociales, se procede a realizar comparaciones entre diversas variables relacionadas con la pobreza, marginación y vulnerabilidad con la posible incidencia de los actores sociales. La entidad de registro no refleja forzosamente las entidades en la que los actores sociales tienen incidencia; sin embargo, el registro del </w:t>
      </w:r>
      <w:r w:rsidR="002F714E">
        <w:rPr>
          <w:rFonts w:ascii="Adobe Caslon Pro" w:hAnsi="Adobe Caslon Pro" w:cs="Arial"/>
        </w:rPr>
        <w:t>INDESOL</w:t>
      </w:r>
      <w:r w:rsidRPr="000907D3">
        <w:rPr>
          <w:rFonts w:ascii="Adobe Caslon Pro" w:hAnsi="Adobe Caslon Pro" w:cs="Arial"/>
        </w:rPr>
        <w:t xml:space="preserve"> permite observar las entidades en las que estos actores trabajan</w:t>
      </w:r>
      <w:r w:rsidR="001E2C48">
        <w:rPr>
          <w:rStyle w:val="Refdenotaalpie"/>
          <w:rFonts w:ascii="Adobe Caslon Pro" w:hAnsi="Adobe Caslon Pro" w:cs="Arial"/>
        </w:rPr>
        <w:footnoteReference w:id="24"/>
      </w:r>
      <w:r w:rsidRPr="000907D3">
        <w:rPr>
          <w:rFonts w:ascii="Adobe Caslon Pro" w:hAnsi="Adobe Caslon Pro" w:cs="Arial"/>
        </w:rPr>
        <w:t xml:space="preserve">. En este sentido, se observa que el Distrito Federal, el Estado de México y Oaxaca son las entidades con mayor participación de los actores sociales. Destaca que no existe una diferencia </w:t>
      </w:r>
      <w:r w:rsidR="00664D02">
        <w:rPr>
          <w:rFonts w:ascii="Adobe Caslon Pro" w:hAnsi="Adobe Caslon Pro" w:cs="Arial"/>
        </w:rPr>
        <w:t xml:space="preserve">significativa </w:t>
      </w:r>
      <w:r w:rsidRPr="000907D3">
        <w:rPr>
          <w:rFonts w:ascii="Adobe Caslon Pro" w:hAnsi="Adobe Caslon Pro" w:cs="Arial"/>
        </w:rPr>
        <w:t xml:space="preserve">entre las entidades de registro y la presencia de actores sociales a excepción del Distrito Federal pero entidades como Tabasco y Aguascalientes tienen bajo registro de actores sociales y dichos actores no tienen una presencia significativa en estas entidades. </w:t>
      </w:r>
    </w:p>
    <w:p w:rsidR="0056695B" w:rsidRDefault="0056695B" w:rsidP="0043286B">
      <w:pPr>
        <w:spacing w:after="120" w:line="240" w:lineRule="auto"/>
        <w:contextualSpacing/>
        <w:jc w:val="both"/>
        <w:rPr>
          <w:rFonts w:ascii="Adobe Caslon Pro" w:hAnsi="Adobe Caslon Pro" w:cs="Arial"/>
          <w:sz w:val="16"/>
        </w:rPr>
      </w:pPr>
    </w:p>
    <w:p w:rsidR="00271526" w:rsidRDefault="00271526">
      <w:pPr>
        <w:spacing w:after="200"/>
        <w:rPr>
          <w:rFonts w:ascii="Adobe Caslon Pro" w:hAnsi="Adobe Caslon Pro" w:cs="Arial"/>
          <w:b/>
          <w:sz w:val="20"/>
        </w:rPr>
      </w:pPr>
      <w:r>
        <w:rPr>
          <w:rFonts w:ascii="Adobe Caslon Pro" w:hAnsi="Adobe Caslon Pro" w:cs="Arial"/>
          <w:b/>
          <w:sz w:val="20"/>
        </w:rPr>
        <w:br w:type="page"/>
      </w:r>
    </w:p>
    <w:p w:rsidR="00114067" w:rsidRPr="000907D3" w:rsidRDefault="00D34B25" w:rsidP="0043286B">
      <w:pPr>
        <w:spacing w:after="120" w:line="240" w:lineRule="auto"/>
        <w:jc w:val="center"/>
        <w:rPr>
          <w:rFonts w:ascii="Adobe Caslon Pro" w:hAnsi="Adobe Caslon Pro" w:cs="Arial"/>
          <w:b/>
          <w:sz w:val="20"/>
        </w:rPr>
      </w:pPr>
      <w:r w:rsidRPr="000907D3">
        <w:rPr>
          <w:rFonts w:ascii="Adobe Caslon Pro" w:hAnsi="Adobe Caslon Pro" w:cs="Arial"/>
          <w:b/>
          <w:sz w:val="20"/>
        </w:rPr>
        <w:lastRenderedPageBreak/>
        <w:t>Gráfica</w:t>
      </w:r>
      <w:r w:rsidR="00593DE6">
        <w:rPr>
          <w:rFonts w:ascii="Adobe Caslon Pro" w:hAnsi="Adobe Caslon Pro" w:cs="Arial"/>
          <w:b/>
          <w:sz w:val="20"/>
        </w:rPr>
        <w:t xml:space="preserve"> 17</w:t>
      </w:r>
      <w:r w:rsidR="00457B1B" w:rsidRPr="000907D3">
        <w:rPr>
          <w:rFonts w:ascii="Adobe Caslon Pro" w:hAnsi="Adobe Caslon Pro" w:cs="Arial"/>
          <w:b/>
          <w:sz w:val="20"/>
        </w:rPr>
        <w:t>.</w:t>
      </w:r>
      <w:r w:rsidR="00B155AD" w:rsidRPr="000907D3">
        <w:rPr>
          <w:rFonts w:ascii="Adobe Caslon Pro" w:hAnsi="Adobe Caslon Pro" w:cs="Arial"/>
          <w:b/>
          <w:sz w:val="20"/>
        </w:rPr>
        <w:t xml:space="preserve"> Concentración potencial de incidencia de actores sociales y pobreza extrema</w:t>
      </w:r>
    </w:p>
    <w:p w:rsidR="00412E9A" w:rsidRPr="000907D3" w:rsidRDefault="00412E9A" w:rsidP="0043286B">
      <w:pPr>
        <w:spacing w:after="120" w:line="240" w:lineRule="auto"/>
        <w:jc w:val="center"/>
        <w:rPr>
          <w:rFonts w:ascii="Adobe Caslon Pro" w:hAnsi="Adobe Caslon Pro" w:cs="Arial"/>
        </w:rPr>
      </w:pPr>
      <w:r w:rsidRPr="000907D3">
        <w:rPr>
          <w:rFonts w:ascii="Adobe Caslon Pro" w:hAnsi="Adobe Caslon Pro"/>
          <w:noProof/>
          <w:lang w:eastAsia="es-MX"/>
        </w:rPr>
        <w:drawing>
          <wp:inline distT="0" distB="0" distL="0" distR="0" wp14:anchorId="470B07B4" wp14:editId="0D335518">
            <wp:extent cx="6271327" cy="2340000"/>
            <wp:effectExtent l="0" t="0" r="15240" b="2222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14067" w:rsidRPr="000907D3" w:rsidRDefault="00114067" w:rsidP="0043286B">
      <w:pPr>
        <w:spacing w:after="120" w:line="240" w:lineRule="auto"/>
        <w:rPr>
          <w:rFonts w:ascii="Adobe Caslon Pro" w:hAnsi="Adobe Caslon Pro" w:cs="Arial"/>
          <w:sz w:val="18"/>
        </w:rPr>
      </w:pPr>
      <w:r w:rsidRPr="000907D3">
        <w:rPr>
          <w:rFonts w:ascii="Adobe Caslon Pro" w:hAnsi="Adobe Caslon Pro" w:cs="Arial"/>
          <w:sz w:val="18"/>
        </w:rPr>
        <w:t>Fuente. Elaboraci</w:t>
      </w:r>
      <w:r w:rsidR="00B155AD" w:rsidRPr="000907D3">
        <w:rPr>
          <w:rFonts w:ascii="Adobe Caslon Pro" w:hAnsi="Adobe Caslon Pro" w:cs="Arial"/>
          <w:sz w:val="18"/>
        </w:rPr>
        <w:t xml:space="preserve">ón propia con datos del </w:t>
      </w:r>
      <w:r w:rsidR="002F714E">
        <w:rPr>
          <w:rFonts w:ascii="Adobe Caslon Pro" w:hAnsi="Adobe Caslon Pro" w:cs="Arial"/>
          <w:sz w:val="18"/>
        </w:rPr>
        <w:t>INDESOL</w:t>
      </w:r>
      <w:r w:rsidR="00B155AD" w:rsidRPr="000907D3">
        <w:rPr>
          <w:rFonts w:ascii="Adobe Caslon Pro" w:hAnsi="Adobe Caslon Pro" w:cs="Arial"/>
          <w:sz w:val="18"/>
        </w:rPr>
        <w:t xml:space="preserve"> y </w:t>
      </w:r>
      <w:r w:rsidR="00AE5A03">
        <w:rPr>
          <w:rFonts w:ascii="Adobe Caslon Pro" w:hAnsi="Adobe Caslon Pro" w:cs="Arial"/>
          <w:sz w:val="18"/>
        </w:rPr>
        <w:t>CONEVAL</w:t>
      </w:r>
      <w:r w:rsidR="00B155AD" w:rsidRPr="000907D3">
        <w:rPr>
          <w:rFonts w:ascii="Adobe Caslon Pro" w:hAnsi="Adobe Caslon Pro" w:cs="Arial"/>
          <w:sz w:val="18"/>
        </w:rPr>
        <w:t>.</w:t>
      </w:r>
    </w:p>
    <w:p w:rsidR="00457B1B" w:rsidRDefault="001111E3" w:rsidP="0043286B">
      <w:pPr>
        <w:spacing w:before="240" w:after="120" w:line="240" w:lineRule="auto"/>
        <w:jc w:val="both"/>
        <w:rPr>
          <w:rFonts w:ascii="Adobe Caslon Pro" w:hAnsi="Adobe Caslon Pro" w:cs="Arial"/>
        </w:rPr>
      </w:pPr>
      <w:r>
        <w:rPr>
          <w:rFonts w:ascii="Adobe Caslon Pro" w:hAnsi="Adobe Caslon Pro" w:cs="Arial"/>
        </w:rPr>
        <w:t>Por su parte</w:t>
      </w:r>
      <w:r w:rsidR="00900D4C" w:rsidRPr="000907D3">
        <w:rPr>
          <w:rFonts w:ascii="Adobe Caslon Pro" w:hAnsi="Adobe Caslon Pro" w:cs="Arial"/>
        </w:rPr>
        <w:t xml:space="preserve">, la primera variable que se analiza es la pobreza extrema y se observa que el comportamiento no resulta particularmente descriptivo ya que únicamente </w:t>
      </w:r>
      <w:r>
        <w:rPr>
          <w:rFonts w:ascii="Adobe Caslon Pro" w:hAnsi="Adobe Caslon Pro" w:cs="Arial"/>
        </w:rPr>
        <w:t>existe</w:t>
      </w:r>
      <w:r w:rsidR="00900D4C" w:rsidRPr="000907D3">
        <w:rPr>
          <w:rFonts w:ascii="Adobe Caslon Pro" w:hAnsi="Adobe Caslon Pro" w:cs="Arial"/>
        </w:rPr>
        <w:t xml:space="preserve"> una gran concentración de actores sociales y una baja concentración de pobreza en el Distrito Federal. Cabe destacar que estudios recientes han demostrado que el Distrito Federal cuenta con un gran número de personas en pobreza extrema pero por el tamaño de la población de este espacio geográfico, la concentración de pobreza es baja. Destaca también el estado de Chiapas por la gran concentración de pobreza y la escaza concentración de actividad por parte de los actores sociales. Es decir, a pesar de que Chiapas tiene 99 actores sociales registrados en 2013, el impacto</w:t>
      </w:r>
      <w:r w:rsidR="00664D02">
        <w:rPr>
          <w:rFonts w:ascii="Adobe Caslon Pro" w:hAnsi="Adobe Caslon Pro" w:cs="Arial"/>
        </w:rPr>
        <w:t xml:space="preserve"> de los actores sociales registrados en otras entidades con incidencia en Chiapas es limitado. </w:t>
      </w:r>
    </w:p>
    <w:p w:rsidR="00B155AD" w:rsidRPr="000907D3" w:rsidRDefault="00B155AD" w:rsidP="0043286B">
      <w:pPr>
        <w:spacing w:after="120" w:line="240" w:lineRule="auto"/>
        <w:jc w:val="center"/>
        <w:rPr>
          <w:rFonts w:ascii="Adobe Caslon Pro" w:hAnsi="Adobe Caslon Pro" w:cs="Arial"/>
          <w:b/>
          <w:sz w:val="20"/>
        </w:rPr>
      </w:pPr>
      <w:r w:rsidRPr="000907D3">
        <w:rPr>
          <w:rFonts w:ascii="Adobe Caslon Pro" w:hAnsi="Adobe Caslon Pro" w:cs="Arial"/>
          <w:b/>
          <w:sz w:val="20"/>
        </w:rPr>
        <w:t xml:space="preserve">Gráfica </w:t>
      </w:r>
      <w:r w:rsidR="00593DE6">
        <w:rPr>
          <w:rFonts w:ascii="Adobe Caslon Pro" w:hAnsi="Adobe Caslon Pro" w:cs="Arial"/>
          <w:b/>
          <w:sz w:val="20"/>
        </w:rPr>
        <w:t>18</w:t>
      </w:r>
      <w:r w:rsidRPr="000907D3">
        <w:rPr>
          <w:rFonts w:ascii="Adobe Caslon Pro" w:hAnsi="Adobe Caslon Pro" w:cs="Arial"/>
          <w:b/>
          <w:sz w:val="20"/>
        </w:rPr>
        <w:t>. Concentración potencial de incidencia de actores sociales y el coeficiente de Gini</w:t>
      </w:r>
    </w:p>
    <w:p w:rsidR="00B155AD" w:rsidRPr="000907D3" w:rsidRDefault="00B155AD" w:rsidP="0043286B">
      <w:pPr>
        <w:spacing w:after="120" w:line="240" w:lineRule="auto"/>
        <w:jc w:val="both"/>
        <w:rPr>
          <w:rFonts w:ascii="Adobe Caslon Pro" w:hAnsi="Adobe Caslon Pro" w:cs="Arial"/>
        </w:rPr>
      </w:pPr>
      <w:r w:rsidRPr="000907D3">
        <w:rPr>
          <w:rFonts w:ascii="Adobe Caslon Pro" w:hAnsi="Adobe Caslon Pro"/>
          <w:noProof/>
          <w:lang w:eastAsia="es-MX"/>
        </w:rPr>
        <w:drawing>
          <wp:inline distT="0" distB="0" distL="0" distR="0" wp14:anchorId="05541EE3" wp14:editId="0731A18A">
            <wp:extent cx="6315075" cy="2628900"/>
            <wp:effectExtent l="0" t="0" r="9525" b="19050"/>
            <wp:docPr id="98" name="Gráfico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B155AD" w:rsidRDefault="00B155AD" w:rsidP="0043286B">
      <w:pPr>
        <w:spacing w:after="120" w:line="240" w:lineRule="auto"/>
        <w:rPr>
          <w:rFonts w:ascii="Adobe Caslon Pro" w:hAnsi="Adobe Caslon Pro" w:cs="Arial"/>
          <w:sz w:val="18"/>
        </w:rPr>
      </w:pPr>
      <w:r w:rsidRPr="000907D3">
        <w:rPr>
          <w:rFonts w:ascii="Adobe Caslon Pro" w:hAnsi="Adobe Caslon Pro" w:cs="Arial"/>
          <w:sz w:val="18"/>
        </w:rPr>
        <w:t xml:space="preserve">Fuente. Elaboración propia con datos del </w:t>
      </w:r>
      <w:r w:rsidR="002F714E">
        <w:rPr>
          <w:rFonts w:ascii="Adobe Caslon Pro" w:hAnsi="Adobe Caslon Pro" w:cs="Arial"/>
          <w:sz w:val="18"/>
        </w:rPr>
        <w:t>INDESOL</w:t>
      </w:r>
      <w:r w:rsidRPr="000907D3">
        <w:rPr>
          <w:rFonts w:ascii="Adobe Caslon Pro" w:hAnsi="Adobe Caslon Pro" w:cs="Arial"/>
          <w:sz w:val="18"/>
        </w:rPr>
        <w:t xml:space="preserve"> y </w:t>
      </w:r>
      <w:r w:rsidR="00AE5A03">
        <w:rPr>
          <w:rFonts w:ascii="Adobe Caslon Pro" w:hAnsi="Adobe Caslon Pro" w:cs="Arial"/>
          <w:sz w:val="18"/>
        </w:rPr>
        <w:t>CONEVAL</w:t>
      </w:r>
      <w:r w:rsidRPr="000907D3">
        <w:rPr>
          <w:rFonts w:ascii="Adobe Caslon Pro" w:hAnsi="Adobe Caslon Pro" w:cs="Arial"/>
          <w:sz w:val="18"/>
        </w:rPr>
        <w:t>.</w:t>
      </w:r>
    </w:p>
    <w:p w:rsidR="0018237B" w:rsidRPr="000907D3" w:rsidRDefault="0018237B" w:rsidP="0043286B">
      <w:pPr>
        <w:spacing w:after="120" w:line="240" w:lineRule="auto"/>
        <w:rPr>
          <w:rFonts w:ascii="Adobe Caslon Pro" w:hAnsi="Adobe Caslon Pro" w:cs="Arial"/>
          <w:sz w:val="18"/>
        </w:rPr>
      </w:pPr>
    </w:p>
    <w:p w:rsidR="00412E9A" w:rsidRDefault="00900D4C" w:rsidP="0043286B">
      <w:pPr>
        <w:spacing w:after="120" w:line="240" w:lineRule="auto"/>
        <w:jc w:val="both"/>
        <w:rPr>
          <w:rFonts w:ascii="Adobe Caslon Pro" w:hAnsi="Adobe Caslon Pro" w:cs="Arial"/>
        </w:rPr>
      </w:pPr>
      <w:r w:rsidRPr="000907D3">
        <w:rPr>
          <w:rFonts w:ascii="Adobe Caslon Pro" w:hAnsi="Adobe Caslon Pro" w:cs="Arial"/>
        </w:rPr>
        <w:t xml:space="preserve">El coeficiente de Gini permite medir la desigualdad </w:t>
      </w:r>
      <w:r w:rsidR="00AE67C8" w:rsidRPr="000907D3">
        <w:rPr>
          <w:rFonts w:ascii="Adobe Caslon Pro" w:hAnsi="Adobe Caslon Pro" w:cs="Arial"/>
        </w:rPr>
        <w:t xml:space="preserve">y toma valores entre cero y uno en dónde cero corresponde a la perfecta igualdad y uno a la perfecta desigualdad. Al contrastar este índice con la concentración potencial de la incidencia de actores sociales, se observa que </w:t>
      </w:r>
      <w:r w:rsidR="00B155AD" w:rsidRPr="000907D3">
        <w:rPr>
          <w:rFonts w:ascii="Adobe Caslon Pro" w:hAnsi="Adobe Caslon Pro" w:cs="Arial"/>
        </w:rPr>
        <w:t xml:space="preserve">Chiapas, Campeche, Guerrero y Tabasco presentan los grados más notorios de desigualdad y son también de los estados con la menor incidencia potencial de actores sociales. Por el contrario, estos actores sociales que se consideran parte de la población potencial, declaran que podrían incidir de mayor forma en entidades como el Distrito Federal y el Estado de México en dónde el coeficiente de Gini es menor y por tanto existe una menor desigualdad. </w:t>
      </w:r>
    </w:p>
    <w:p w:rsidR="00506C95" w:rsidRDefault="00506C95" w:rsidP="0043286B">
      <w:pPr>
        <w:spacing w:after="120"/>
        <w:rPr>
          <w:rFonts w:ascii="Adobe Caslon Pro" w:hAnsi="Adobe Caslon Pro" w:cs="Arial"/>
          <w:b/>
          <w:bCs/>
          <w:color w:val="000000" w:themeColor="text1"/>
          <w:sz w:val="20"/>
        </w:rPr>
      </w:pPr>
    </w:p>
    <w:p w:rsidR="00942300" w:rsidRPr="000907D3" w:rsidRDefault="001F2552" w:rsidP="0043286B">
      <w:pPr>
        <w:pStyle w:val="Epgrafe"/>
        <w:spacing w:after="120"/>
        <w:contextualSpacing/>
        <w:jc w:val="center"/>
        <w:rPr>
          <w:rFonts w:ascii="Adobe Caslon Pro" w:hAnsi="Adobe Caslon Pro" w:cs="Arial"/>
          <w:color w:val="000000" w:themeColor="text1"/>
          <w:sz w:val="20"/>
          <w:szCs w:val="22"/>
        </w:rPr>
      </w:pPr>
      <w:r w:rsidRPr="000907D3">
        <w:rPr>
          <w:rFonts w:ascii="Adobe Caslon Pro" w:hAnsi="Adobe Caslon Pro" w:cs="Arial"/>
          <w:color w:val="000000" w:themeColor="text1"/>
          <w:sz w:val="20"/>
          <w:szCs w:val="22"/>
        </w:rPr>
        <w:t xml:space="preserve">Gráfica </w:t>
      </w:r>
      <w:r w:rsidR="00593DE6">
        <w:rPr>
          <w:rFonts w:ascii="Adobe Caslon Pro" w:hAnsi="Adobe Caslon Pro" w:cs="Arial"/>
          <w:color w:val="000000" w:themeColor="text1"/>
          <w:sz w:val="20"/>
          <w:szCs w:val="22"/>
        </w:rPr>
        <w:t>19</w:t>
      </w:r>
      <w:r w:rsidRPr="000907D3">
        <w:rPr>
          <w:rFonts w:ascii="Adobe Caslon Pro" w:hAnsi="Adobe Caslon Pro" w:cs="Arial"/>
          <w:color w:val="000000" w:themeColor="text1"/>
          <w:sz w:val="20"/>
          <w:szCs w:val="22"/>
        </w:rPr>
        <w:t xml:space="preserve">. </w:t>
      </w:r>
      <w:r w:rsidR="00942300" w:rsidRPr="000907D3">
        <w:rPr>
          <w:rFonts w:ascii="Adobe Caslon Pro" w:hAnsi="Adobe Caslon Pro" w:cs="Arial"/>
          <w:color w:val="000000" w:themeColor="text1"/>
          <w:sz w:val="20"/>
          <w:szCs w:val="22"/>
        </w:rPr>
        <w:t xml:space="preserve">Distribución de la población potencial y su relación con el índice de desarrollo humano </w:t>
      </w:r>
    </w:p>
    <w:p w:rsidR="00942300" w:rsidRPr="000907D3" w:rsidRDefault="00942300" w:rsidP="0043286B">
      <w:pPr>
        <w:spacing w:after="120" w:line="240" w:lineRule="auto"/>
        <w:rPr>
          <w:rFonts w:ascii="Adobe Caslon Pro" w:hAnsi="Adobe Caslon Pro"/>
        </w:rPr>
      </w:pPr>
      <w:r w:rsidRPr="000907D3">
        <w:rPr>
          <w:rFonts w:ascii="Adobe Caslon Pro" w:hAnsi="Adobe Caslon Pro"/>
          <w:noProof/>
          <w:lang w:eastAsia="es-MX"/>
        </w:rPr>
        <w:drawing>
          <wp:inline distT="0" distB="0" distL="0" distR="0" wp14:anchorId="160EF205" wp14:editId="566756D9">
            <wp:extent cx="6497905" cy="2412000"/>
            <wp:effectExtent l="0" t="0" r="17780" b="26670"/>
            <wp:docPr id="102" name="Gráfico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942300" w:rsidRPr="000907D3" w:rsidRDefault="001F2552" w:rsidP="0043286B">
      <w:pPr>
        <w:spacing w:after="120" w:line="240" w:lineRule="auto"/>
        <w:contextualSpacing/>
        <w:rPr>
          <w:rFonts w:ascii="Adobe Caslon Pro" w:hAnsi="Adobe Caslon Pro" w:cs="Arial"/>
          <w:sz w:val="18"/>
        </w:rPr>
      </w:pPr>
      <w:r w:rsidRPr="000907D3">
        <w:rPr>
          <w:rFonts w:ascii="Adobe Caslon Pro" w:hAnsi="Adobe Caslon Pro" w:cs="Arial"/>
          <w:sz w:val="18"/>
        </w:rPr>
        <w:t xml:space="preserve">Fuente. Elaboración propia con datos del </w:t>
      </w:r>
      <w:r w:rsidR="002F714E">
        <w:rPr>
          <w:rFonts w:ascii="Adobe Caslon Pro" w:hAnsi="Adobe Caslon Pro" w:cs="Arial"/>
          <w:sz w:val="18"/>
        </w:rPr>
        <w:t>INDESOL</w:t>
      </w:r>
      <w:r w:rsidR="00942300" w:rsidRPr="000907D3">
        <w:rPr>
          <w:rFonts w:ascii="Adobe Caslon Pro" w:hAnsi="Adobe Caslon Pro" w:cs="Arial"/>
          <w:sz w:val="18"/>
        </w:rPr>
        <w:t xml:space="preserve"> y PNUD</w:t>
      </w:r>
      <w:r w:rsidR="00DD3B2D">
        <w:rPr>
          <w:rFonts w:ascii="Adobe Caslon Pro" w:hAnsi="Adobe Caslon Pro" w:cs="Arial"/>
          <w:sz w:val="18"/>
        </w:rPr>
        <w:t>.</w:t>
      </w:r>
    </w:p>
    <w:p w:rsidR="00942300" w:rsidRPr="000907D3" w:rsidRDefault="00942300" w:rsidP="0043286B">
      <w:pPr>
        <w:spacing w:after="120" w:line="240" w:lineRule="auto"/>
        <w:contextualSpacing/>
        <w:rPr>
          <w:rFonts w:ascii="Adobe Caslon Pro" w:hAnsi="Adobe Caslon Pro" w:cs="Arial"/>
        </w:rPr>
      </w:pPr>
    </w:p>
    <w:p w:rsidR="00942300" w:rsidRDefault="003C2EDB" w:rsidP="0043286B">
      <w:pPr>
        <w:spacing w:after="120" w:line="240" w:lineRule="auto"/>
        <w:contextualSpacing/>
        <w:jc w:val="both"/>
        <w:rPr>
          <w:rFonts w:ascii="Adobe Caslon Pro" w:hAnsi="Adobe Caslon Pro" w:cs="Arial"/>
        </w:rPr>
      </w:pPr>
      <w:r w:rsidRPr="000907D3">
        <w:rPr>
          <w:rFonts w:ascii="Adobe Caslon Pro" w:hAnsi="Adobe Caslon Pro" w:cs="Arial"/>
        </w:rPr>
        <w:t>Por su parte, el Índice de Desarrollo Humano (IDH) es un indicador de desarrollo humano por país, construido a partir de los parámetros de vida larga y saludable, educac</w:t>
      </w:r>
      <w:r w:rsidR="00664D02">
        <w:rPr>
          <w:rFonts w:ascii="Adobe Caslon Pro" w:hAnsi="Adobe Caslon Pro" w:cs="Arial"/>
        </w:rPr>
        <w:t>ión y nivel de vida digno por el Programa de las Naciones Unidas para el Desarrollo</w:t>
      </w:r>
      <w:r w:rsidR="0072459D" w:rsidRPr="000907D3">
        <w:rPr>
          <w:rFonts w:ascii="Adobe Caslon Pro" w:hAnsi="Adobe Caslon Pro" w:cs="Arial"/>
        </w:rPr>
        <w:t>.</w:t>
      </w:r>
      <w:r w:rsidR="003D28B2" w:rsidRPr="000907D3">
        <w:rPr>
          <w:rFonts w:ascii="Adobe Caslon Pro" w:hAnsi="Adobe Caslon Pro" w:cs="Arial"/>
        </w:rPr>
        <w:t xml:space="preserve"> El índice toma valores entre cero y uno y entre más grande sea el valor, mayor desarrollo existirá. Al cruzar esta información con la concentración de población potencial, </w:t>
      </w:r>
      <w:r w:rsidR="00942300" w:rsidRPr="000907D3">
        <w:rPr>
          <w:rFonts w:ascii="Adobe Caslon Pro" w:hAnsi="Adobe Caslon Pro" w:cs="Arial"/>
        </w:rPr>
        <w:t xml:space="preserve">no es posible establecer un patrón ya que existen entidades con un elevado grado de desarrollo y con una baja concentración de actores sociales como Baja California Sur o Aguascalientes. Por el contrario, existen entidades como Oaxaca con una gran concentración de incidencia de actores y un índice inferior al promedio nacional. En este sentido, se presume que la gran concentración de </w:t>
      </w:r>
      <w:r w:rsidR="000D6B3F" w:rsidRPr="000907D3">
        <w:rPr>
          <w:rFonts w:ascii="Adobe Caslon Pro" w:hAnsi="Adobe Caslon Pro" w:cs="Arial"/>
        </w:rPr>
        <w:t>actores</w:t>
      </w:r>
      <w:r w:rsidR="00325A24">
        <w:rPr>
          <w:rFonts w:ascii="Adobe Caslon Pro" w:hAnsi="Adobe Caslon Pro" w:cs="Arial"/>
        </w:rPr>
        <w:t xml:space="preserve"> </w:t>
      </w:r>
      <w:r w:rsidR="00942300" w:rsidRPr="000907D3">
        <w:rPr>
          <w:rFonts w:ascii="Adobe Caslon Pro" w:hAnsi="Adobe Caslon Pro" w:cs="Arial"/>
        </w:rPr>
        <w:t xml:space="preserve">sociales en esta entidad </w:t>
      </w:r>
      <w:r w:rsidR="00A138B3">
        <w:rPr>
          <w:rFonts w:ascii="Adobe Caslon Pro" w:hAnsi="Adobe Caslon Pro" w:cs="Arial"/>
        </w:rPr>
        <w:t xml:space="preserve">es </w:t>
      </w:r>
      <w:r w:rsidR="00942300" w:rsidRPr="000907D3">
        <w:rPr>
          <w:rFonts w:ascii="Adobe Caslon Pro" w:hAnsi="Adobe Caslon Pro" w:cs="Arial"/>
        </w:rPr>
        <w:t xml:space="preserve">consecuencia de la gran desigualdad y pobreza </w:t>
      </w:r>
      <w:r w:rsidR="00A138B3">
        <w:rPr>
          <w:rFonts w:ascii="Adobe Caslon Pro" w:hAnsi="Adobe Caslon Pro" w:cs="Arial"/>
        </w:rPr>
        <w:t>en que vive la población</w:t>
      </w:r>
      <w:r w:rsidR="00942300" w:rsidRPr="000907D3">
        <w:rPr>
          <w:rFonts w:ascii="Adobe Caslon Pro" w:hAnsi="Adobe Caslon Pro" w:cs="Arial"/>
        </w:rPr>
        <w:t xml:space="preserve">. </w:t>
      </w:r>
    </w:p>
    <w:p w:rsidR="00C52AB7" w:rsidRPr="000907D3" w:rsidRDefault="00C52AB7" w:rsidP="0043286B">
      <w:pPr>
        <w:spacing w:after="120" w:line="240" w:lineRule="auto"/>
        <w:contextualSpacing/>
        <w:jc w:val="both"/>
        <w:rPr>
          <w:rFonts w:ascii="Adobe Caslon Pro" w:hAnsi="Adobe Caslon Pro" w:cs="Arial"/>
        </w:rPr>
      </w:pPr>
    </w:p>
    <w:p w:rsidR="003D12D7" w:rsidRDefault="00942300" w:rsidP="0043286B">
      <w:pPr>
        <w:spacing w:after="120" w:line="240" w:lineRule="auto"/>
        <w:contextualSpacing/>
        <w:jc w:val="both"/>
        <w:rPr>
          <w:rFonts w:ascii="Adobe Caslon Pro" w:hAnsi="Adobe Caslon Pro" w:cs="Arial"/>
        </w:rPr>
      </w:pPr>
      <w:r w:rsidRPr="000907D3">
        <w:rPr>
          <w:rFonts w:ascii="Adobe Caslon Pro" w:hAnsi="Adobe Caslon Pro" w:cs="Arial"/>
        </w:rPr>
        <w:lastRenderedPageBreak/>
        <w:t xml:space="preserve">Finalmente, el índice </w:t>
      </w:r>
      <w:r w:rsidR="00A138B3">
        <w:rPr>
          <w:rFonts w:ascii="Adobe Caslon Pro" w:hAnsi="Adobe Caslon Pro" w:cs="Arial"/>
        </w:rPr>
        <w:t xml:space="preserve">de </w:t>
      </w:r>
      <w:r w:rsidRPr="000907D3">
        <w:rPr>
          <w:rFonts w:ascii="Adobe Caslon Pro" w:hAnsi="Adobe Caslon Pro" w:cs="Arial"/>
        </w:rPr>
        <w:t xml:space="preserve">percepción de redes sociales es una variable </w:t>
      </w:r>
      <w:r w:rsidR="003D28B2" w:rsidRPr="000907D3">
        <w:rPr>
          <w:rFonts w:ascii="Adobe Caslon Pro" w:hAnsi="Adobe Caslon Pro" w:cs="Arial"/>
        </w:rPr>
        <w:t xml:space="preserve">construida por </w:t>
      </w:r>
      <w:r w:rsidR="00AE5A03">
        <w:rPr>
          <w:rFonts w:ascii="Adobe Caslon Pro" w:hAnsi="Adobe Caslon Pro" w:cs="Arial"/>
        </w:rPr>
        <w:t>CONEVAL</w:t>
      </w:r>
      <w:r w:rsidR="00325A24">
        <w:rPr>
          <w:rFonts w:ascii="Adobe Caslon Pro" w:hAnsi="Adobe Caslon Pro" w:cs="Arial"/>
        </w:rPr>
        <w:t xml:space="preserve"> </w:t>
      </w:r>
      <w:r w:rsidRPr="000907D3">
        <w:rPr>
          <w:rFonts w:ascii="Adobe Caslon Pro" w:hAnsi="Adobe Caslon Pro" w:cs="Arial"/>
        </w:rPr>
        <w:t>que refleja la percepción que las personas de 12 años o más tienen acerca de la dificultad de contar con apoyo de redes sociales en situaciones hipotéticas</w:t>
      </w:r>
      <w:r w:rsidR="003D28B2" w:rsidRPr="000907D3">
        <w:rPr>
          <w:rFonts w:ascii="Adobe Caslon Pro" w:hAnsi="Adobe Caslon Pro" w:cs="Arial"/>
        </w:rPr>
        <w:t xml:space="preserve"> como </w:t>
      </w:r>
      <w:r w:rsidR="00FA1E0E" w:rsidRPr="000907D3">
        <w:rPr>
          <w:rFonts w:ascii="Adobe Caslon Pro" w:hAnsi="Adobe Caslon Pro" w:cs="Arial"/>
        </w:rPr>
        <w:t>ser cuidado en una enfermedad, obtener dinero, conseguir trabajo, ser acompañada o acompañado al doctor, obtener cooperación para realizar mejoras en la colonia o localidad o, cuidar a los niños y niñas del hogar.</w:t>
      </w:r>
    </w:p>
    <w:p w:rsidR="00C52AB7" w:rsidRPr="000907D3" w:rsidDel="003D12D7" w:rsidRDefault="00C52AB7" w:rsidP="0043286B">
      <w:pPr>
        <w:spacing w:after="120" w:line="240" w:lineRule="auto"/>
        <w:contextualSpacing/>
        <w:jc w:val="both"/>
        <w:rPr>
          <w:rFonts w:ascii="Adobe Caslon Pro" w:hAnsi="Adobe Caslon Pro" w:cs="Arial"/>
        </w:rPr>
      </w:pPr>
    </w:p>
    <w:p w:rsidR="00942300" w:rsidRPr="000907D3" w:rsidRDefault="00415CFF" w:rsidP="0043286B">
      <w:pPr>
        <w:spacing w:after="120" w:line="240" w:lineRule="auto"/>
        <w:contextualSpacing/>
        <w:jc w:val="both"/>
        <w:rPr>
          <w:rFonts w:ascii="Adobe Caslon Pro" w:hAnsi="Adobe Caslon Pro" w:cs="Arial"/>
        </w:rPr>
      </w:pPr>
      <w:r w:rsidRPr="000907D3">
        <w:rPr>
          <w:rFonts w:ascii="Adobe Caslon Pro" w:hAnsi="Adobe Caslon Pro" w:cs="Arial"/>
        </w:rPr>
        <w:t>En este sentido,</w:t>
      </w:r>
      <w:r w:rsidR="00A138B3">
        <w:rPr>
          <w:rFonts w:ascii="Adobe Caslon Pro" w:hAnsi="Adobe Caslon Pro" w:cs="Arial"/>
        </w:rPr>
        <w:t xml:space="preserve"> </w:t>
      </w:r>
      <w:r w:rsidR="00DF7244" w:rsidRPr="000907D3">
        <w:rPr>
          <w:rFonts w:ascii="Adobe Caslon Pro" w:hAnsi="Adobe Caslon Pro" w:cs="Arial"/>
        </w:rPr>
        <w:t xml:space="preserve">si bien el Distrito Federal tiene una mayor concentración de actores sociales, </w:t>
      </w:r>
      <w:r w:rsidR="00887D49">
        <w:rPr>
          <w:rFonts w:ascii="Adobe Caslon Pro" w:hAnsi="Adobe Caslon Pro" w:cs="Arial"/>
        </w:rPr>
        <w:t xml:space="preserve">su </w:t>
      </w:r>
      <w:r w:rsidR="00DF7244" w:rsidRPr="000907D3">
        <w:rPr>
          <w:rFonts w:ascii="Adobe Caslon Pro" w:hAnsi="Adobe Caslon Pro" w:cs="Arial"/>
        </w:rPr>
        <w:t xml:space="preserve">índice de percepción </w:t>
      </w:r>
      <w:r w:rsidR="00E52A51">
        <w:rPr>
          <w:rFonts w:ascii="Adobe Caslon Pro" w:hAnsi="Adobe Caslon Pro" w:cs="Arial"/>
        </w:rPr>
        <w:t>de redes sociales</w:t>
      </w:r>
      <w:r w:rsidR="00887D49">
        <w:rPr>
          <w:rFonts w:ascii="Adobe Caslon Pro" w:hAnsi="Adobe Caslon Pro" w:cs="Arial"/>
        </w:rPr>
        <w:t xml:space="preserve"> 2012</w:t>
      </w:r>
      <w:r w:rsidR="00E52A51">
        <w:rPr>
          <w:rFonts w:ascii="Adobe Caslon Pro" w:hAnsi="Adobe Caslon Pro" w:cs="Arial"/>
        </w:rPr>
        <w:t xml:space="preserve"> </w:t>
      </w:r>
      <w:r w:rsidR="00DF7244" w:rsidRPr="000907D3">
        <w:rPr>
          <w:rFonts w:ascii="Adobe Caslon Pro" w:hAnsi="Adobe Caslon Pro" w:cs="Arial"/>
        </w:rPr>
        <w:t>es medio</w:t>
      </w:r>
      <w:r w:rsidR="00887D49">
        <w:rPr>
          <w:rFonts w:ascii="Adobe Caslon Pro" w:hAnsi="Adobe Caslon Pro" w:cs="Arial"/>
        </w:rPr>
        <w:t>.</w:t>
      </w:r>
      <w:r w:rsidR="00E52A51">
        <w:rPr>
          <w:rFonts w:ascii="Adobe Caslon Pro" w:hAnsi="Adobe Caslon Pro" w:cs="Arial"/>
        </w:rPr>
        <w:t xml:space="preserve"> Por su parte, Nayarit, Nuevo León,</w:t>
      </w:r>
      <w:r w:rsidR="00664D02">
        <w:rPr>
          <w:rFonts w:ascii="Adobe Caslon Pro" w:hAnsi="Adobe Caslon Pro" w:cs="Arial"/>
        </w:rPr>
        <w:t xml:space="preserve"> Sinaloa y Sonora</w:t>
      </w:r>
      <w:r w:rsidR="00E52A51">
        <w:rPr>
          <w:rFonts w:ascii="Adobe Caslon Pro" w:hAnsi="Adobe Caslon Pro" w:cs="Arial"/>
        </w:rPr>
        <w:t xml:space="preserve"> muestran una </w:t>
      </w:r>
      <w:r w:rsidR="00DF7244" w:rsidRPr="000907D3">
        <w:rPr>
          <w:rFonts w:ascii="Adobe Caslon Pro" w:hAnsi="Adobe Caslon Pro" w:cs="Arial"/>
        </w:rPr>
        <w:t xml:space="preserve">percepción alta </w:t>
      </w:r>
      <w:r w:rsidR="00EF7D4D">
        <w:rPr>
          <w:rFonts w:ascii="Adobe Caslon Pro" w:hAnsi="Adobe Caslon Pro" w:cs="Arial"/>
        </w:rPr>
        <w:t>de r</w:t>
      </w:r>
      <w:r w:rsidR="00730DC0">
        <w:rPr>
          <w:rFonts w:ascii="Adobe Caslon Pro" w:hAnsi="Adobe Caslon Pro" w:cs="Arial"/>
        </w:rPr>
        <w:t xml:space="preserve">edes sociales, al mismo tiempo </w:t>
      </w:r>
      <w:r w:rsidR="00EF7D4D">
        <w:rPr>
          <w:rFonts w:ascii="Adobe Caslon Pro" w:hAnsi="Adobe Caslon Pro" w:cs="Arial"/>
        </w:rPr>
        <w:t xml:space="preserve">se evidencia una </w:t>
      </w:r>
      <w:r w:rsidR="00DF7244" w:rsidRPr="000907D3">
        <w:rPr>
          <w:rFonts w:ascii="Adobe Caslon Pro" w:hAnsi="Adobe Caslon Pro" w:cs="Arial"/>
        </w:rPr>
        <w:t>menor concentración de actores</w:t>
      </w:r>
      <w:r w:rsidR="00EF7D4D">
        <w:rPr>
          <w:rFonts w:ascii="Adobe Caslon Pro" w:hAnsi="Adobe Caslon Pro" w:cs="Arial"/>
        </w:rPr>
        <w:t xml:space="preserve"> sociales. </w:t>
      </w:r>
      <w:r w:rsidR="00730DC0">
        <w:rPr>
          <w:rFonts w:ascii="Adobe Caslon Pro" w:hAnsi="Adobe Caslon Pro" w:cs="Arial"/>
        </w:rPr>
        <w:t xml:space="preserve">Finalmente, Oaxaca, </w:t>
      </w:r>
      <w:r w:rsidR="00664D02">
        <w:rPr>
          <w:rFonts w:ascii="Adobe Caslon Pro" w:hAnsi="Adobe Caslon Pro" w:cs="Arial"/>
        </w:rPr>
        <w:t xml:space="preserve">el </w:t>
      </w:r>
      <w:r w:rsidR="00730DC0">
        <w:rPr>
          <w:rFonts w:ascii="Adobe Caslon Pro" w:hAnsi="Adobe Caslon Pro" w:cs="Arial"/>
        </w:rPr>
        <w:t>Estado de México e Hidalgo cuyo índice de redes sociales es bajo, muestra</w:t>
      </w:r>
      <w:r w:rsidR="001E4613">
        <w:rPr>
          <w:rFonts w:ascii="Adobe Caslon Pro" w:hAnsi="Adobe Caslon Pro" w:cs="Arial"/>
        </w:rPr>
        <w:t>n</w:t>
      </w:r>
      <w:r w:rsidR="00DF7244" w:rsidRPr="000907D3">
        <w:rPr>
          <w:rFonts w:ascii="Adobe Caslon Pro" w:hAnsi="Adobe Caslon Pro" w:cs="Arial"/>
        </w:rPr>
        <w:t xml:space="preserve"> en promedio, una mayor concentración </w:t>
      </w:r>
      <w:r w:rsidR="00730DC0">
        <w:rPr>
          <w:rFonts w:ascii="Adobe Caslon Pro" w:hAnsi="Adobe Caslon Pro" w:cs="Arial"/>
        </w:rPr>
        <w:t>de actores sociales que el resto del país</w:t>
      </w:r>
      <w:r w:rsidR="00DF7244" w:rsidRPr="000907D3">
        <w:rPr>
          <w:rFonts w:ascii="Adobe Caslon Pro" w:hAnsi="Adobe Caslon Pro" w:cs="Arial"/>
        </w:rPr>
        <w:t>.</w:t>
      </w:r>
    </w:p>
    <w:p w:rsidR="00DF7244" w:rsidRPr="000907D3" w:rsidRDefault="00DF7244" w:rsidP="0043286B">
      <w:pPr>
        <w:spacing w:after="120" w:line="240" w:lineRule="auto"/>
        <w:jc w:val="both"/>
        <w:rPr>
          <w:rFonts w:ascii="Adobe Caslon Pro" w:hAnsi="Adobe Caslon Pro" w:cs="Arial"/>
          <w:sz w:val="20"/>
        </w:rPr>
      </w:pPr>
    </w:p>
    <w:p w:rsidR="00DF7244" w:rsidRPr="000907D3" w:rsidRDefault="00DF7244" w:rsidP="0043286B">
      <w:pPr>
        <w:pStyle w:val="Epgrafe"/>
        <w:spacing w:after="120"/>
        <w:contextualSpacing/>
        <w:jc w:val="center"/>
        <w:rPr>
          <w:rFonts w:ascii="Adobe Caslon Pro" w:hAnsi="Adobe Caslon Pro" w:cs="Arial"/>
        </w:rPr>
      </w:pPr>
      <w:r w:rsidRPr="000907D3">
        <w:rPr>
          <w:rFonts w:ascii="Adobe Caslon Pro" w:hAnsi="Adobe Caslon Pro" w:cs="Arial"/>
          <w:color w:val="000000" w:themeColor="text1"/>
          <w:sz w:val="20"/>
          <w:szCs w:val="22"/>
        </w:rPr>
        <w:t xml:space="preserve">Gráfica </w:t>
      </w:r>
      <w:r w:rsidR="00742EF0" w:rsidRPr="000907D3">
        <w:rPr>
          <w:rFonts w:ascii="Adobe Caslon Pro" w:hAnsi="Adobe Caslon Pro" w:cs="Arial"/>
          <w:color w:val="000000" w:themeColor="text1"/>
          <w:sz w:val="20"/>
          <w:szCs w:val="22"/>
        </w:rPr>
        <w:t>2</w:t>
      </w:r>
      <w:r w:rsidR="00593DE6">
        <w:rPr>
          <w:rFonts w:ascii="Adobe Caslon Pro" w:hAnsi="Adobe Caslon Pro" w:cs="Arial"/>
          <w:color w:val="000000" w:themeColor="text1"/>
          <w:sz w:val="20"/>
          <w:szCs w:val="22"/>
        </w:rPr>
        <w:t>0</w:t>
      </w:r>
      <w:r w:rsidRPr="000907D3">
        <w:rPr>
          <w:rFonts w:ascii="Adobe Caslon Pro" w:hAnsi="Adobe Caslon Pro" w:cs="Arial"/>
          <w:color w:val="000000" w:themeColor="text1"/>
          <w:sz w:val="20"/>
          <w:szCs w:val="22"/>
        </w:rPr>
        <w:t xml:space="preserve">. Distribución de la población potencial y su relación con el índice de </w:t>
      </w:r>
      <w:r w:rsidR="00DC116D" w:rsidRPr="000907D3">
        <w:rPr>
          <w:rFonts w:ascii="Adobe Caslon Pro" w:hAnsi="Adobe Caslon Pro" w:cs="Arial"/>
          <w:color w:val="000000" w:themeColor="text1"/>
          <w:sz w:val="20"/>
          <w:szCs w:val="22"/>
        </w:rPr>
        <w:t>percepción de redes sociales</w:t>
      </w:r>
      <w:r w:rsidR="001F02EA" w:rsidRPr="000907D3">
        <w:rPr>
          <w:rFonts w:ascii="Adobe Caslon Pro" w:hAnsi="Adobe Caslon Pro"/>
          <w:noProof/>
          <w:lang w:eastAsia="es-MX"/>
        </w:rPr>
        <w:drawing>
          <wp:inline distT="0" distB="0" distL="0" distR="0" wp14:anchorId="557BA30A" wp14:editId="032A992B">
            <wp:extent cx="6336064" cy="2412000"/>
            <wp:effectExtent l="0" t="0" r="26670" b="26670"/>
            <wp:docPr id="106" name="Gráfico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DF7244" w:rsidRPr="008F5529" w:rsidRDefault="00DF7244" w:rsidP="0043286B">
      <w:pPr>
        <w:spacing w:after="120" w:line="240" w:lineRule="auto"/>
        <w:contextualSpacing/>
        <w:rPr>
          <w:rFonts w:ascii="Adobe Caslon Pro" w:hAnsi="Adobe Caslon Pro" w:cs="Arial"/>
          <w:sz w:val="18"/>
        </w:rPr>
      </w:pPr>
      <w:r w:rsidRPr="008F5529">
        <w:rPr>
          <w:rFonts w:ascii="Adobe Caslon Pro" w:hAnsi="Adobe Caslon Pro" w:cs="Arial"/>
          <w:sz w:val="18"/>
        </w:rPr>
        <w:t xml:space="preserve">Fuente. Elaboración propia con datos del </w:t>
      </w:r>
      <w:r w:rsidR="002F714E">
        <w:rPr>
          <w:rFonts w:ascii="Adobe Caslon Pro" w:hAnsi="Adobe Caslon Pro" w:cs="Arial"/>
          <w:sz w:val="18"/>
        </w:rPr>
        <w:t>INDESOL</w:t>
      </w:r>
      <w:r w:rsidRPr="008F5529">
        <w:rPr>
          <w:rFonts w:ascii="Adobe Caslon Pro" w:hAnsi="Adobe Caslon Pro" w:cs="Arial"/>
          <w:sz w:val="18"/>
        </w:rPr>
        <w:t xml:space="preserve"> y</w:t>
      </w:r>
      <w:r w:rsidR="00A138B3">
        <w:rPr>
          <w:rFonts w:ascii="Adobe Caslon Pro" w:hAnsi="Adobe Caslon Pro" w:cs="Arial"/>
          <w:sz w:val="18"/>
        </w:rPr>
        <w:t xml:space="preserve"> </w:t>
      </w:r>
      <w:r w:rsidR="00AE5A03">
        <w:rPr>
          <w:rFonts w:ascii="Adobe Caslon Pro" w:hAnsi="Adobe Caslon Pro" w:cs="Arial"/>
          <w:sz w:val="18"/>
        </w:rPr>
        <w:t>CONEVAL</w:t>
      </w:r>
      <w:r w:rsidR="00DC116D" w:rsidRPr="008F5529">
        <w:rPr>
          <w:rFonts w:ascii="Adobe Caslon Pro" w:hAnsi="Adobe Caslon Pro" w:cs="Arial"/>
          <w:sz w:val="18"/>
        </w:rPr>
        <w:t>.</w:t>
      </w:r>
    </w:p>
    <w:p w:rsidR="00114067" w:rsidRPr="000907D3" w:rsidRDefault="00114067" w:rsidP="0043286B">
      <w:pPr>
        <w:spacing w:after="120" w:line="240" w:lineRule="auto"/>
        <w:contextualSpacing/>
        <w:rPr>
          <w:rFonts w:ascii="Adobe Caslon Pro" w:hAnsi="Adobe Caslon Pro" w:cs="Arial"/>
        </w:rPr>
      </w:pPr>
    </w:p>
    <w:p w:rsidR="00271526" w:rsidRDefault="00271526">
      <w:pPr>
        <w:spacing w:after="200"/>
        <w:rPr>
          <w:rFonts w:ascii="Adobe Caslon Pro" w:eastAsia="Times New Roman" w:hAnsi="Adobe Caslon Pro"/>
          <w:b/>
          <w:bCs/>
          <w:color w:val="C00000"/>
          <w:sz w:val="26"/>
          <w:szCs w:val="26"/>
        </w:rPr>
      </w:pPr>
      <w:bookmarkStart w:id="88" w:name="_Toc376184707"/>
      <w:bookmarkStart w:id="89" w:name="_Toc380497373"/>
      <w:bookmarkStart w:id="90" w:name="_Toc263896839"/>
      <w:r>
        <w:br w:type="page"/>
      </w:r>
    </w:p>
    <w:p w:rsidR="00506C95" w:rsidRDefault="00506C95" w:rsidP="0043286B">
      <w:pPr>
        <w:pStyle w:val="Ttulo2"/>
        <w:spacing w:before="0" w:after="120" w:line="240" w:lineRule="auto"/>
      </w:pPr>
    </w:p>
    <w:p w:rsidR="00506C95" w:rsidRPr="004C0712" w:rsidRDefault="009A7A25" w:rsidP="0043286B">
      <w:pPr>
        <w:pStyle w:val="Ttulo2"/>
        <w:spacing w:before="0" w:after="120" w:line="240" w:lineRule="auto"/>
      </w:pPr>
      <w:bookmarkStart w:id="91" w:name="_Toc391925223"/>
      <w:r>
        <w:t xml:space="preserve">2.4 </w:t>
      </w:r>
      <w:r w:rsidR="00506C95" w:rsidRPr="004C0712">
        <w:t>Definición, identificación, cuantificación y caracterización de la población</w:t>
      </w:r>
      <w:r w:rsidR="00506C95">
        <w:t xml:space="preserve"> objetivo</w:t>
      </w:r>
      <w:bookmarkEnd w:id="91"/>
    </w:p>
    <w:p w:rsidR="00D25F5B" w:rsidRPr="00506C95" w:rsidRDefault="00D25F5B" w:rsidP="0043286B">
      <w:pPr>
        <w:spacing w:before="240" w:after="120"/>
        <w:rPr>
          <w:rFonts w:ascii="Adobe Caslon Pro" w:hAnsi="Adobe Caslon Pro"/>
          <w:b/>
        </w:rPr>
      </w:pPr>
      <w:r w:rsidRPr="00506C95">
        <w:rPr>
          <w:rFonts w:ascii="Adobe Caslon Pro" w:hAnsi="Adobe Caslon Pro"/>
          <w:b/>
        </w:rPr>
        <w:t>Definición de la población objetivo</w:t>
      </w:r>
      <w:bookmarkEnd w:id="88"/>
      <w:bookmarkEnd w:id="89"/>
      <w:bookmarkEnd w:id="90"/>
    </w:p>
    <w:p w:rsidR="00D25F5B" w:rsidRPr="000907D3" w:rsidRDefault="00CA46BE" w:rsidP="0043286B">
      <w:pPr>
        <w:spacing w:after="120" w:line="240" w:lineRule="auto"/>
        <w:jc w:val="both"/>
        <w:rPr>
          <w:rFonts w:ascii="Adobe Caslon Pro" w:hAnsi="Adobe Caslon Pro" w:cs="Arial"/>
          <w:b/>
        </w:rPr>
      </w:pPr>
      <w:r w:rsidRPr="000907D3">
        <w:rPr>
          <w:rFonts w:ascii="Adobe Caslon Pro" w:hAnsi="Adobe Caslon Pro" w:cs="Arial"/>
        </w:rPr>
        <w:t xml:space="preserve">La población objetivo es </w:t>
      </w:r>
      <w:r w:rsidR="00BF12D1" w:rsidRPr="000907D3">
        <w:rPr>
          <w:rFonts w:ascii="Adobe Caslon Pro" w:hAnsi="Adobe Caslon Pro" w:cs="Arial"/>
        </w:rPr>
        <w:t>un “</w:t>
      </w:r>
      <w:r w:rsidRPr="000907D3">
        <w:rPr>
          <w:rFonts w:ascii="Adobe Caslon Pro" w:hAnsi="Adobe Caslon Pro" w:cs="Arial"/>
        </w:rPr>
        <w:t>subconjunto de la población potencial que el Programa podría atender en el corto y mediano plazo, tomando para ello en consideración las limitaciones financieras e institucionales existentes</w:t>
      </w:r>
      <w:r w:rsidR="00BF12D1" w:rsidRPr="000907D3">
        <w:rPr>
          <w:rFonts w:ascii="Adobe Caslon Pro" w:hAnsi="Adobe Caslon Pro" w:cs="Arial"/>
        </w:rPr>
        <w:t>”.</w:t>
      </w:r>
      <w:r w:rsidR="00DC20BA">
        <w:rPr>
          <w:rFonts w:ascii="Adobe Caslon Pro" w:hAnsi="Adobe Caslon Pro" w:cs="Arial"/>
        </w:rPr>
        <w:t xml:space="preserve"> </w:t>
      </w:r>
      <w:r w:rsidR="00BF12D1" w:rsidRPr="000907D3">
        <w:rPr>
          <w:rFonts w:ascii="Adobe Caslon Pro" w:hAnsi="Adobe Caslon Pro" w:cs="Arial"/>
        </w:rPr>
        <w:t xml:space="preserve">En el presente documento, se define la población objetivo como </w:t>
      </w:r>
      <w:r w:rsidR="00101BF9" w:rsidRPr="000907D3">
        <w:rPr>
          <w:rFonts w:ascii="Adobe Caslon Pro" w:hAnsi="Adobe Caslon Pro" w:cs="Arial"/>
          <w:b/>
        </w:rPr>
        <w:t>el subconjunto</w:t>
      </w:r>
      <w:r w:rsidR="00664D02">
        <w:rPr>
          <w:rFonts w:ascii="Adobe Caslon Pro" w:hAnsi="Adobe Caslon Pro" w:cs="Arial"/>
          <w:b/>
        </w:rPr>
        <w:t xml:space="preserve"> de</w:t>
      </w:r>
      <w:r w:rsidR="00A4094B" w:rsidRPr="00A4094B">
        <w:rPr>
          <w:rFonts w:ascii="Adobe Caslon Pro" w:hAnsi="Adobe Caslon Pro" w:cs="Arial"/>
          <w:b/>
        </w:rPr>
        <w:t xml:space="preserve"> </w:t>
      </w:r>
      <w:r w:rsidR="00A4094B" w:rsidRPr="000907D3">
        <w:rPr>
          <w:rFonts w:ascii="Adobe Caslon Pro" w:hAnsi="Adobe Caslon Pro" w:cs="Arial"/>
          <w:b/>
        </w:rPr>
        <w:t>los actores sociales que cuentan con proyectos de desarrollo social que coadyuvan al desarrollo de grupos y regiones que viven en situación de vulnerabilidad y rezago</w:t>
      </w:r>
      <w:r w:rsidR="00DC20BA">
        <w:rPr>
          <w:rFonts w:ascii="Adobe Caslon Pro" w:hAnsi="Adobe Caslon Pro" w:cs="Arial"/>
          <w:b/>
        </w:rPr>
        <w:t xml:space="preserve"> </w:t>
      </w:r>
      <w:r w:rsidR="00077104" w:rsidRPr="000907D3">
        <w:rPr>
          <w:rFonts w:ascii="Adobe Caslon Pro" w:hAnsi="Adobe Caslon Pro" w:cs="Arial"/>
          <w:b/>
        </w:rPr>
        <w:t xml:space="preserve">de </w:t>
      </w:r>
      <w:r w:rsidR="00024EED" w:rsidRPr="000907D3">
        <w:rPr>
          <w:rFonts w:ascii="Adobe Caslon Pro" w:hAnsi="Adobe Caslon Pro" w:cs="Arial"/>
          <w:b/>
        </w:rPr>
        <w:t xml:space="preserve">actores sociales dentro </w:t>
      </w:r>
      <w:r w:rsidR="00101BF9" w:rsidRPr="000907D3">
        <w:rPr>
          <w:rFonts w:ascii="Adobe Caslon Pro" w:hAnsi="Adobe Caslon Pro" w:cs="Arial"/>
          <w:b/>
        </w:rPr>
        <w:t>de la población potencial que cumple</w:t>
      </w:r>
      <w:r w:rsidR="00024EED" w:rsidRPr="000907D3">
        <w:rPr>
          <w:rFonts w:ascii="Adobe Caslon Pro" w:hAnsi="Adobe Caslon Pro" w:cs="Arial"/>
          <w:b/>
        </w:rPr>
        <w:t>n</w:t>
      </w:r>
      <w:r w:rsidR="00DC20BA">
        <w:rPr>
          <w:rFonts w:ascii="Adobe Caslon Pro" w:hAnsi="Adobe Caslon Pro" w:cs="Arial"/>
          <w:b/>
        </w:rPr>
        <w:t xml:space="preserve"> </w:t>
      </w:r>
      <w:r w:rsidR="00D25F5B" w:rsidRPr="000907D3">
        <w:rPr>
          <w:rFonts w:ascii="Adobe Caslon Pro" w:hAnsi="Adobe Caslon Pro" w:cs="Arial"/>
          <w:b/>
        </w:rPr>
        <w:t>los criterios de selección vigentes</w:t>
      </w:r>
      <w:r w:rsidR="00024EED" w:rsidRPr="000907D3">
        <w:rPr>
          <w:rFonts w:ascii="Adobe Caslon Pro" w:hAnsi="Adobe Caslon Pro" w:cs="Arial"/>
          <w:b/>
        </w:rPr>
        <w:t xml:space="preserve"> para </w:t>
      </w:r>
      <w:r w:rsidR="00675E46" w:rsidRPr="000907D3">
        <w:rPr>
          <w:rFonts w:ascii="Adobe Caslon Pro" w:hAnsi="Adobe Caslon Pro" w:cs="Arial"/>
          <w:b/>
        </w:rPr>
        <w:t xml:space="preserve">realizar </w:t>
      </w:r>
      <w:r w:rsidR="00024EED" w:rsidRPr="000907D3">
        <w:rPr>
          <w:rFonts w:ascii="Adobe Caslon Pro" w:hAnsi="Adobe Caslon Pro" w:cs="Arial"/>
          <w:b/>
        </w:rPr>
        <w:t>proyectos de desarrollo social</w:t>
      </w:r>
      <w:r w:rsidR="00101BF9" w:rsidRPr="000907D3">
        <w:rPr>
          <w:rFonts w:ascii="Adobe Caslon Pro" w:hAnsi="Adobe Caslon Pro" w:cs="Arial"/>
        </w:rPr>
        <w:t>,</w:t>
      </w:r>
      <w:r w:rsidR="00DC20BA">
        <w:rPr>
          <w:rFonts w:ascii="Adobe Caslon Pro" w:hAnsi="Adobe Caslon Pro" w:cs="Arial"/>
        </w:rPr>
        <w:t xml:space="preserve"> </w:t>
      </w:r>
      <w:r w:rsidR="00101BF9" w:rsidRPr="000907D3">
        <w:rPr>
          <w:rFonts w:ascii="Adobe Caslon Pro" w:hAnsi="Adobe Caslon Pro" w:cs="Arial"/>
        </w:rPr>
        <w:t>la cual al cierre de 2013 asciende a</w:t>
      </w:r>
      <w:r w:rsidR="00101BF9" w:rsidRPr="000907D3">
        <w:rPr>
          <w:rFonts w:ascii="Adobe Caslon Pro" w:hAnsi="Adobe Caslon Pro" w:cs="Arial"/>
          <w:b/>
        </w:rPr>
        <w:t xml:space="preserve"> 5,049 actores sociales. </w:t>
      </w:r>
    </w:p>
    <w:p w:rsidR="0018237B" w:rsidRDefault="0018237B" w:rsidP="0043286B">
      <w:pPr>
        <w:pStyle w:val="Ttulo3"/>
        <w:spacing w:before="0" w:after="120" w:line="240" w:lineRule="auto"/>
        <w:rPr>
          <w:rFonts w:eastAsia="Calibri"/>
        </w:rPr>
      </w:pPr>
      <w:bookmarkStart w:id="92" w:name="_Toc376103667"/>
      <w:bookmarkStart w:id="93" w:name="_Toc376184708"/>
      <w:bookmarkStart w:id="94" w:name="_Toc380497374"/>
      <w:bookmarkStart w:id="95" w:name="_Toc263896840"/>
      <w:bookmarkEnd w:id="92"/>
    </w:p>
    <w:p w:rsidR="00D25F5B" w:rsidRPr="00506C95" w:rsidRDefault="00D25F5B" w:rsidP="0043286B">
      <w:pPr>
        <w:spacing w:after="120"/>
        <w:rPr>
          <w:rFonts w:ascii="Adobe Caslon Pro" w:hAnsi="Adobe Caslon Pro"/>
          <w:b/>
        </w:rPr>
      </w:pPr>
      <w:r w:rsidRPr="00506C95">
        <w:rPr>
          <w:rFonts w:ascii="Adobe Caslon Pro" w:hAnsi="Adobe Caslon Pro"/>
          <w:b/>
        </w:rPr>
        <w:t>Identificación de la población objetivo</w:t>
      </w:r>
      <w:bookmarkEnd w:id="93"/>
      <w:bookmarkEnd w:id="94"/>
      <w:bookmarkEnd w:id="95"/>
    </w:p>
    <w:p w:rsidR="00101BF9" w:rsidRPr="000907D3" w:rsidRDefault="00101BF9" w:rsidP="0043286B">
      <w:pPr>
        <w:spacing w:after="120" w:line="240" w:lineRule="auto"/>
        <w:jc w:val="both"/>
        <w:rPr>
          <w:rFonts w:ascii="Adobe Caslon Pro" w:hAnsi="Adobe Caslon Pro" w:cs="Arial"/>
        </w:rPr>
      </w:pPr>
      <w:r w:rsidRPr="000907D3">
        <w:rPr>
          <w:rFonts w:ascii="Adobe Caslon Pro" w:hAnsi="Adobe Caslon Pro" w:cs="Arial"/>
        </w:rPr>
        <w:t xml:space="preserve">La población </w:t>
      </w:r>
      <w:r w:rsidR="00C07A6F" w:rsidRPr="000907D3">
        <w:rPr>
          <w:rFonts w:ascii="Adobe Caslon Pro" w:hAnsi="Adobe Caslon Pro" w:cs="Arial"/>
        </w:rPr>
        <w:t>objetivo</w:t>
      </w:r>
      <w:r w:rsidR="00415CFF" w:rsidRPr="000907D3">
        <w:rPr>
          <w:rFonts w:ascii="Adobe Caslon Pro" w:hAnsi="Adobe Caslon Pro" w:cs="Arial"/>
        </w:rPr>
        <w:t xml:space="preserve"> es el segmento de la población potencial en el que el</w:t>
      </w:r>
      <w:r w:rsidR="00F24615">
        <w:rPr>
          <w:rFonts w:ascii="Adobe Caslon Pro" w:hAnsi="Adobe Caslon Pro" w:cs="Arial"/>
        </w:rPr>
        <w:t xml:space="preserve"> PCS</w:t>
      </w:r>
      <w:r w:rsidR="00415CFF" w:rsidRPr="000907D3">
        <w:rPr>
          <w:rFonts w:ascii="Adobe Caslon Pro" w:hAnsi="Adobe Caslon Pro" w:cs="Arial"/>
        </w:rPr>
        <w:t xml:space="preserve"> puede incidir. Para cuantificarla, se consideran las características que un proyecto debe tener para ser elegido y apoyado. Para ello, se identifican</w:t>
      </w:r>
      <w:r w:rsidR="00C07A6F" w:rsidRPr="000907D3">
        <w:rPr>
          <w:rFonts w:ascii="Adobe Caslon Pro" w:hAnsi="Adobe Caslon Pro" w:cs="Arial"/>
        </w:rPr>
        <w:t xml:space="preserve"> aquellos ac</w:t>
      </w:r>
      <w:r w:rsidR="00457CDF" w:rsidRPr="000907D3">
        <w:rPr>
          <w:rFonts w:ascii="Adobe Caslon Pro" w:hAnsi="Adobe Caslon Pro" w:cs="Arial"/>
        </w:rPr>
        <w:t>t</w:t>
      </w:r>
      <w:r w:rsidR="00C07A6F" w:rsidRPr="000907D3">
        <w:rPr>
          <w:rFonts w:ascii="Adobe Caslon Pro" w:hAnsi="Adobe Caslon Pro" w:cs="Arial"/>
        </w:rPr>
        <w:t xml:space="preserve">ores sociales que al menos en una ocasión han presentado un proyecto </w:t>
      </w:r>
      <w:r w:rsidR="00D753B8" w:rsidRPr="000907D3">
        <w:rPr>
          <w:rFonts w:ascii="Adobe Caslon Pro" w:hAnsi="Adobe Caslon Pro" w:cs="Arial"/>
        </w:rPr>
        <w:t xml:space="preserve">de desarrollo social </w:t>
      </w:r>
      <w:r w:rsidR="00C07A6F" w:rsidRPr="000907D3">
        <w:rPr>
          <w:rFonts w:ascii="Adobe Caslon Pro" w:hAnsi="Adobe Caslon Pro" w:cs="Arial"/>
        </w:rPr>
        <w:t>con carácter de elegible</w:t>
      </w:r>
      <w:r w:rsidR="00457CDF" w:rsidRPr="000907D3">
        <w:rPr>
          <w:rFonts w:ascii="Adobe Caslon Pro" w:hAnsi="Adobe Caslon Pro" w:cs="Arial"/>
        </w:rPr>
        <w:t xml:space="preserve"> en</w:t>
      </w:r>
      <w:r w:rsidR="00C07A6F" w:rsidRPr="000907D3">
        <w:rPr>
          <w:rFonts w:ascii="Adobe Caslon Pro" w:hAnsi="Adobe Caslon Pro" w:cs="Arial"/>
        </w:rPr>
        <w:t xml:space="preserve"> el periodo 2009-2013.</w:t>
      </w:r>
      <w:r w:rsidR="00457CDF" w:rsidRPr="000907D3">
        <w:rPr>
          <w:rFonts w:ascii="Adobe Caslon Pro" w:hAnsi="Adobe Caslon Pro" w:cs="Arial"/>
        </w:rPr>
        <w:t xml:space="preserve"> El carácter de elegible se obtiene tras el proceso de dictaminación de proyectos referido en las Reglas de Operación vigentes del Programa, donde entre otros atributos se valoran los siguientes criterios: </w:t>
      </w:r>
    </w:p>
    <w:p w:rsidR="00C07A6F" w:rsidRPr="000907D3" w:rsidRDefault="00C07A6F" w:rsidP="0043286B">
      <w:pPr>
        <w:pStyle w:val="Prrafodelista"/>
        <w:numPr>
          <w:ilvl w:val="0"/>
          <w:numId w:val="14"/>
        </w:numPr>
        <w:spacing w:after="120" w:line="240" w:lineRule="auto"/>
        <w:jc w:val="both"/>
        <w:rPr>
          <w:rFonts w:ascii="Adobe Caslon Pro" w:hAnsi="Adobe Caslon Pro" w:cs="Arial"/>
        </w:rPr>
      </w:pPr>
      <w:r w:rsidRPr="000907D3">
        <w:rPr>
          <w:rFonts w:ascii="Adobe Caslon Pro" w:hAnsi="Adobe Caslon Pro" w:cs="Arial"/>
        </w:rPr>
        <w:t xml:space="preserve">Sujetarse a los objetivos y </w:t>
      </w:r>
      <w:r w:rsidR="00457CDF" w:rsidRPr="000907D3">
        <w:rPr>
          <w:rFonts w:ascii="Adobe Caslon Pro" w:hAnsi="Adobe Caslon Pro" w:cs="Arial"/>
        </w:rPr>
        <w:t>vertientes establecidas</w:t>
      </w:r>
      <w:r w:rsidR="00DA49FE" w:rsidRPr="000907D3">
        <w:rPr>
          <w:rFonts w:ascii="Adobe Caslon Pro" w:hAnsi="Adobe Caslon Pro" w:cs="Arial"/>
        </w:rPr>
        <w:t>.</w:t>
      </w:r>
    </w:p>
    <w:p w:rsidR="00C07A6F" w:rsidRPr="000907D3" w:rsidRDefault="00C07A6F" w:rsidP="0043286B">
      <w:pPr>
        <w:pStyle w:val="Prrafodelista"/>
        <w:numPr>
          <w:ilvl w:val="0"/>
          <w:numId w:val="14"/>
        </w:numPr>
        <w:spacing w:after="120" w:line="240" w:lineRule="auto"/>
        <w:jc w:val="both"/>
        <w:rPr>
          <w:rFonts w:ascii="Adobe Caslon Pro" w:hAnsi="Adobe Caslon Pro" w:cs="Arial"/>
        </w:rPr>
      </w:pPr>
      <w:r w:rsidRPr="000907D3">
        <w:rPr>
          <w:rFonts w:ascii="Adobe Caslon Pro" w:hAnsi="Adobe Caslon Pro" w:cs="Arial"/>
        </w:rPr>
        <w:t>Cumpli</w:t>
      </w:r>
      <w:r w:rsidR="00457CDF" w:rsidRPr="000907D3">
        <w:rPr>
          <w:rFonts w:ascii="Adobe Caslon Pro" w:hAnsi="Adobe Caslon Pro" w:cs="Arial"/>
        </w:rPr>
        <w:t>r con los montos y criterios presupuestales</w:t>
      </w:r>
      <w:r w:rsidR="00DC20BA">
        <w:rPr>
          <w:rFonts w:ascii="Adobe Caslon Pro" w:hAnsi="Adobe Caslon Pro" w:cs="Arial"/>
        </w:rPr>
        <w:t xml:space="preserve"> </w:t>
      </w:r>
      <w:r w:rsidR="002A50BD" w:rsidRPr="000907D3">
        <w:rPr>
          <w:rFonts w:ascii="Adobe Caslon Pro" w:hAnsi="Adobe Caslon Pro" w:cs="Arial"/>
        </w:rPr>
        <w:t>definidos</w:t>
      </w:r>
      <w:r w:rsidR="00DA49FE" w:rsidRPr="000907D3">
        <w:rPr>
          <w:rFonts w:ascii="Adobe Caslon Pro" w:hAnsi="Adobe Caslon Pro" w:cs="Arial"/>
        </w:rPr>
        <w:t>.</w:t>
      </w:r>
    </w:p>
    <w:p w:rsidR="00C07A6F" w:rsidRPr="000907D3" w:rsidRDefault="00457CDF" w:rsidP="0043286B">
      <w:pPr>
        <w:pStyle w:val="Prrafodelista"/>
        <w:numPr>
          <w:ilvl w:val="0"/>
          <w:numId w:val="14"/>
        </w:numPr>
        <w:spacing w:after="120" w:line="240" w:lineRule="auto"/>
        <w:jc w:val="both"/>
        <w:rPr>
          <w:rFonts w:ascii="Adobe Caslon Pro" w:hAnsi="Adobe Caslon Pro" w:cs="Arial"/>
        </w:rPr>
      </w:pPr>
      <w:r w:rsidRPr="000907D3">
        <w:rPr>
          <w:rFonts w:ascii="Adobe Caslon Pro" w:hAnsi="Adobe Caslon Pro" w:cs="Arial"/>
        </w:rPr>
        <w:t>Contar con un problema a atender claramente definido, estableciendo las causas que dan origen</w:t>
      </w:r>
      <w:r w:rsidR="00DA49FE" w:rsidRPr="000907D3">
        <w:rPr>
          <w:rFonts w:ascii="Adobe Caslon Pro" w:hAnsi="Adobe Caslon Pro" w:cs="Arial"/>
        </w:rPr>
        <w:t xml:space="preserve"> al mismo.</w:t>
      </w:r>
    </w:p>
    <w:p w:rsidR="00C07A6F" w:rsidRPr="000907D3" w:rsidRDefault="00457CDF" w:rsidP="0043286B">
      <w:pPr>
        <w:pStyle w:val="Prrafodelista"/>
        <w:numPr>
          <w:ilvl w:val="0"/>
          <w:numId w:val="14"/>
        </w:numPr>
        <w:spacing w:after="120" w:line="240" w:lineRule="auto"/>
        <w:jc w:val="both"/>
        <w:rPr>
          <w:rFonts w:ascii="Adobe Caslon Pro" w:hAnsi="Adobe Caslon Pro" w:cs="Arial"/>
        </w:rPr>
      </w:pPr>
      <w:r w:rsidRPr="000907D3">
        <w:rPr>
          <w:rFonts w:ascii="Adobe Caslon Pro" w:hAnsi="Adobe Caslon Pro" w:cs="Arial"/>
        </w:rPr>
        <w:t xml:space="preserve">Contar con un proyecto </w:t>
      </w:r>
      <w:r w:rsidR="00C07A6F" w:rsidRPr="000907D3">
        <w:rPr>
          <w:rFonts w:ascii="Adobe Caslon Pro" w:hAnsi="Adobe Caslon Pro" w:cs="Arial"/>
        </w:rPr>
        <w:t>dirigido a población en situación de pobreza, exclusión, marginación, discapacidad, desigualdad por género o vulnerabilidad social o bien, generar conocimientos que contribuyan a la mejora de sus condiciones de vida; privilegiando los principios de respeto a la dignidad de</w:t>
      </w:r>
      <w:r w:rsidR="00DA49FE" w:rsidRPr="000907D3">
        <w:rPr>
          <w:rFonts w:ascii="Adobe Caslon Pro" w:hAnsi="Adobe Caslon Pro" w:cs="Arial"/>
        </w:rPr>
        <w:t xml:space="preserve"> las personas e inclusión.</w:t>
      </w:r>
    </w:p>
    <w:p w:rsidR="00C07A6F" w:rsidRPr="000907D3" w:rsidRDefault="00C07A6F" w:rsidP="0043286B">
      <w:pPr>
        <w:pStyle w:val="Prrafodelista"/>
        <w:numPr>
          <w:ilvl w:val="0"/>
          <w:numId w:val="14"/>
        </w:numPr>
        <w:spacing w:after="120" w:line="240" w:lineRule="auto"/>
        <w:jc w:val="both"/>
        <w:rPr>
          <w:rFonts w:ascii="Adobe Caslon Pro" w:hAnsi="Adobe Caslon Pro" w:cs="Arial"/>
        </w:rPr>
      </w:pPr>
      <w:r w:rsidRPr="000907D3">
        <w:rPr>
          <w:rFonts w:ascii="Adobe Caslon Pro" w:hAnsi="Adobe Caslon Pro" w:cs="Arial"/>
        </w:rPr>
        <w:t xml:space="preserve">Plantear criterios </w:t>
      </w:r>
      <w:r w:rsidR="00457CDF" w:rsidRPr="000907D3">
        <w:rPr>
          <w:rFonts w:ascii="Adobe Caslon Pro" w:hAnsi="Adobe Caslon Pro" w:cs="Arial"/>
        </w:rPr>
        <w:t xml:space="preserve">viables </w:t>
      </w:r>
      <w:r w:rsidRPr="000907D3">
        <w:rPr>
          <w:rFonts w:ascii="Adobe Caslon Pro" w:hAnsi="Adobe Caslon Pro" w:cs="Arial"/>
        </w:rPr>
        <w:t>para seleccionar e identificar las necesidade</w:t>
      </w:r>
      <w:r w:rsidR="00DA49FE" w:rsidRPr="000907D3">
        <w:rPr>
          <w:rFonts w:ascii="Adobe Caslon Pro" w:hAnsi="Adobe Caslon Pro" w:cs="Arial"/>
        </w:rPr>
        <w:t>s de la población beneficiaria.</w:t>
      </w:r>
    </w:p>
    <w:p w:rsidR="00C07A6F" w:rsidRPr="000907D3" w:rsidRDefault="00C07A6F" w:rsidP="0043286B">
      <w:pPr>
        <w:pStyle w:val="Prrafodelista"/>
        <w:numPr>
          <w:ilvl w:val="0"/>
          <w:numId w:val="14"/>
        </w:numPr>
        <w:spacing w:after="120" w:line="240" w:lineRule="auto"/>
        <w:jc w:val="both"/>
        <w:rPr>
          <w:rFonts w:ascii="Adobe Caslon Pro" w:hAnsi="Adobe Caslon Pro" w:cs="Arial"/>
        </w:rPr>
      </w:pPr>
      <w:r w:rsidRPr="000907D3">
        <w:rPr>
          <w:rFonts w:ascii="Adobe Caslon Pro" w:hAnsi="Adobe Caslon Pro" w:cs="Arial"/>
        </w:rPr>
        <w:t xml:space="preserve">Mantener coherencia entre el nivel o niveles de impacto que se prevé lograr y las líneas de acción </w:t>
      </w:r>
      <w:r w:rsidR="00DA49FE" w:rsidRPr="000907D3">
        <w:rPr>
          <w:rFonts w:ascii="Adobe Caslon Pro" w:hAnsi="Adobe Caslon Pro" w:cs="Arial"/>
        </w:rPr>
        <w:t>propuestas.</w:t>
      </w:r>
    </w:p>
    <w:p w:rsidR="00101BF9" w:rsidRPr="000907D3" w:rsidRDefault="00C07A6F" w:rsidP="0043286B">
      <w:pPr>
        <w:pStyle w:val="Prrafodelista"/>
        <w:numPr>
          <w:ilvl w:val="0"/>
          <w:numId w:val="14"/>
        </w:numPr>
        <w:spacing w:after="120" w:line="240" w:lineRule="auto"/>
        <w:jc w:val="both"/>
        <w:rPr>
          <w:rFonts w:ascii="Adobe Caslon Pro" w:hAnsi="Adobe Caslon Pro" w:cs="Arial"/>
        </w:rPr>
      </w:pPr>
      <w:r w:rsidRPr="000907D3">
        <w:rPr>
          <w:rFonts w:ascii="Adobe Caslon Pro" w:hAnsi="Adobe Caslon Pro" w:cs="Arial"/>
        </w:rPr>
        <w:t>Mantener concordancia entre diagnóstico, objetivos, líneas de acción y acciones del proyecto</w:t>
      </w:r>
    </w:p>
    <w:p w:rsidR="0018237B" w:rsidRDefault="0018237B" w:rsidP="0043286B">
      <w:pPr>
        <w:pStyle w:val="Ttulo3"/>
        <w:spacing w:before="0" w:after="120" w:line="240" w:lineRule="auto"/>
        <w:rPr>
          <w:rFonts w:eastAsia="Calibri"/>
        </w:rPr>
      </w:pPr>
      <w:bookmarkStart w:id="96" w:name="_Toc376184709"/>
      <w:bookmarkStart w:id="97" w:name="_Toc380497375"/>
      <w:bookmarkStart w:id="98" w:name="_Toc263896841"/>
    </w:p>
    <w:p w:rsidR="00E20DAC" w:rsidRPr="00506C95" w:rsidRDefault="00D25F5B" w:rsidP="0043286B">
      <w:pPr>
        <w:spacing w:after="120"/>
        <w:rPr>
          <w:rFonts w:ascii="Adobe Caslon Pro" w:hAnsi="Adobe Caslon Pro"/>
          <w:b/>
        </w:rPr>
      </w:pPr>
      <w:r w:rsidRPr="00506C95">
        <w:rPr>
          <w:rFonts w:ascii="Adobe Caslon Pro" w:hAnsi="Adobe Caslon Pro"/>
          <w:b/>
        </w:rPr>
        <w:t>Cuantificación de la población objetivo</w:t>
      </w:r>
      <w:bookmarkStart w:id="99" w:name="_Toc376184710"/>
      <w:bookmarkStart w:id="100" w:name="_Toc380497376"/>
      <w:bookmarkEnd w:id="96"/>
      <w:bookmarkEnd w:id="97"/>
      <w:bookmarkEnd w:id="98"/>
    </w:p>
    <w:p w:rsidR="0048658F" w:rsidRDefault="00E20DAC" w:rsidP="0043286B">
      <w:pPr>
        <w:pStyle w:val="Epgrafe"/>
        <w:spacing w:after="120"/>
        <w:jc w:val="both"/>
        <w:rPr>
          <w:rFonts w:ascii="Adobe Caslon Pro" w:hAnsi="Adobe Caslon Pro" w:cs="Arial"/>
          <w:b w:val="0"/>
          <w:bCs w:val="0"/>
          <w:color w:val="auto"/>
          <w:sz w:val="22"/>
          <w:szCs w:val="22"/>
        </w:rPr>
      </w:pPr>
      <w:r w:rsidRPr="000907D3">
        <w:rPr>
          <w:rFonts w:ascii="Adobe Caslon Pro" w:hAnsi="Adobe Caslon Pro" w:cs="Arial"/>
          <w:b w:val="0"/>
          <w:bCs w:val="0"/>
          <w:color w:val="auto"/>
          <w:sz w:val="22"/>
          <w:szCs w:val="22"/>
        </w:rPr>
        <w:t xml:space="preserve">Al cierre de 2013, se estima que existían un total 5,049 actores sociales que cumplen con los criterios de selección establecidos, donde 4,089 son </w:t>
      </w:r>
      <w:r w:rsidR="00940E10">
        <w:rPr>
          <w:rFonts w:ascii="Adobe Caslon Pro" w:hAnsi="Adobe Caslon Pro" w:cs="Arial"/>
          <w:b w:val="0"/>
          <w:bCs w:val="0"/>
          <w:color w:val="auto"/>
          <w:sz w:val="22"/>
          <w:szCs w:val="22"/>
        </w:rPr>
        <w:t>OSC</w:t>
      </w:r>
      <w:r w:rsidRPr="000907D3">
        <w:rPr>
          <w:rFonts w:ascii="Adobe Caslon Pro" w:hAnsi="Adobe Caslon Pro" w:cs="Arial"/>
          <w:b w:val="0"/>
          <w:bCs w:val="0"/>
          <w:color w:val="auto"/>
          <w:sz w:val="22"/>
          <w:szCs w:val="22"/>
        </w:rPr>
        <w:t xml:space="preserve"> y 60 son </w:t>
      </w:r>
      <w:r w:rsidR="00664D02">
        <w:rPr>
          <w:rFonts w:ascii="Adobe Caslon Pro" w:hAnsi="Adobe Caslon Pro" w:cs="Arial"/>
          <w:b w:val="0"/>
          <w:bCs w:val="0"/>
          <w:color w:val="auto"/>
          <w:sz w:val="22"/>
          <w:szCs w:val="22"/>
        </w:rPr>
        <w:t>IES</w:t>
      </w:r>
      <w:r w:rsidRPr="000907D3">
        <w:rPr>
          <w:rFonts w:ascii="Adobe Caslon Pro" w:hAnsi="Adobe Caslon Pro" w:cs="Arial"/>
          <w:b w:val="0"/>
          <w:bCs w:val="0"/>
          <w:color w:val="auto"/>
          <w:sz w:val="22"/>
          <w:szCs w:val="22"/>
        </w:rPr>
        <w:t xml:space="preserve"> o </w:t>
      </w:r>
      <w:r w:rsidR="00160981">
        <w:rPr>
          <w:rFonts w:ascii="Adobe Caslon Pro" w:hAnsi="Adobe Caslon Pro" w:cs="Arial"/>
          <w:b w:val="0"/>
          <w:bCs w:val="0"/>
          <w:color w:val="auto"/>
          <w:sz w:val="22"/>
          <w:szCs w:val="22"/>
        </w:rPr>
        <w:t>CI</w:t>
      </w:r>
      <w:r w:rsidRPr="000907D3">
        <w:rPr>
          <w:rFonts w:ascii="Adobe Caslon Pro" w:hAnsi="Adobe Caslon Pro" w:cs="Arial"/>
          <w:b w:val="0"/>
          <w:bCs w:val="0"/>
          <w:color w:val="auto"/>
          <w:sz w:val="22"/>
          <w:szCs w:val="22"/>
        </w:rPr>
        <w:t xml:space="preserve"> lo que representa el72% de la población potencial.</w:t>
      </w:r>
    </w:p>
    <w:p w:rsidR="00E20DAC" w:rsidRPr="005B6EB1" w:rsidRDefault="00E20DAC" w:rsidP="0043286B">
      <w:pPr>
        <w:pStyle w:val="Epgrafe"/>
        <w:spacing w:after="120"/>
        <w:ind w:left="360"/>
        <w:jc w:val="center"/>
        <w:rPr>
          <w:rFonts w:ascii="Adobe Caslon Pro" w:hAnsi="Adobe Caslon Pro" w:cs="Arial"/>
          <w:color w:val="000000"/>
          <w:sz w:val="20"/>
          <w:szCs w:val="20"/>
        </w:rPr>
      </w:pPr>
      <w:r w:rsidRPr="005B6EB1">
        <w:rPr>
          <w:rFonts w:ascii="Adobe Caslon Pro" w:hAnsi="Adobe Caslon Pro" w:cs="Arial"/>
          <w:color w:val="000000"/>
          <w:sz w:val="20"/>
          <w:szCs w:val="20"/>
        </w:rPr>
        <w:t xml:space="preserve">Cuadro </w:t>
      </w:r>
      <w:r w:rsidR="0099028D" w:rsidRPr="005B6EB1">
        <w:rPr>
          <w:rFonts w:ascii="Adobe Caslon Pro" w:hAnsi="Adobe Caslon Pro" w:cs="Arial"/>
          <w:color w:val="000000"/>
          <w:sz w:val="20"/>
          <w:szCs w:val="20"/>
        </w:rPr>
        <w:t>5</w:t>
      </w:r>
      <w:r w:rsidRPr="005B6EB1">
        <w:rPr>
          <w:rFonts w:ascii="Adobe Caslon Pro" w:hAnsi="Adobe Caslon Pro" w:cs="Arial"/>
          <w:color w:val="000000"/>
          <w:sz w:val="20"/>
          <w:szCs w:val="20"/>
        </w:rPr>
        <w:t>. Población Objetivo del PCS</w:t>
      </w:r>
    </w:p>
    <w:tbl>
      <w:tblPr>
        <w:tblW w:w="6860" w:type="dxa"/>
        <w:jc w:val="center"/>
        <w:tblInd w:w="55" w:type="dxa"/>
        <w:tblCellMar>
          <w:left w:w="70" w:type="dxa"/>
          <w:right w:w="70" w:type="dxa"/>
        </w:tblCellMar>
        <w:tblLook w:val="04A0" w:firstRow="1" w:lastRow="0" w:firstColumn="1" w:lastColumn="0" w:noHBand="0" w:noVBand="1"/>
      </w:tblPr>
      <w:tblGrid>
        <w:gridCol w:w="6220"/>
        <w:gridCol w:w="640"/>
      </w:tblGrid>
      <w:tr w:rsidR="002601A7" w:rsidRPr="002601A7" w:rsidTr="002601A7">
        <w:trPr>
          <w:trHeight w:val="420"/>
          <w:jc w:val="center"/>
        </w:trPr>
        <w:tc>
          <w:tcPr>
            <w:tcW w:w="622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2601A7" w:rsidRPr="002601A7" w:rsidRDefault="002601A7" w:rsidP="00271526">
            <w:pPr>
              <w:spacing w:after="0" w:line="240" w:lineRule="auto"/>
              <w:contextualSpacing/>
              <w:jc w:val="center"/>
              <w:rPr>
                <w:rFonts w:ascii="Adobe Caslon Pro" w:eastAsia="Times New Roman" w:hAnsi="Adobe Caslon Pro"/>
                <w:b/>
                <w:bCs/>
                <w:color w:val="000000"/>
                <w:lang w:eastAsia="es-MX"/>
              </w:rPr>
            </w:pPr>
            <w:r w:rsidRPr="002601A7">
              <w:rPr>
                <w:rFonts w:ascii="Adobe Caslon Pro" w:eastAsia="Times New Roman" w:hAnsi="Adobe Caslon Pro" w:cs="Arial"/>
                <w:b/>
                <w:bCs/>
                <w:color w:val="000000"/>
                <w:lang w:eastAsia="es-MX"/>
              </w:rPr>
              <w:t>Actores Sociales</w:t>
            </w:r>
          </w:p>
        </w:tc>
        <w:tc>
          <w:tcPr>
            <w:tcW w:w="640" w:type="dxa"/>
            <w:tcBorders>
              <w:top w:val="single" w:sz="4" w:space="0" w:color="auto"/>
              <w:left w:val="nil"/>
              <w:bottom w:val="single" w:sz="4" w:space="0" w:color="auto"/>
              <w:right w:val="single" w:sz="4" w:space="0" w:color="auto"/>
            </w:tcBorders>
            <w:shd w:val="clear" w:color="000000" w:fill="BFBFBF"/>
            <w:vAlign w:val="center"/>
            <w:hideMark/>
          </w:tcPr>
          <w:p w:rsidR="002601A7" w:rsidRPr="002601A7" w:rsidRDefault="002601A7" w:rsidP="00271526">
            <w:pPr>
              <w:spacing w:after="0" w:line="240" w:lineRule="auto"/>
              <w:contextualSpacing/>
              <w:jc w:val="center"/>
              <w:rPr>
                <w:rFonts w:ascii="Adobe Caslon Pro" w:eastAsia="Times New Roman" w:hAnsi="Adobe Caslon Pro"/>
                <w:b/>
                <w:bCs/>
                <w:color w:val="000000"/>
                <w:lang w:eastAsia="es-MX"/>
              </w:rPr>
            </w:pPr>
            <w:r w:rsidRPr="002601A7">
              <w:rPr>
                <w:rFonts w:ascii="Adobe Caslon Pro" w:eastAsia="Times New Roman" w:hAnsi="Adobe Caslon Pro" w:cs="Arial"/>
                <w:b/>
                <w:bCs/>
                <w:color w:val="000000"/>
                <w:lang w:eastAsia="es-MX"/>
              </w:rPr>
              <w:t>Total</w:t>
            </w:r>
          </w:p>
        </w:tc>
      </w:tr>
      <w:tr w:rsidR="002601A7" w:rsidRPr="002601A7" w:rsidTr="002601A7">
        <w:trPr>
          <w:trHeight w:val="420"/>
          <w:jc w:val="center"/>
        </w:trPr>
        <w:tc>
          <w:tcPr>
            <w:tcW w:w="6220" w:type="dxa"/>
            <w:tcBorders>
              <w:top w:val="nil"/>
              <w:left w:val="single" w:sz="4" w:space="0" w:color="auto"/>
              <w:bottom w:val="single" w:sz="4" w:space="0" w:color="auto"/>
              <w:right w:val="single" w:sz="4" w:space="0" w:color="auto"/>
            </w:tcBorders>
            <w:shd w:val="clear" w:color="auto" w:fill="auto"/>
            <w:vAlign w:val="center"/>
            <w:hideMark/>
          </w:tcPr>
          <w:p w:rsidR="002601A7" w:rsidRPr="002601A7" w:rsidRDefault="00940E10" w:rsidP="00271526">
            <w:pPr>
              <w:spacing w:after="0" w:line="240" w:lineRule="auto"/>
              <w:contextualSpacing/>
              <w:jc w:val="center"/>
              <w:rPr>
                <w:rFonts w:ascii="Adobe Caslon Pro" w:eastAsia="Times New Roman" w:hAnsi="Adobe Caslon Pro"/>
                <w:color w:val="000000"/>
                <w:lang w:eastAsia="es-MX"/>
              </w:rPr>
            </w:pPr>
            <w:r>
              <w:rPr>
                <w:rFonts w:ascii="Adobe Caslon Pro" w:eastAsia="Times New Roman" w:hAnsi="Adobe Caslon Pro" w:cs="Arial"/>
                <w:color w:val="000000"/>
                <w:lang w:eastAsia="es-MX"/>
              </w:rPr>
              <w:t>OSC</w:t>
            </w:r>
          </w:p>
        </w:tc>
        <w:tc>
          <w:tcPr>
            <w:tcW w:w="640" w:type="dxa"/>
            <w:tcBorders>
              <w:top w:val="nil"/>
              <w:left w:val="nil"/>
              <w:bottom w:val="single" w:sz="4" w:space="0" w:color="auto"/>
              <w:right w:val="single" w:sz="4" w:space="0" w:color="auto"/>
            </w:tcBorders>
            <w:shd w:val="clear" w:color="auto" w:fill="auto"/>
            <w:vAlign w:val="center"/>
            <w:hideMark/>
          </w:tcPr>
          <w:p w:rsidR="002601A7" w:rsidRPr="002601A7" w:rsidRDefault="002601A7" w:rsidP="00271526">
            <w:pPr>
              <w:spacing w:after="0" w:line="240" w:lineRule="auto"/>
              <w:contextualSpacing/>
              <w:jc w:val="center"/>
              <w:rPr>
                <w:rFonts w:ascii="Adobe Caslon Pro" w:eastAsia="Times New Roman" w:hAnsi="Adobe Caslon Pro"/>
                <w:color w:val="000000"/>
                <w:lang w:eastAsia="es-MX"/>
              </w:rPr>
            </w:pPr>
            <w:r w:rsidRPr="002601A7">
              <w:rPr>
                <w:rFonts w:ascii="Adobe Caslon Pro" w:eastAsia="Times New Roman" w:hAnsi="Adobe Caslon Pro" w:cs="Arial"/>
                <w:color w:val="000000"/>
                <w:lang w:eastAsia="es-MX"/>
              </w:rPr>
              <w:t>4,989</w:t>
            </w:r>
          </w:p>
        </w:tc>
      </w:tr>
      <w:tr w:rsidR="002601A7" w:rsidRPr="002601A7" w:rsidTr="002601A7">
        <w:trPr>
          <w:trHeight w:val="420"/>
          <w:jc w:val="center"/>
        </w:trPr>
        <w:tc>
          <w:tcPr>
            <w:tcW w:w="6220" w:type="dxa"/>
            <w:tcBorders>
              <w:top w:val="nil"/>
              <w:left w:val="single" w:sz="4" w:space="0" w:color="auto"/>
              <w:bottom w:val="single" w:sz="4" w:space="0" w:color="auto"/>
              <w:right w:val="single" w:sz="4" w:space="0" w:color="auto"/>
            </w:tcBorders>
            <w:shd w:val="clear" w:color="auto" w:fill="auto"/>
            <w:vAlign w:val="center"/>
            <w:hideMark/>
          </w:tcPr>
          <w:p w:rsidR="002601A7" w:rsidRPr="002601A7" w:rsidRDefault="00160981" w:rsidP="00271526">
            <w:pPr>
              <w:spacing w:after="0" w:line="240" w:lineRule="auto"/>
              <w:contextualSpacing/>
              <w:jc w:val="center"/>
              <w:rPr>
                <w:rFonts w:ascii="Adobe Caslon Pro" w:eastAsia="Times New Roman" w:hAnsi="Adobe Caslon Pro"/>
                <w:color w:val="000000"/>
                <w:lang w:eastAsia="es-MX"/>
              </w:rPr>
            </w:pPr>
            <w:r>
              <w:rPr>
                <w:rFonts w:ascii="Adobe Caslon Pro" w:eastAsia="Times New Roman" w:hAnsi="Adobe Caslon Pro" w:cs="Arial"/>
                <w:color w:val="000000"/>
                <w:lang w:eastAsia="es-MX"/>
              </w:rPr>
              <w:t>IES</w:t>
            </w:r>
            <w:r w:rsidR="002601A7" w:rsidRPr="002601A7">
              <w:rPr>
                <w:rFonts w:ascii="Adobe Caslon Pro" w:eastAsia="Times New Roman" w:hAnsi="Adobe Caslon Pro" w:cs="Arial"/>
                <w:color w:val="000000"/>
                <w:lang w:eastAsia="es-MX"/>
              </w:rPr>
              <w:t xml:space="preserve"> y </w:t>
            </w:r>
            <w:r>
              <w:rPr>
                <w:rFonts w:ascii="Adobe Caslon Pro" w:eastAsia="Times New Roman" w:hAnsi="Adobe Caslon Pro" w:cs="Arial"/>
                <w:color w:val="000000"/>
                <w:lang w:eastAsia="es-MX"/>
              </w:rPr>
              <w:t>CI</w:t>
            </w:r>
          </w:p>
        </w:tc>
        <w:tc>
          <w:tcPr>
            <w:tcW w:w="640" w:type="dxa"/>
            <w:tcBorders>
              <w:top w:val="nil"/>
              <w:left w:val="nil"/>
              <w:bottom w:val="single" w:sz="4" w:space="0" w:color="auto"/>
              <w:right w:val="single" w:sz="4" w:space="0" w:color="auto"/>
            </w:tcBorders>
            <w:shd w:val="clear" w:color="auto" w:fill="auto"/>
            <w:vAlign w:val="center"/>
            <w:hideMark/>
          </w:tcPr>
          <w:p w:rsidR="002601A7" w:rsidRPr="002601A7" w:rsidRDefault="002601A7" w:rsidP="00271526">
            <w:pPr>
              <w:spacing w:after="0" w:line="240" w:lineRule="auto"/>
              <w:contextualSpacing/>
              <w:jc w:val="center"/>
              <w:rPr>
                <w:rFonts w:ascii="Adobe Caslon Pro" w:eastAsia="Times New Roman" w:hAnsi="Adobe Caslon Pro"/>
                <w:color w:val="000000"/>
                <w:lang w:eastAsia="es-MX"/>
              </w:rPr>
            </w:pPr>
            <w:r w:rsidRPr="002601A7">
              <w:rPr>
                <w:rFonts w:ascii="Adobe Caslon Pro" w:eastAsia="Times New Roman" w:hAnsi="Adobe Caslon Pro" w:cs="Arial"/>
                <w:color w:val="000000"/>
                <w:lang w:eastAsia="es-MX"/>
              </w:rPr>
              <w:t>60</w:t>
            </w:r>
          </w:p>
        </w:tc>
      </w:tr>
      <w:tr w:rsidR="002601A7" w:rsidRPr="002601A7" w:rsidTr="002601A7">
        <w:trPr>
          <w:trHeight w:val="420"/>
          <w:jc w:val="center"/>
        </w:trPr>
        <w:tc>
          <w:tcPr>
            <w:tcW w:w="6220" w:type="dxa"/>
            <w:tcBorders>
              <w:top w:val="nil"/>
              <w:left w:val="single" w:sz="4" w:space="0" w:color="auto"/>
              <w:bottom w:val="single" w:sz="4" w:space="0" w:color="auto"/>
              <w:right w:val="single" w:sz="4" w:space="0" w:color="auto"/>
            </w:tcBorders>
            <w:shd w:val="clear" w:color="auto" w:fill="auto"/>
            <w:vAlign w:val="center"/>
            <w:hideMark/>
          </w:tcPr>
          <w:p w:rsidR="002601A7" w:rsidRPr="002601A7" w:rsidRDefault="002601A7" w:rsidP="00271526">
            <w:pPr>
              <w:spacing w:after="0" w:line="240" w:lineRule="auto"/>
              <w:contextualSpacing/>
              <w:jc w:val="center"/>
              <w:rPr>
                <w:rFonts w:ascii="Adobe Caslon Pro" w:eastAsia="Times New Roman" w:hAnsi="Adobe Caslon Pro"/>
                <w:color w:val="000000"/>
                <w:lang w:eastAsia="es-MX"/>
              </w:rPr>
            </w:pPr>
            <w:r w:rsidRPr="002601A7">
              <w:rPr>
                <w:rFonts w:ascii="Adobe Caslon Pro" w:eastAsia="Times New Roman" w:hAnsi="Adobe Caslon Pro" w:cs="Arial"/>
                <w:color w:val="000000"/>
                <w:lang w:eastAsia="es-MX"/>
              </w:rPr>
              <w:t>Total</w:t>
            </w:r>
          </w:p>
        </w:tc>
        <w:tc>
          <w:tcPr>
            <w:tcW w:w="640" w:type="dxa"/>
            <w:tcBorders>
              <w:top w:val="nil"/>
              <w:left w:val="nil"/>
              <w:bottom w:val="single" w:sz="4" w:space="0" w:color="auto"/>
              <w:right w:val="single" w:sz="4" w:space="0" w:color="auto"/>
            </w:tcBorders>
            <w:shd w:val="clear" w:color="auto" w:fill="auto"/>
            <w:vAlign w:val="center"/>
            <w:hideMark/>
          </w:tcPr>
          <w:p w:rsidR="002601A7" w:rsidRPr="002601A7" w:rsidRDefault="002601A7" w:rsidP="00271526">
            <w:pPr>
              <w:spacing w:after="0" w:line="240" w:lineRule="auto"/>
              <w:contextualSpacing/>
              <w:jc w:val="center"/>
              <w:rPr>
                <w:rFonts w:ascii="Adobe Caslon Pro" w:eastAsia="Times New Roman" w:hAnsi="Adobe Caslon Pro"/>
                <w:color w:val="000000"/>
                <w:lang w:eastAsia="es-MX"/>
              </w:rPr>
            </w:pPr>
            <w:r w:rsidRPr="002601A7">
              <w:rPr>
                <w:rFonts w:ascii="Adobe Caslon Pro" w:eastAsia="Times New Roman" w:hAnsi="Adobe Caslon Pro" w:cs="Arial"/>
                <w:color w:val="000000"/>
                <w:lang w:eastAsia="es-MX"/>
              </w:rPr>
              <w:t>5,049</w:t>
            </w:r>
          </w:p>
        </w:tc>
      </w:tr>
    </w:tbl>
    <w:p w:rsidR="008F5529" w:rsidRDefault="008F5529" w:rsidP="0043286B">
      <w:pPr>
        <w:spacing w:after="120" w:line="240" w:lineRule="auto"/>
        <w:jc w:val="both"/>
        <w:rPr>
          <w:rFonts w:ascii="Adobe Caslon Pro" w:hAnsi="Adobe Caslon Pro" w:cs="Arial"/>
          <w:sz w:val="18"/>
        </w:rPr>
      </w:pPr>
      <w:bookmarkStart w:id="101" w:name="_Toc263896842"/>
      <w:r w:rsidRPr="000907D3">
        <w:rPr>
          <w:rFonts w:ascii="Adobe Caslon Pro" w:hAnsi="Adobe Caslon Pro" w:cs="Arial"/>
          <w:sz w:val="18"/>
        </w:rPr>
        <w:t>Fuente. Elaboraci</w:t>
      </w:r>
      <w:r>
        <w:rPr>
          <w:rFonts w:ascii="Adobe Caslon Pro" w:hAnsi="Adobe Caslon Pro" w:cs="Arial"/>
          <w:sz w:val="18"/>
        </w:rPr>
        <w:t xml:space="preserve">ón propia con datos del </w:t>
      </w:r>
      <w:r w:rsidR="002F714E">
        <w:rPr>
          <w:rFonts w:ascii="Adobe Caslon Pro" w:hAnsi="Adobe Caslon Pro" w:cs="Arial"/>
          <w:sz w:val="18"/>
        </w:rPr>
        <w:t>INDESOL</w:t>
      </w:r>
      <w:r>
        <w:rPr>
          <w:rFonts w:ascii="Adobe Caslon Pro" w:hAnsi="Adobe Caslon Pro" w:cs="Arial"/>
          <w:sz w:val="18"/>
        </w:rPr>
        <w:t>.</w:t>
      </w:r>
    </w:p>
    <w:p w:rsidR="0018237B" w:rsidRDefault="0018237B" w:rsidP="0043286B">
      <w:pPr>
        <w:pStyle w:val="Ttulo3"/>
        <w:spacing w:before="0" w:after="120" w:line="240" w:lineRule="auto"/>
        <w:rPr>
          <w:rFonts w:eastAsia="Calibri"/>
        </w:rPr>
      </w:pPr>
    </w:p>
    <w:p w:rsidR="00E20DAC" w:rsidRPr="00506C95" w:rsidRDefault="00E20DAC" w:rsidP="0043286B">
      <w:pPr>
        <w:spacing w:after="120"/>
        <w:rPr>
          <w:rFonts w:ascii="Adobe Caslon Pro" w:hAnsi="Adobe Caslon Pro"/>
          <w:b/>
        </w:rPr>
      </w:pPr>
      <w:r w:rsidRPr="00506C95">
        <w:rPr>
          <w:rFonts w:ascii="Adobe Caslon Pro" w:hAnsi="Adobe Caslon Pro"/>
          <w:b/>
        </w:rPr>
        <w:t>Caracterización de la población objetivo</w:t>
      </w:r>
      <w:bookmarkEnd w:id="99"/>
      <w:bookmarkEnd w:id="100"/>
      <w:bookmarkEnd w:id="101"/>
    </w:p>
    <w:p w:rsidR="007E2CD8" w:rsidRPr="000907D3" w:rsidRDefault="007E2CD8" w:rsidP="0043286B">
      <w:pPr>
        <w:spacing w:after="120" w:line="240" w:lineRule="auto"/>
        <w:jc w:val="both"/>
        <w:rPr>
          <w:rFonts w:ascii="Adobe Caslon Pro" w:hAnsi="Adobe Caslon Pro" w:cs="Arial"/>
        </w:rPr>
      </w:pPr>
      <w:r w:rsidRPr="000907D3">
        <w:rPr>
          <w:rFonts w:ascii="Adobe Caslon Pro" w:hAnsi="Adobe Caslon Pro" w:cs="Arial"/>
        </w:rPr>
        <w:t xml:space="preserve">De acuerdo a las estimaciones realizadas para la población objetivo, destaca que el 99% de los actores sociales considerados dentro de la población potencial son OSC. De igual forma, se observa un crecimiento constante de estos </w:t>
      </w:r>
      <w:r w:rsidR="00664D02">
        <w:rPr>
          <w:rFonts w:ascii="Adobe Caslon Pro" w:hAnsi="Adobe Caslon Pro" w:cs="Arial"/>
        </w:rPr>
        <w:t>actores</w:t>
      </w:r>
      <w:r w:rsidRPr="000907D3">
        <w:rPr>
          <w:rFonts w:ascii="Adobe Caslon Pro" w:hAnsi="Adobe Caslon Pro" w:cs="Arial"/>
        </w:rPr>
        <w:t xml:space="preserve"> entre 2009 y 2013. La diferencia entre actores sociales de la población objetivo provenientes de las OSC y academia y </w:t>
      </w:r>
      <w:r w:rsidR="00160981">
        <w:rPr>
          <w:rFonts w:ascii="Adobe Caslon Pro" w:hAnsi="Adobe Caslon Pro" w:cs="Arial"/>
        </w:rPr>
        <w:t>CI</w:t>
      </w:r>
      <w:r w:rsidRPr="000907D3">
        <w:rPr>
          <w:rFonts w:ascii="Adobe Caslon Pro" w:hAnsi="Adobe Caslon Pro" w:cs="Arial"/>
        </w:rPr>
        <w:t xml:space="preserve"> es </w:t>
      </w:r>
      <w:r w:rsidR="001111E3">
        <w:rPr>
          <w:rFonts w:ascii="Adobe Caslon Pro" w:hAnsi="Adobe Caslon Pro" w:cs="Arial"/>
        </w:rPr>
        <w:t>significativa</w:t>
      </w:r>
      <w:r w:rsidR="00D753B8" w:rsidRPr="000907D3">
        <w:rPr>
          <w:rFonts w:ascii="Adobe Caslon Pro" w:hAnsi="Adobe Caslon Pro" w:cs="Arial"/>
        </w:rPr>
        <w:t>,</w:t>
      </w:r>
      <w:r w:rsidRPr="000907D3">
        <w:rPr>
          <w:rFonts w:ascii="Adobe Caslon Pro" w:hAnsi="Adobe Caslon Pro" w:cs="Arial"/>
        </w:rPr>
        <w:t xml:space="preserve"> y el crecimiento </w:t>
      </w:r>
      <w:r w:rsidR="00DD6EAA">
        <w:rPr>
          <w:rFonts w:ascii="Adobe Caslon Pro" w:hAnsi="Adobe Caslon Pro" w:cs="Arial"/>
        </w:rPr>
        <w:t xml:space="preserve">se explica por el aumento en el nivel de registro ante el </w:t>
      </w:r>
      <w:r w:rsidR="00DD6EAA" w:rsidRPr="00DD6EAA">
        <w:rPr>
          <w:rFonts w:ascii="Adobe Caslon Pro" w:hAnsi="Adobe Caslon Pro" w:cs="Arial"/>
          <w:bCs/>
        </w:rPr>
        <w:t>RFOSC.</w:t>
      </w:r>
      <w:r w:rsidR="00DD6EAA">
        <w:rPr>
          <w:rFonts w:ascii="Adobe Caslon Pro" w:hAnsi="Adobe Caslon Pro" w:cs="Arial"/>
        </w:rPr>
        <w:t xml:space="preserve"> </w:t>
      </w:r>
    </w:p>
    <w:p w:rsidR="007E2CD8" w:rsidRPr="000907D3" w:rsidRDefault="007E2CD8" w:rsidP="0043286B">
      <w:pPr>
        <w:pStyle w:val="Epgrafe"/>
        <w:spacing w:after="120"/>
        <w:jc w:val="center"/>
        <w:rPr>
          <w:rFonts w:ascii="Adobe Caslon Pro" w:hAnsi="Adobe Caslon Pro" w:cs="Arial"/>
          <w:sz w:val="20"/>
          <w:szCs w:val="22"/>
        </w:rPr>
      </w:pPr>
      <w:r w:rsidRPr="000907D3">
        <w:rPr>
          <w:rFonts w:ascii="Adobe Caslon Pro" w:hAnsi="Adobe Caslon Pro" w:cs="Arial"/>
          <w:color w:val="000000" w:themeColor="text1"/>
          <w:sz w:val="20"/>
          <w:szCs w:val="22"/>
        </w:rPr>
        <w:t>G</w:t>
      </w:r>
      <w:r w:rsidR="00742EF0" w:rsidRPr="000907D3">
        <w:rPr>
          <w:rFonts w:ascii="Adobe Caslon Pro" w:hAnsi="Adobe Caslon Pro" w:cs="Arial"/>
          <w:color w:val="000000" w:themeColor="text1"/>
          <w:sz w:val="20"/>
          <w:szCs w:val="22"/>
        </w:rPr>
        <w:t>ráfica 2</w:t>
      </w:r>
      <w:r w:rsidR="00593DE6">
        <w:rPr>
          <w:rFonts w:ascii="Adobe Caslon Pro" w:hAnsi="Adobe Caslon Pro" w:cs="Arial"/>
          <w:color w:val="000000" w:themeColor="text1"/>
          <w:sz w:val="20"/>
          <w:szCs w:val="22"/>
        </w:rPr>
        <w:t>1</w:t>
      </w:r>
      <w:r w:rsidRPr="000907D3">
        <w:rPr>
          <w:rFonts w:ascii="Adobe Caslon Pro" w:hAnsi="Adobe Caslon Pro" w:cs="Arial"/>
          <w:color w:val="000000" w:themeColor="text1"/>
          <w:sz w:val="20"/>
          <w:szCs w:val="22"/>
        </w:rPr>
        <w:t>. Población objetivo 2009-2013</w:t>
      </w:r>
    </w:p>
    <w:p w:rsidR="007E2CD8" w:rsidRDefault="007E2CD8" w:rsidP="0043286B">
      <w:pPr>
        <w:spacing w:after="120" w:line="240" w:lineRule="auto"/>
        <w:jc w:val="center"/>
        <w:rPr>
          <w:rFonts w:ascii="Adobe Caslon Pro" w:hAnsi="Adobe Caslon Pro" w:cs="Arial"/>
        </w:rPr>
      </w:pPr>
      <w:r w:rsidRPr="000907D3">
        <w:rPr>
          <w:rFonts w:ascii="Adobe Caslon Pro" w:hAnsi="Adobe Caslon Pro" w:cs="Arial"/>
          <w:noProof/>
          <w:lang w:eastAsia="es-MX"/>
        </w:rPr>
        <w:drawing>
          <wp:inline distT="0" distB="0" distL="0" distR="0" wp14:anchorId="1442B4A1" wp14:editId="5E184C32">
            <wp:extent cx="3888188" cy="2218414"/>
            <wp:effectExtent l="0" t="0" r="17145" b="10795"/>
            <wp:docPr id="91" name="Gráfico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8237B" w:rsidRDefault="0018237B" w:rsidP="0043286B">
      <w:pPr>
        <w:spacing w:after="120" w:line="240" w:lineRule="auto"/>
        <w:jc w:val="both"/>
        <w:rPr>
          <w:rFonts w:ascii="Adobe Caslon Pro" w:hAnsi="Adobe Caslon Pro" w:cs="Arial"/>
          <w:sz w:val="18"/>
        </w:rPr>
      </w:pPr>
      <w:r w:rsidRPr="000907D3">
        <w:rPr>
          <w:rFonts w:ascii="Adobe Caslon Pro" w:hAnsi="Adobe Caslon Pro" w:cs="Arial"/>
          <w:sz w:val="18"/>
        </w:rPr>
        <w:t>Fuente. Elaboraci</w:t>
      </w:r>
      <w:r>
        <w:rPr>
          <w:rFonts w:ascii="Adobe Caslon Pro" w:hAnsi="Adobe Caslon Pro" w:cs="Arial"/>
          <w:sz w:val="18"/>
        </w:rPr>
        <w:t>ón propia con datos del INDESOL.</w:t>
      </w:r>
    </w:p>
    <w:p w:rsidR="0018237B" w:rsidRPr="000907D3" w:rsidRDefault="0018237B" w:rsidP="0043286B">
      <w:pPr>
        <w:spacing w:after="120" w:line="240" w:lineRule="auto"/>
        <w:jc w:val="center"/>
        <w:rPr>
          <w:rFonts w:ascii="Adobe Caslon Pro" w:hAnsi="Adobe Caslon Pro" w:cs="Arial"/>
        </w:rPr>
      </w:pPr>
    </w:p>
    <w:p w:rsidR="0018237B" w:rsidRDefault="007E2CD8" w:rsidP="0043286B">
      <w:pPr>
        <w:pStyle w:val="Epgrafe"/>
        <w:spacing w:after="120"/>
        <w:jc w:val="both"/>
        <w:rPr>
          <w:rFonts w:ascii="Adobe Caslon Pro" w:hAnsi="Adobe Caslon Pro" w:cs="Arial"/>
          <w:b w:val="0"/>
          <w:bCs w:val="0"/>
          <w:color w:val="000000" w:themeColor="text1"/>
          <w:sz w:val="20"/>
        </w:rPr>
      </w:pPr>
      <w:bookmarkStart w:id="102" w:name="_Toc380683864"/>
      <w:r w:rsidRPr="000907D3">
        <w:rPr>
          <w:rFonts w:ascii="Adobe Caslon Pro" w:hAnsi="Adobe Caslon Pro" w:cs="Arial"/>
          <w:b w:val="0"/>
          <w:bCs w:val="0"/>
          <w:color w:val="auto"/>
          <w:sz w:val="22"/>
          <w:szCs w:val="22"/>
        </w:rPr>
        <w:lastRenderedPageBreak/>
        <w:t xml:space="preserve">En relación a la vertiente </w:t>
      </w:r>
      <w:r w:rsidR="00DC20BA">
        <w:rPr>
          <w:rFonts w:ascii="Adobe Caslon Pro" w:hAnsi="Adobe Caslon Pro" w:cs="Arial"/>
          <w:b w:val="0"/>
          <w:bCs w:val="0"/>
          <w:color w:val="auto"/>
          <w:sz w:val="22"/>
          <w:szCs w:val="22"/>
        </w:rPr>
        <w:t xml:space="preserve">en la </w:t>
      </w:r>
      <w:r w:rsidRPr="000907D3">
        <w:rPr>
          <w:rFonts w:ascii="Adobe Caslon Pro" w:hAnsi="Adobe Caslon Pro" w:cs="Arial"/>
          <w:b w:val="0"/>
          <w:bCs w:val="0"/>
          <w:color w:val="auto"/>
          <w:sz w:val="22"/>
          <w:szCs w:val="22"/>
        </w:rPr>
        <w:t xml:space="preserve">que </w:t>
      </w:r>
      <w:r w:rsidR="00DC20BA">
        <w:rPr>
          <w:rFonts w:ascii="Adobe Caslon Pro" w:hAnsi="Adobe Caslon Pro" w:cs="Arial"/>
          <w:b w:val="0"/>
          <w:bCs w:val="0"/>
          <w:color w:val="auto"/>
          <w:sz w:val="22"/>
          <w:szCs w:val="22"/>
        </w:rPr>
        <w:t xml:space="preserve">participa </w:t>
      </w:r>
      <w:r w:rsidRPr="000907D3">
        <w:rPr>
          <w:rFonts w:ascii="Adobe Caslon Pro" w:hAnsi="Adobe Caslon Pro" w:cs="Arial"/>
          <w:b w:val="0"/>
          <w:bCs w:val="0"/>
          <w:color w:val="auto"/>
          <w:sz w:val="22"/>
          <w:szCs w:val="22"/>
        </w:rPr>
        <w:t>la población objetivo, destaca que aproximadamente el 80% de los actores sociales está enfocado al desarrollo humano y social y que la vertiente con menor número de actores es la de investigación para el desarrollo social.</w:t>
      </w:r>
    </w:p>
    <w:p w:rsidR="00742EF0" w:rsidRPr="000907D3" w:rsidRDefault="00D34B25" w:rsidP="0043286B">
      <w:pPr>
        <w:pStyle w:val="Epgrafe"/>
        <w:spacing w:before="240" w:after="120"/>
        <w:jc w:val="center"/>
        <w:rPr>
          <w:rFonts w:ascii="Adobe Caslon Pro" w:hAnsi="Adobe Caslon Pro" w:cs="Arial"/>
          <w:sz w:val="20"/>
          <w:szCs w:val="22"/>
        </w:rPr>
      </w:pPr>
      <w:r w:rsidRPr="000907D3">
        <w:rPr>
          <w:rFonts w:ascii="Adobe Caslon Pro" w:hAnsi="Adobe Caslon Pro" w:cs="Arial"/>
          <w:color w:val="000000" w:themeColor="text1"/>
          <w:sz w:val="20"/>
          <w:szCs w:val="22"/>
        </w:rPr>
        <w:t>Gráfica 2</w:t>
      </w:r>
      <w:r w:rsidR="00593DE6">
        <w:rPr>
          <w:rFonts w:ascii="Adobe Caslon Pro" w:hAnsi="Adobe Caslon Pro" w:cs="Arial"/>
          <w:color w:val="000000" w:themeColor="text1"/>
          <w:sz w:val="20"/>
          <w:szCs w:val="22"/>
        </w:rPr>
        <w:t>2</w:t>
      </w:r>
      <w:r w:rsidRPr="000907D3">
        <w:rPr>
          <w:rFonts w:ascii="Adobe Caslon Pro" w:hAnsi="Adobe Caslon Pro" w:cs="Arial"/>
          <w:color w:val="000000" w:themeColor="text1"/>
          <w:sz w:val="20"/>
          <w:szCs w:val="22"/>
        </w:rPr>
        <w:t xml:space="preserve">. </w:t>
      </w:r>
      <w:r w:rsidR="002D09D1" w:rsidRPr="000907D3">
        <w:rPr>
          <w:rFonts w:ascii="Adobe Caslon Pro" w:hAnsi="Adobe Caslon Pro" w:cs="Arial"/>
          <w:color w:val="000000" w:themeColor="text1"/>
          <w:sz w:val="20"/>
          <w:szCs w:val="22"/>
        </w:rPr>
        <w:t>Población objetivo por tipo de vertiente 2009-2013</w:t>
      </w:r>
    </w:p>
    <w:p w:rsidR="007E2CD8" w:rsidRDefault="001419C3" w:rsidP="0043286B">
      <w:pPr>
        <w:spacing w:after="120" w:line="240" w:lineRule="auto"/>
        <w:jc w:val="center"/>
        <w:rPr>
          <w:rFonts w:ascii="Adobe Caslon Pro" w:hAnsi="Adobe Caslon Pro" w:cs="Arial"/>
        </w:rPr>
      </w:pPr>
      <w:r w:rsidRPr="000907D3">
        <w:rPr>
          <w:rFonts w:ascii="Adobe Caslon Pro" w:hAnsi="Adobe Caslon Pro" w:cs="Arial"/>
          <w:noProof/>
          <w:lang w:eastAsia="es-MX"/>
        </w:rPr>
        <w:drawing>
          <wp:inline distT="0" distB="0" distL="0" distR="0" wp14:anchorId="6530047C" wp14:editId="7E28FF94">
            <wp:extent cx="4754880" cy="2376000"/>
            <wp:effectExtent l="0" t="0" r="26670" b="2476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8F5529" w:rsidRPr="000907D3" w:rsidRDefault="008F5529" w:rsidP="0043286B">
      <w:pPr>
        <w:autoSpaceDE w:val="0"/>
        <w:autoSpaceDN w:val="0"/>
        <w:adjustRightInd w:val="0"/>
        <w:spacing w:after="120" w:line="240" w:lineRule="auto"/>
        <w:contextualSpacing/>
        <w:rPr>
          <w:rFonts w:ascii="Adobe Caslon Pro" w:hAnsi="Adobe Caslon Pro" w:cs="Arial"/>
          <w:sz w:val="18"/>
        </w:rPr>
      </w:pPr>
      <w:r w:rsidRPr="000907D3">
        <w:rPr>
          <w:rFonts w:ascii="Adobe Caslon Pro" w:hAnsi="Adobe Caslon Pro" w:cs="Arial"/>
          <w:sz w:val="18"/>
        </w:rPr>
        <w:t xml:space="preserve">Fuente. Elaboración propia con datos del </w:t>
      </w:r>
      <w:r w:rsidR="002F714E">
        <w:rPr>
          <w:rFonts w:ascii="Adobe Caslon Pro" w:hAnsi="Adobe Caslon Pro" w:cs="Arial"/>
          <w:sz w:val="18"/>
        </w:rPr>
        <w:t>INDESOL</w:t>
      </w:r>
      <w:r w:rsidRPr="000907D3">
        <w:rPr>
          <w:rFonts w:ascii="Adobe Caslon Pro" w:hAnsi="Adobe Caslon Pro" w:cs="Arial"/>
          <w:sz w:val="18"/>
        </w:rPr>
        <w:t>.</w:t>
      </w:r>
    </w:p>
    <w:p w:rsidR="008F5529" w:rsidRPr="000907D3" w:rsidRDefault="008F5529" w:rsidP="0043286B">
      <w:pPr>
        <w:spacing w:after="120" w:line="240" w:lineRule="auto"/>
        <w:jc w:val="center"/>
        <w:rPr>
          <w:rFonts w:ascii="Adobe Caslon Pro" w:hAnsi="Adobe Caslon Pro" w:cs="Arial"/>
        </w:rPr>
      </w:pPr>
    </w:p>
    <w:p w:rsidR="000A3EC8" w:rsidRDefault="000A3EC8" w:rsidP="0043286B">
      <w:pPr>
        <w:spacing w:after="120" w:line="240" w:lineRule="auto"/>
        <w:jc w:val="both"/>
        <w:rPr>
          <w:rFonts w:ascii="Adobe Caslon Pro" w:hAnsi="Adobe Caslon Pro" w:cs="Arial"/>
        </w:rPr>
      </w:pPr>
      <w:r w:rsidRPr="000907D3">
        <w:rPr>
          <w:rFonts w:ascii="Adobe Caslon Pro" w:hAnsi="Adobe Caslon Pro" w:cs="Arial"/>
        </w:rPr>
        <w:t>A nivel nacional</w:t>
      </w:r>
      <w:r w:rsidR="00664D02">
        <w:rPr>
          <w:rFonts w:ascii="Adobe Caslon Pro" w:hAnsi="Adobe Caslon Pro" w:cs="Arial"/>
        </w:rPr>
        <w:t>,</w:t>
      </w:r>
      <w:r w:rsidRPr="000907D3">
        <w:rPr>
          <w:rFonts w:ascii="Adobe Caslon Pro" w:hAnsi="Adobe Caslon Pro" w:cs="Arial"/>
        </w:rPr>
        <w:t xml:space="preserve"> la población objetivo se encuentra concentrada en su mayoría en el Distrito Federal, ya que más del 19% de los </w:t>
      </w:r>
      <w:r w:rsidR="003E251B" w:rsidRPr="000907D3">
        <w:rPr>
          <w:rFonts w:ascii="Adobe Caslon Pro" w:hAnsi="Adobe Caslon Pro" w:cs="Arial"/>
        </w:rPr>
        <w:t xml:space="preserve">actores </w:t>
      </w:r>
      <w:r w:rsidR="00415CFF" w:rsidRPr="000907D3">
        <w:rPr>
          <w:rFonts w:ascii="Adobe Caslon Pro" w:hAnsi="Adobe Caslon Pro" w:cs="Arial"/>
        </w:rPr>
        <w:t>sociales la declaran como entidad de registro</w:t>
      </w:r>
      <w:r w:rsidR="001E2C48">
        <w:rPr>
          <w:rStyle w:val="Refdenotaalpie"/>
          <w:rFonts w:ascii="Adobe Caslon Pro" w:hAnsi="Adobe Caslon Pro" w:cs="Arial"/>
        </w:rPr>
        <w:footnoteReference w:id="25"/>
      </w:r>
      <w:r w:rsidRPr="000907D3">
        <w:rPr>
          <w:rFonts w:ascii="Adobe Caslon Pro" w:hAnsi="Adobe Caslon Pro" w:cs="Arial"/>
        </w:rPr>
        <w:t xml:space="preserve">. De igual manera entidades como Aguascalientes, Baja California Sur, Quintana Roo, Tabasco y Zacatecas apenas suman un poco más del 4% del registro de </w:t>
      </w:r>
      <w:r w:rsidR="00160981">
        <w:rPr>
          <w:rFonts w:ascii="Adobe Caslon Pro" w:hAnsi="Adobe Caslon Pro" w:cs="Arial"/>
        </w:rPr>
        <w:t>actores sociales</w:t>
      </w:r>
      <w:r w:rsidRPr="000907D3">
        <w:rPr>
          <w:rFonts w:ascii="Adobe Caslon Pro" w:hAnsi="Adobe Caslon Pro" w:cs="Arial"/>
        </w:rPr>
        <w:t xml:space="preserve">. </w:t>
      </w:r>
    </w:p>
    <w:p w:rsidR="006A4CBC" w:rsidRPr="005B6EB1" w:rsidRDefault="006A4CBC" w:rsidP="006E05D4">
      <w:pPr>
        <w:spacing w:after="0" w:line="240" w:lineRule="auto"/>
        <w:jc w:val="center"/>
        <w:rPr>
          <w:rFonts w:ascii="Adobe Caslon Pro" w:hAnsi="Adobe Caslon Pro" w:cs="Arial"/>
          <w:b/>
          <w:sz w:val="20"/>
          <w:szCs w:val="20"/>
        </w:rPr>
      </w:pPr>
      <w:r w:rsidRPr="005B6EB1">
        <w:rPr>
          <w:rFonts w:ascii="Adobe Caslon Pro" w:hAnsi="Adobe Caslon Pro" w:cs="Arial"/>
          <w:b/>
          <w:sz w:val="20"/>
          <w:szCs w:val="20"/>
        </w:rPr>
        <w:t>Cuadro 6. Cantidad y porcentaje de OSC por entidad federativa 2013</w:t>
      </w:r>
    </w:p>
    <w:tbl>
      <w:tblPr>
        <w:tblW w:w="4920" w:type="dxa"/>
        <w:jc w:val="center"/>
        <w:tblCellMar>
          <w:left w:w="70" w:type="dxa"/>
          <w:right w:w="70" w:type="dxa"/>
        </w:tblCellMar>
        <w:tblLook w:val="04A0" w:firstRow="1" w:lastRow="0" w:firstColumn="1" w:lastColumn="0" w:noHBand="0" w:noVBand="1"/>
      </w:tblPr>
      <w:tblGrid>
        <w:gridCol w:w="2520"/>
        <w:gridCol w:w="1200"/>
        <w:gridCol w:w="1200"/>
      </w:tblGrid>
      <w:tr w:rsidR="002601A7" w:rsidRPr="002601A7" w:rsidTr="00130F95">
        <w:trPr>
          <w:trHeight w:val="227"/>
          <w:jc w:val="center"/>
        </w:trPr>
        <w:tc>
          <w:tcPr>
            <w:tcW w:w="252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bookmarkEnd w:id="102"/>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 </w:t>
            </w:r>
          </w:p>
        </w:tc>
        <w:tc>
          <w:tcPr>
            <w:tcW w:w="1200" w:type="dxa"/>
            <w:tcBorders>
              <w:top w:val="single" w:sz="4" w:space="0" w:color="auto"/>
              <w:left w:val="nil"/>
              <w:bottom w:val="single" w:sz="4" w:space="0" w:color="auto"/>
              <w:right w:val="single" w:sz="4" w:space="0" w:color="auto"/>
            </w:tcBorders>
            <w:shd w:val="clear" w:color="000000" w:fill="BFBFBF"/>
            <w:noWrap/>
            <w:vAlign w:val="center"/>
            <w:hideMark/>
          </w:tcPr>
          <w:p w:rsidR="002601A7" w:rsidRPr="00130F95" w:rsidRDefault="002601A7" w:rsidP="006E05D4">
            <w:pPr>
              <w:spacing w:after="0" w:line="240" w:lineRule="auto"/>
              <w:jc w:val="center"/>
              <w:rPr>
                <w:rFonts w:ascii="Adobe Caslon Pro" w:eastAsia="Times New Roman" w:hAnsi="Adobe Caslon Pro"/>
                <w:b/>
                <w:bCs/>
                <w:color w:val="000000"/>
                <w:sz w:val="18"/>
                <w:szCs w:val="20"/>
                <w:lang w:eastAsia="es-MX"/>
              </w:rPr>
            </w:pPr>
            <w:r w:rsidRPr="00130F95">
              <w:rPr>
                <w:rFonts w:ascii="Adobe Caslon Pro" w:eastAsia="Times New Roman" w:hAnsi="Adobe Caslon Pro"/>
                <w:b/>
                <w:bCs/>
                <w:color w:val="000000"/>
                <w:sz w:val="18"/>
                <w:szCs w:val="20"/>
                <w:lang w:eastAsia="es-MX"/>
              </w:rPr>
              <w:t>OSC</w:t>
            </w:r>
          </w:p>
        </w:tc>
        <w:tc>
          <w:tcPr>
            <w:tcW w:w="1200" w:type="dxa"/>
            <w:tcBorders>
              <w:top w:val="single" w:sz="4" w:space="0" w:color="auto"/>
              <w:left w:val="nil"/>
              <w:bottom w:val="single" w:sz="4" w:space="0" w:color="auto"/>
              <w:right w:val="single" w:sz="4" w:space="0" w:color="auto"/>
            </w:tcBorders>
            <w:shd w:val="clear" w:color="000000" w:fill="BFBFBF"/>
            <w:noWrap/>
            <w:vAlign w:val="center"/>
            <w:hideMark/>
          </w:tcPr>
          <w:p w:rsidR="002601A7" w:rsidRPr="00130F95" w:rsidRDefault="002601A7" w:rsidP="006E05D4">
            <w:pPr>
              <w:spacing w:after="0" w:line="240" w:lineRule="auto"/>
              <w:jc w:val="center"/>
              <w:rPr>
                <w:rFonts w:ascii="Adobe Caslon Pro" w:eastAsia="Times New Roman" w:hAnsi="Adobe Caslon Pro"/>
                <w:b/>
                <w:bCs/>
                <w:color w:val="000000"/>
                <w:sz w:val="18"/>
                <w:szCs w:val="20"/>
                <w:lang w:eastAsia="es-MX"/>
              </w:rPr>
            </w:pPr>
            <w:r w:rsidRPr="00130F95">
              <w:rPr>
                <w:rFonts w:ascii="Adobe Caslon Pro" w:eastAsia="Times New Roman" w:hAnsi="Adobe Caslon Pro"/>
                <w:b/>
                <w:bCs/>
                <w:color w:val="000000"/>
                <w:sz w:val="18"/>
                <w:szCs w:val="20"/>
                <w:lang w:eastAsia="es-MX"/>
              </w:rPr>
              <w:t>%</w:t>
            </w:r>
          </w:p>
        </w:tc>
      </w:tr>
      <w:tr w:rsidR="002601A7" w:rsidRPr="002601A7" w:rsidTr="00130F95">
        <w:trPr>
          <w:trHeight w:val="227"/>
          <w:jc w:val="center"/>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Distrito Federal</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550</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19.05%</w:t>
            </w:r>
          </w:p>
        </w:tc>
      </w:tr>
      <w:tr w:rsidR="002601A7" w:rsidRPr="002601A7" w:rsidTr="00130F95">
        <w:trPr>
          <w:trHeight w:val="227"/>
          <w:jc w:val="center"/>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Oaxaca</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188</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6.51%</w:t>
            </w:r>
          </w:p>
        </w:tc>
      </w:tr>
      <w:tr w:rsidR="002601A7" w:rsidRPr="002601A7" w:rsidTr="00130F95">
        <w:trPr>
          <w:trHeight w:val="227"/>
          <w:jc w:val="center"/>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Baja California</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159</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5.51%</w:t>
            </w:r>
          </w:p>
        </w:tc>
      </w:tr>
      <w:tr w:rsidR="002601A7" w:rsidRPr="002601A7" w:rsidTr="00130F95">
        <w:trPr>
          <w:trHeight w:val="227"/>
          <w:jc w:val="center"/>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Estado de México</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151</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5.23%</w:t>
            </w:r>
          </w:p>
        </w:tc>
      </w:tr>
      <w:tr w:rsidR="002601A7" w:rsidRPr="002601A7" w:rsidTr="00130F95">
        <w:trPr>
          <w:trHeight w:val="227"/>
          <w:jc w:val="center"/>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Puebla</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133</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4.61%</w:t>
            </w:r>
          </w:p>
        </w:tc>
      </w:tr>
      <w:tr w:rsidR="002601A7" w:rsidRPr="002601A7" w:rsidTr="00130F95">
        <w:trPr>
          <w:trHeight w:val="227"/>
          <w:jc w:val="center"/>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Veracruz de Ignacio de la llave</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122</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4.23%</w:t>
            </w:r>
          </w:p>
        </w:tc>
      </w:tr>
      <w:tr w:rsidR="002601A7" w:rsidRPr="002601A7" w:rsidTr="00130F95">
        <w:trPr>
          <w:trHeight w:val="227"/>
          <w:jc w:val="center"/>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Michoacán de Ocampo</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118</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4.09%</w:t>
            </w:r>
          </w:p>
        </w:tc>
      </w:tr>
      <w:tr w:rsidR="002601A7" w:rsidRPr="002601A7" w:rsidTr="00130F95">
        <w:trPr>
          <w:trHeight w:val="227"/>
          <w:jc w:val="center"/>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Chihuahua</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111</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3.84%</w:t>
            </w:r>
          </w:p>
        </w:tc>
      </w:tr>
      <w:tr w:rsidR="002601A7" w:rsidRPr="002601A7" w:rsidTr="00130F95">
        <w:trPr>
          <w:trHeight w:val="227"/>
          <w:jc w:val="center"/>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Guanajuato</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99</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3.43%</w:t>
            </w:r>
          </w:p>
        </w:tc>
      </w:tr>
      <w:tr w:rsidR="002601A7" w:rsidRPr="002601A7" w:rsidTr="00130F95">
        <w:trPr>
          <w:trHeight w:val="227"/>
          <w:jc w:val="center"/>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Chiapas</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93</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3.22%</w:t>
            </w:r>
          </w:p>
        </w:tc>
      </w:tr>
      <w:tr w:rsidR="002601A7" w:rsidRPr="002601A7" w:rsidTr="00130F95">
        <w:trPr>
          <w:trHeight w:val="227"/>
          <w:jc w:val="center"/>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Coahuila de Zaragoza</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93</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3.22%</w:t>
            </w:r>
          </w:p>
        </w:tc>
      </w:tr>
      <w:tr w:rsidR="002601A7" w:rsidRPr="002601A7" w:rsidTr="00130F95">
        <w:trPr>
          <w:trHeight w:val="227"/>
          <w:jc w:val="center"/>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lastRenderedPageBreak/>
              <w:t>Jalisco</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88</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3.05%</w:t>
            </w:r>
          </w:p>
        </w:tc>
      </w:tr>
      <w:tr w:rsidR="002601A7" w:rsidRPr="002601A7" w:rsidTr="00130F95">
        <w:trPr>
          <w:trHeight w:val="227"/>
          <w:jc w:val="center"/>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Sinaloa</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79</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2.74%</w:t>
            </w:r>
          </w:p>
        </w:tc>
      </w:tr>
      <w:tr w:rsidR="002601A7" w:rsidRPr="002601A7" w:rsidTr="00130F95">
        <w:trPr>
          <w:trHeight w:val="227"/>
          <w:jc w:val="center"/>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Morelos</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78</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2.70%</w:t>
            </w:r>
          </w:p>
        </w:tc>
      </w:tr>
      <w:tr w:rsidR="002601A7" w:rsidRPr="002601A7" w:rsidTr="00130F95">
        <w:trPr>
          <w:trHeight w:val="227"/>
          <w:jc w:val="center"/>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Nuevo León</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78</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2.70%</w:t>
            </w:r>
          </w:p>
        </w:tc>
      </w:tr>
      <w:tr w:rsidR="002601A7" w:rsidRPr="002601A7" w:rsidTr="00130F95">
        <w:trPr>
          <w:trHeight w:val="227"/>
          <w:jc w:val="center"/>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Sonora</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75</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2.60%</w:t>
            </w:r>
          </w:p>
        </w:tc>
      </w:tr>
      <w:tr w:rsidR="002601A7" w:rsidRPr="002601A7" w:rsidTr="00130F95">
        <w:trPr>
          <w:trHeight w:val="227"/>
          <w:jc w:val="center"/>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Durango</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73</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2.53%</w:t>
            </w:r>
          </w:p>
        </w:tc>
      </w:tr>
      <w:tr w:rsidR="002601A7" w:rsidRPr="002601A7" w:rsidTr="00130F95">
        <w:trPr>
          <w:trHeight w:val="227"/>
          <w:jc w:val="center"/>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Querétaro</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72</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2.49%</w:t>
            </w:r>
          </w:p>
        </w:tc>
      </w:tr>
      <w:tr w:rsidR="002601A7" w:rsidRPr="002601A7" w:rsidTr="00130F95">
        <w:trPr>
          <w:trHeight w:val="227"/>
          <w:jc w:val="center"/>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Yucatán</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66</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2.29%</w:t>
            </w:r>
          </w:p>
        </w:tc>
      </w:tr>
      <w:tr w:rsidR="002601A7" w:rsidRPr="002601A7" w:rsidTr="00130F95">
        <w:trPr>
          <w:trHeight w:val="227"/>
          <w:jc w:val="center"/>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Hidalgo</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58</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2.01%</w:t>
            </w:r>
          </w:p>
        </w:tc>
      </w:tr>
      <w:tr w:rsidR="002601A7" w:rsidRPr="002601A7" w:rsidTr="00130F95">
        <w:trPr>
          <w:trHeight w:val="227"/>
          <w:jc w:val="center"/>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Guerrero</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57</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1.97%</w:t>
            </w:r>
          </w:p>
        </w:tc>
      </w:tr>
      <w:tr w:rsidR="002601A7" w:rsidRPr="002601A7" w:rsidTr="00130F95">
        <w:trPr>
          <w:trHeight w:val="227"/>
          <w:jc w:val="center"/>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Tamaulipas</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45</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1.56%</w:t>
            </w:r>
          </w:p>
        </w:tc>
      </w:tr>
      <w:tr w:rsidR="002601A7" w:rsidRPr="002601A7" w:rsidTr="00130F95">
        <w:trPr>
          <w:trHeight w:val="227"/>
          <w:jc w:val="center"/>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Colima</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43</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1.49%</w:t>
            </w:r>
          </w:p>
        </w:tc>
      </w:tr>
      <w:tr w:rsidR="002601A7" w:rsidRPr="002601A7" w:rsidTr="00130F95">
        <w:trPr>
          <w:trHeight w:val="227"/>
          <w:jc w:val="center"/>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Tlaxcala</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42</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1.45%</w:t>
            </w:r>
          </w:p>
        </w:tc>
      </w:tr>
      <w:tr w:rsidR="002601A7" w:rsidRPr="002601A7" w:rsidTr="00130F95">
        <w:trPr>
          <w:trHeight w:val="227"/>
          <w:jc w:val="center"/>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Nayarit</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37</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1.28%</w:t>
            </w:r>
          </w:p>
        </w:tc>
      </w:tr>
      <w:tr w:rsidR="002601A7" w:rsidRPr="002601A7" w:rsidTr="00130F95">
        <w:trPr>
          <w:trHeight w:val="227"/>
          <w:jc w:val="center"/>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Campeche</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31</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1.07%</w:t>
            </w:r>
          </w:p>
        </w:tc>
      </w:tr>
      <w:tr w:rsidR="002601A7" w:rsidRPr="002601A7" w:rsidTr="00130F95">
        <w:trPr>
          <w:trHeight w:val="227"/>
          <w:jc w:val="center"/>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San Luis Potosí</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30</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1.04%</w:t>
            </w:r>
          </w:p>
        </w:tc>
      </w:tr>
      <w:tr w:rsidR="002601A7" w:rsidRPr="002601A7" w:rsidTr="00130F95">
        <w:trPr>
          <w:trHeight w:val="227"/>
          <w:jc w:val="center"/>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Quintana Roo</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28</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0.97%</w:t>
            </w:r>
          </w:p>
        </w:tc>
      </w:tr>
      <w:tr w:rsidR="002601A7" w:rsidRPr="002601A7" w:rsidTr="00130F95">
        <w:trPr>
          <w:trHeight w:val="227"/>
          <w:jc w:val="center"/>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Zacatecas</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27</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0.94%</w:t>
            </w:r>
          </w:p>
        </w:tc>
      </w:tr>
      <w:tr w:rsidR="002601A7" w:rsidRPr="002601A7" w:rsidTr="00130F95">
        <w:trPr>
          <w:trHeight w:val="227"/>
          <w:jc w:val="center"/>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Baja California Sur</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25</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0.87%</w:t>
            </w:r>
          </w:p>
        </w:tc>
      </w:tr>
      <w:tr w:rsidR="002601A7" w:rsidRPr="002601A7" w:rsidTr="00130F95">
        <w:trPr>
          <w:trHeight w:val="227"/>
          <w:jc w:val="center"/>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Tabasco</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22</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0.76%</w:t>
            </w:r>
          </w:p>
        </w:tc>
      </w:tr>
      <w:tr w:rsidR="002601A7" w:rsidRPr="002601A7" w:rsidTr="00130F95">
        <w:trPr>
          <w:trHeight w:val="227"/>
          <w:jc w:val="center"/>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Aguascalientes</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16</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0.55%</w:t>
            </w:r>
          </w:p>
        </w:tc>
      </w:tr>
      <w:tr w:rsidR="002601A7" w:rsidRPr="002601A7" w:rsidTr="00130F95">
        <w:trPr>
          <w:trHeight w:val="227"/>
          <w:jc w:val="center"/>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 Total nacional</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2887</w:t>
            </w:r>
          </w:p>
        </w:tc>
        <w:tc>
          <w:tcPr>
            <w:tcW w:w="1200" w:type="dxa"/>
            <w:tcBorders>
              <w:top w:val="nil"/>
              <w:left w:val="nil"/>
              <w:bottom w:val="single" w:sz="4" w:space="0" w:color="auto"/>
              <w:right w:val="single" w:sz="4" w:space="0" w:color="auto"/>
            </w:tcBorders>
            <w:shd w:val="clear" w:color="auto" w:fill="auto"/>
            <w:noWrap/>
            <w:vAlign w:val="center"/>
            <w:hideMark/>
          </w:tcPr>
          <w:p w:rsidR="002601A7" w:rsidRPr="00130F95" w:rsidRDefault="002601A7" w:rsidP="006E05D4">
            <w:pPr>
              <w:spacing w:after="0" w:line="240" w:lineRule="auto"/>
              <w:jc w:val="center"/>
              <w:rPr>
                <w:rFonts w:ascii="Adobe Caslon Pro" w:eastAsia="Times New Roman" w:hAnsi="Adobe Caslon Pro"/>
                <w:color w:val="000000"/>
                <w:sz w:val="18"/>
                <w:szCs w:val="20"/>
                <w:lang w:eastAsia="es-MX"/>
              </w:rPr>
            </w:pPr>
            <w:r w:rsidRPr="00130F95">
              <w:rPr>
                <w:rFonts w:ascii="Adobe Caslon Pro" w:eastAsia="Times New Roman" w:hAnsi="Adobe Caslon Pro"/>
                <w:color w:val="000000"/>
                <w:sz w:val="18"/>
                <w:szCs w:val="20"/>
                <w:lang w:eastAsia="es-MX"/>
              </w:rPr>
              <w:t>100%</w:t>
            </w:r>
          </w:p>
        </w:tc>
      </w:tr>
    </w:tbl>
    <w:p w:rsidR="008F5529" w:rsidRPr="000907D3" w:rsidRDefault="008F5529" w:rsidP="0043286B">
      <w:pPr>
        <w:autoSpaceDE w:val="0"/>
        <w:autoSpaceDN w:val="0"/>
        <w:adjustRightInd w:val="0"/>
        <w:spacing w:after="120" w:line="240" w:lineRule="auto"/>
        <w:contextualSpacing/>
        <w:rPr>
          <w:rFonts w:ascii="Adobe Caslon Pro" w:hAnsi="Adobe Caslon Pro" w:cs="Arial"/>
          <w:sz w:val="18"/>
        </w:rPr>
      </w:pPr>
      <w:r w:rsidRPr="000907D3">
        <w:rPr>
          <w:rFonts w:ascii="Adobe Caslon Pro" w:hAnsi="Adobe Caslon Pro" w:cs="Arial"/>
          <w:sz w:val="18"/>
        </w:rPr>
        <w:t xml:space="preserve">Fuente. Elaboración propia con datos del </w:t>
      </w:r>
      <w:r w:rsidR="002F714E">
        <w:rPr>
          <w:rFonts w:ascii="Adobe Caslon Pro" w:hAnsi="Adobe Caslon Pro" w:cs="Arial"/>
          <w:sz w:val="18"/>
        </w:rPr>
        <w:t>INDESOL</w:t>
      </w:r>
      <w:r w:rsidRPr="000907D3">
        <w:rPr>
          <w:rFonts w:ascii="Adobe Caslon Pro" w:hAnsi="Adobe Caslon Pro" w:cs="Arial"/>
          <w:sz w:val="18"/>
        </w:rPr>
        <w:t>.</w:t>
      </w:r>
    </w:p>
    <w:p w:rsidR="00593DE6" w:rsidRDefault="00593DE6" w:rsidP="0043286B">
      <w:pPr>
        <w:spacing w:after="120" w:line="240" w:lineRule="auto"/>
        <w:jc w:val="both"/>
        <w:rPr>
          <w:rFonts w:ascii="Adobe Caslon Pro" w:hAnsi="Adobe Caslon Pro" w:cs="Arial"/>
        </w:rPr>
      </w:pPr>
    </w:p>
    <w:p w:rsidR="00432D15" w:rsidRDefault="00432D15" w:rsidP="0043286B">
      <w:pPr>
        <w:spacing w:after="120" w:line="240" w:lineRule="auto"/>
        <w:jc w:val="both"/>
        <w:rPr>
          <w:rFonts w:ascii="Adobe Caslon Pro" w:hAnsi="Adobe Caslon Pro" w:cs="Arial"/>
        </w:rPr>
      </w:pPr>
      <w:r w:rsidRPr="000907D3">
        <w:rPr>
          <w:rFonts w:ascii="Adobe Caslon Pro" w:hAnsi="Adobe Caslon Pro" w:cs="Arial"/>
        </w:rPr>
        <w:t>En relación al análisis de la población objetivo con algunas variables de desarrollo social, los resultados varían significativamente de los obtenidos en la población potencial</w:t>
      </w:r>
      <w:r w:rsidR="001E2C48">
        <w:rPr>
          <w:rFonts w:ascii="Adobe Caslon Pro" w:hAnsi="Adobe Caslon Pro" w:cs="Arial"/>
        </w:rPr>
        <w:t xml:space="preserve"> en términos de la incidencia de los actores sociales</w:t>
      </w:r>
      <w:r w:rsidR="001E2C48">
        <w:rPr>
          <w:rStyle w:val="Refdenotaalpie"/>
          <w:rFonts w:ascii="Adobe Caslon Pro" w:hAnsi="Adobe Caslon Pro" w:cs="Arial"/>
        </w:rPr>
        <w:footnoteReference w:id="26"/>
      </w:r>
      <w:r w:rsidRPr="000907D3">
        <w:rPr>
          <w:rFonts w:ascii="Adobe Caslon Pro" w:hAnsi="Adobe Caslon Pro" w:cs="Arial"/>
        </w:rPr>
        <w:t>.</w:t>
      </w:r>
    </w:p>
    <w:p w:rsidR="00432D15" w:rsidRDefault="003378B2" w:rsidP="0043286B">
      <w:pPr>
        <w:spacing w:after="120" w:line="240" w:lineRule="auto"/>
        <w:jc w:val="both"/>
        <w:rPr>
          <w:rFonts w:ascii="Adobe Caslon Pro" w:hAnsi="Adobe Caslon Pro" w:cs="Arial"/>
        </w:rPr>
      </w:pPr>
      <w:r>
        <w:rPr>
          <w:rFonts w:ascii="Adobe Caslon Pro" w:hAnsi="Adobe Caslon Pro" w:cs="Arial"/>
        </w:rPr>
        <w:t>A</w:t>
      </w:r>
      <w:r w:rsidR="00432D15" w:rsidRPr="000907D3">
        <w:rPr>
          <w:rFonts w:ascii="Adobe Caslon Pro" w:hAnsi="Adobe Caslon Pro" w:cs="Arial"/>
        </w:rPr>
        <w:t>l analizar la pobreza y la concentración de la población objetivo de actores sociales por entidad, destaca el caso del Estado de México que cuenta con una mayor concentración de pobreza y también de</w:t>
      </w:r>
      <w:r w:rsidR="00BD715C" w:rsidRPr="000907D3">
        <w:rPr>
          <w:rFonts w:ascii="Adobe Caslon Pro" w:hAnsi="Adobe Caslon Pro" w:cs="Arial"/>
        </w:rPr>
        <w:t xml:space="preserve"> población objetivo de</w:t>
      </w:r>
      <w:r w:rsidR="00432D15" w:rsidRPr="000907D3">
        <w:rPr>
          <w:rFonts w:ascii="Adobe Caslon Pro" w:hAnsi="Adobe Caslon Pro" w:cs="Arial"/>
        </w:rPr>
        <w:t xml:space="preserve"> actores sociales y este mismo comportamiento se observa en Oaxaca; por el contrario, entidades como Baja California, y Nuevo León cuentan con una concentración inferior a la del promedio nacional en pobreza y también cuentan con una mayor concentración de</w:t>
      </w:r>
      <w:r w:rsidR="00A97B88">
        <w:rPr>
          <w:rFonts w:ascii="Adobe Caslon Pro" w:hAnsi="Adobe Caslon Pro" w:cs="Arial"/>
        </w:rPr>
        <w:t xml:space="preserve"> </w:t>
      </w:r>
      <w:r w:rsidR="003E251B" w:rsidRPr="000907D3">
        <w:rPr>
          <w:rFonts w:ascii="Adobe Caslon Pro" w:hAnsi="Adobe Caslon Pro" w:cs="Arial"/>
        </w:rPr>
        <w:t>actores</w:t>
      </w:r>
      <w:r w:rsidR="00A97B88">
        <w:rPr>
          <w:rFonts w:ascii="Adobe Caslon Pro" w:hAnsi="Adobe Caslon Pro" w:cs="Arial"/>
        </w:rPr>
        <w:t xml:space="preserve"> </w:t>
      </w:r>
      <w:r w:rsidR="00432D15" w:rsidRPr="000907D3">
        <w:rPr>
          <w:rFonts w:ascii="Adobe Caslon Pro" w:hAnsi="Adobe Caslon Pro" w:cs="Arial"/>
        </w:rPr>
        <w:t>sociales.</w:t>
      </w:r>
      <w:r w:rsidR="00664D02">
        <w:rPr>
          <w:rFonts w:ascii="Adobe Caslon Pro" w:hAnsi="Adobe Caslon Pro" w:cs="Arial"/>
        </w:rPr>
        <w:t xml:space="preserve"> Destaca Tabasco por tener una alta concentración de pobreza y una baja concentración de la incidencia de los actores sociales. </w:t>
      </w:r>
    </w:p>
    <w:p w:rsidR="006E05D4" w:rsidRDefault="006E05D4">
      <w:pPr>
        <w:spacing w:after="200"/>
        <w:rPr>
          <w:rFonts w:ascii="Adobe Caslon Pro" w:hAnsi="Adobe Caslon Pro" w:cs="Arial"/>
          <w:b/>
          <w:sz w:val="20"/>
        </w:rPr>
      </w:pPr>
      <w:r>
        <w:rPr>
          <w:rFonts w:ascii="Adobe Caslon Pro" w:hAnsi="Adobe Caslon Pro" w:cs="Arial"/>
          <w:b/>
          <w:sz w:val="20"/>
        </w:rPr>
        <w:br w:type="page"/>
      </w:r>
    </w:p>
    <w:p w:rsidR="00432D15" w:rsidRPr="000907D3" w:rsidRDefault="00742EF0" w:rsidP="0043286B">
      <w:pPr>
        <w:spacing w:before="240" w:after="120" w:line="240" w:lineRule="auto"/>
        <w:jc w:val="center"/>
        <w:rPr>
          <w:rFonts w:ascii="Adobe Caslon Pro" w:hAnsi="Adobe Caslon Pro" w:cs="Arial"/>
          <w:b/>
          <w:sz w:val="20"/>
        </w:rPr>
      </w:pPr>
      <w:r w:rsidRPr="000907D3">
        <w:rPr>
          <w:rFonts w:ascii="Adobe Caslon Pro" w:hAnsi="Adobe Caslon Pro" w:cs="Arial"/>
          <w:b/>
          <w:sz w:val="20"/>
        </w:rPr>
        <w:lastRenderedPageBreak/>
        <w:t>Gráfica 2</w:t>
      </w:r>
      <w:r w:rsidR="00593DE6">
        <w:rPr>
          <w:rFonts w:ascii="Adobe Caslon Pro" w:hAnsi="Adobe Caslon Pro" w:cs="Arial"/>
          <w:b/>
          <w:sz w:val="20"/>
        </w:rPr>
        <w:t>3</w:t>
      </w:r>
      <w:r w:rsidR="00432D15" w:rsidRPr="000907D3">
        <w:rPr>
          <w:rFonts w:ascii="Adobe Caslon Pro" w:hAnsi="Adobe Caslon Pro" w:cs="Arial"/>
          <w:b/>
          <w:sz w:val="20"/>
        </w:rPr>
        <w:t>. Concentración incidencia de actores sociales de la población objetivo y pobreza extrema</w:t>
      </w:r>
    </w:p>
    <w:p w:rsidR="00432D15" w:rsidRPr="000907D3" w:rsidRDefault="00432D15" w:rsidP="0043286B">
      <w:pPr>
        <w:spacing w:after="120" w:line="240" w:lineRule="auto"/>
        <w:jc w:val="both"/>
        <w:rPr>
          <w:rFonts w:ascii="Adobe Caslon Pro" w:hAnsi="Adobe Caslon Pro" w:cs="Arial"/>
        </w:rPr>
      </w:pPr>
      <w:r w:rsidRPr="000907D3">
        <w:rPr>
          <w:rFonts w:ascii="Adobe Caslon Pro" w:hAnsi="Adobe Caslon Pro"/>
          <w:noProof/>
          <w:lang w:eastAsia="es-MX"/>
        </w:rPr>
        <w:drawing>
          <wp:inline distT="0" distB="0" distL="0" distR="0" wp14:anchorId="05E1DE9C" wp14:editId="4525B44E">
            <wp:extent cx="6166884" cy="2412000"/>
            <wp:effectExtent l="0" t="0" r="24765" b="26670"/>
            <wp:docPr id="107" name="Gráfico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432D15" w:rsidRPr="000907D3" w:rsidRDefault="00432D15" w:rsidP="0043286B">
      <w:pPr>
        <w:spacing w:after="120" w:line="240" w:lineRule="auto"/>
        <w:contextualSpacing/>
        <w:rPr>
          <w:rFonts w:ascii="Adobe Caslon Pro" w:hAnsi="Adobe Caslon Pro" w:cs="Arial"/>
          <w:sz w:val="18"/>
        </w:rPr>
      </w:pPr>
      <w:r w:rsidRPr="000907D3">
        <w:rPr>
          <w:rFonts w:ascii="Adobe Caslon Pro" w:hAnsi="Adobe Caslon Pro" w:cs="Arial"/>
          <w:sz w:val="18"/>
        </w:rPr>
        <w:t xml:space="preserve">Fuente. Elaboración propia con datos del </w:t>
      </w:r>
      <w:r w:rsidR="002F714E">
        <w:rPr>
          <w:rFonts w:ascii="Adobe Caslon Pro" w:hAnsi="Adobe Caslon Pro" w:cs="Arial"/>
          <w:sz w:val="18"/>
        </w:rPr>
        <w:t>INDESOL</w:t>
      </w:r>
      <w:r w:rsidRPr="000907D3">
        <w:rPr>
          <w:rFonts w:ascii="Adobe Caslon Pro" w:hAnsi="Adobe Caslon Pro" w:cs="Arial"/>
          <w:sz w:val="18"/>
        </w:rPr>
        <w:t xml:space="preserve"> y </w:t>
      </w:r>
      <w:r w:rsidR="00AE5A03">
        <w:rPr>
          <w:rFonts w:ascii="Adobe Caslon Pro" w:hAnsi="Adobe Caslon Pro" w:cs="Arial"/>
          <w:sz w:val="18"/>
        </w:rPr>
        <w:t>CONEVAL</w:t>
      </w:r>
      <w:r w:rsidR="001111E3">
        <w:rPr>
          <w:rFonts w:ascii="Adobe Caslon Pro" w:hAnsi="Adobe Caslon Pro" w:cs="Arial"/>
          <w:sz w:val="18"/>
        </w:rPr>
        <w:t>.</w:t>
      </w:r>
    </w:p>
    <w:p w:rsidR="00432D15" w:rsidRDefault="00432D15" w:rsidP="0043286B">
      <w:pPr>
        <w:spacing w:after="120" w:line="240" w:lineRule="auto"/>
        <w:contextualSpacing/>
        <w:rPr>
          <w:rFonts w:ascii="Adobe Caslon Pro" w:hAnsi="Adobe Caslon Pro" w:cs="Arial"/>
        </w:rPr>
      </w:pPr>
    </w:p>
    <w:p w:rsidR="00664D02" w:rsidRDefault="00664D02" w:rsidP="0043286B">
      <w:pPr>
        <w:spacing w:after="120" w:line="240" w:lineRule="auto"/>
        <w:contextualSpacing/>
        <w:rPr>
          <w:rFonts w:ascii="Adobe Caslon Pro" w:hAnsi="Adobe Caslon Pro" w:cs="Arial"/>
        </w:rPr>
      </w:pPr>
      <w:r>
        <w:rPr>
          <w:rFonts w:ascii="Adobe Caslon Pro" w:hAnsi="Adobe Caslon Pro" w:cs="Arial"/>
        </w:rPr>
        <w:t xml:space="preserve">En relación al coeficiente de Gini, no se observa un patrón claro; sin embargo, es posible mencionar al Distrito Federal por tener uno de los coeficientes más bajos y una concentración mayor de actores sociales; así como Tlaxcala y Morelos con un Gini tendiente a la igualdad pero una concentración relativamente inferior al del promedio por lo que se observan resultados contrapuestos entre estos escenarios. </w:t>
      </w:r>
    </w:p>
    <w:p w:rsidR="00664D02" w:rsidRDefault="00664D02" w:rsidP="0043286B">
      <w:pPr>
        <w:spacing w:after="120" w:line="240" w:lineRule="auto"/>
        <w:contextualSpacing/>
        <w:rPr>
          <w:rFonts w:ascii="Adobe Caslon Pro" w:hAnsi="Adobe Caslon Pro" w:cs="Arial"/>
        </w:rPr>
      </w:pPr>
    </w:p>
    <w:p w:rsidR="00432D15" w:rsidRPr="000907D3" w:rsidRDefault="00130F95" w:rsidP="0043286B">
      <w:pPr>
        <w:spacing w:after="120" w:line="240" w:lineRule="auto"/>
        <w:rPr>
          <w:rFonts w:ascii="Adobe Caslon Pro" w:hAnsi="Adobe Caslon Pro" w:cs="Arial"/>
          <w:sz w:val="18"/>
        </w:rPr>
      </w:pPr>
      <w:r>
        <w:rPr>
          <w:rFonts w:ascii="Adobe Caslon Pro" w:hAnsi="Adobe Caslon Pro" w:cs="Arial"/>
          <w:b/>
          <w:sz w:val="20"/>
        </w:rPr>
        <w:t>G</w:t>
      </w:r>
      <w:r w:rsidR="00432D15" w:rsidRPr="000907D3">
        <w:rPr>
          <w:rFonts w:ascii="Adobe Caslon Pro" w:hAnsi="Adobe Caslon Pro" w:cs="Arial"/>
          <w:b/>
          <w:sz w:val="20"/>
        </w:rPr>
        <w:t xml:space="preserve">ráfica </w:t>
      </w:r>
      <w:r w:rsidR="00742EF0" w:rsidRPr="000907D3">
        <w:rPr>
          <w:rFonts w:ascii="Adobe Caslon Pro" w:hAnsi="Adobe Caslon Pro" w:cs="Arial"/>
          <w:b/>
          <w:sz w:val="20"/>
        </w:rPr>
        <w:t>2</w:t>
      </w:r>
      <w:r w:rsidR="00593DE6">
        <w:rPr>
          <w:rFonts w:ascii="Adobe Caslon Pro" w:hAnsi="Adobe Caslon Pro" w:cs="Arial"/>
          <w:b/>
          <w:sz w:val="20"/>
        </w:rPr>
        <w:t>4</w:t>
      </w:r>
      <w:r w:rsidR="00432D15" w:rsidRPr="000907D3">
        <w:rPr>
          <w:rFonts w:ascii="Adobe Caslon Pro" w:hAnsi="Adobe Caslon Pro" w:cs="Arial"/>
          <w:b/>
          <w:sz w:val="20"/>
        </w:rPr>
        <w:t xml:space="preserve">. Concentración de incidencia de actores sociales de la población objetivo y coeficiente de </w:t>
      </w:r>
      <w:r w:rsidR="00BD715C" w:rsidRPr="000907D3">
        <w:rPr>
          <w:rFonts w:ascii="Adobe Caslon Pro" w:hAnsi="Adobe Caslon Pro" w:cs="Arial"/>
          <w:b/>
          <w:sz w:val="20"/>
        </w:rPr>
        <w:t>G</w:t>
      </w:r>
      <w:r w:rsidR="00432D15" w:rsidRPr="000907D3">
        <w:rPr>
          <w:rFonts w:ascii="Adobe Caslon Pro" w:hAnsi="Adobe Caslon Pro" w:cs="Arial"/>
          <w:b/>
          <w:sz w:val="20"/>
        </w:rPr>
        <w:t>ini</w:t>
      </w:r>
      <w:r w:rsidR="00432D15" w:rsidRPr="000907D3">
        <w:rPr>
          <w:rFonts w:ascii="Adobe Caslon Pro" w:hAnsi="Adobe Caslon Pro"/>
          <w:noProof/>
          <w:lang w:eastAsia="es-MX"/>
        </w:rPr>
        <w:drawing>
          <wp:inline distT="0" distB="0" distL="0" distR="0" wp14:anchorId="5282DF90" wp14:editId="01C77F3E">
            <wp:extent cx="6327971" cy="2412000"/>
            <wp:effectExtent l="0" t="0" r="15875" b="26670"/>
            <wp:docPr id="108" name="Gráfico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432D15" w:rsidRPr="000907D3">
        <w:rPr>
          <w:rFonts w:ascii="Adobe Caslon Pro" w:hAnsi="Adobe Caslon Pro" w:cs="Arial"/>
          <w:sz w:val="18"/>
        </w:rPr>
        <w:t xml:space="preserve">Fuente. Elaboración propia con datos del </w:t>
      </w:r>
      <w:r w:rsidR="002F714E">
        <w:rPr>
          <w:rFonts w:ascii="Adobe Caslon Pro" w:hAnsi="Adobe Caslon Pro" w:cs="Arial"/>
          <w:sz w:val="18"/>
        </w:rPr>
        <w:t>INDESOL</w:t>
      </w:r>
      <w:r w:rsidR="00432D15" w:rsidRPr="000907D3">
        <w:rPr>
          <w:rFonts w:ascii="Adobe Caslon Pro" w:hAnsi="Adobe Caslon Pro" w:cs="Arial"/>
          <w:sz w:val="18"/>
        </w:rPr>
        <w:t xml:space="preserve"> y </w:t>
      </w:r>
      <w:r w:rsidR="00AE5A03">
        <w:rPr>
          <w:rFonts w:ascii="Adobe Caslon Pro" w:hAnsi="Adobe Caslon Pro" w:cs="Arial"/>
          <w:sz w:val="18"/>
        </w:rPr>
        <w:t>CONEVAL</w:t>
      </w:r>
      <w:r w:rsidR="001111E3">
        <w:rPr>
          <w:rFonts w:ascii="Adobe Caslon Pro" w:hAnsi="Adobe Caslon Pro" w:cs="Arial"/>
          <w:sz w:val="18"/>
        </w:rPr>
        <w:t>.</w:t>
      </w:r>
    </w:p>
    <w:p w:rsidR="00432D15" w:rsidRPr="000907D3" w:rsidRDefault="00432D15" w:rsidP="0043286B">
      <w:pPr>
        <w:spacing w:after="120" w:line="240" w:lineRule="auto"/>
        <w:jc w:val="both"/>
        <w:rPr>
          <w:rFonts w:ascii="Adobe Caslon Pro" w:hAnsi="Adobe Caslon Pro" w:cs="Arial"/>
          <w:b/>
        </w:rPr>
      </w:pPr>
    </w:p>
    <w:p w:rsidR="00432D15" w:rsidRPr="000907D3" w:rsidRDefault="00432D15" w:rsidP="0043286B">
      <w:pPr>
        <w:spacing w:after="120" w:line="240" w:lineRule="auto"/>
        <w:contextualSpacing/>
        <w:jc w:val="both"/>
        <w:rPr>
          <w:rFonts w:ascii="Adobe Caslon Pro" w:hAnsi="Adobe Caslon Pro" w:cs="Arial"/>
        </w:rPr>
      </w:pPr>
      <w:r w:rsidRPr="000907D3">
        <w:rPr>
          <w:rFonts w:ascii="Adobe Caslon Pro" w:hAnsi="Adobe Caslon Pro" w:cs="Arial"/>
        </w:rPr>
        <w:t xml:space="preserve">En cuestión de desigualdad y desarrollo humano, ninguna conclusión puede obtenerse pues el comportamiento no sigue ningún patrón </w:t>
      </w:r>
      <w:r w:rsidR="00664D02">
        <w:rPr>
          <w:rFonts w:ascii="Adobe Caslon Pro" w:hAnsi="Adobe Caslon Pro" w:cs="Arial"/>
        </w:rPr>
        <w:t>ya que</w:t>
      </w:r>
      <w:r w:rsidRPr="000907D3">
        <w:rPr>
          <w:rFonts w:ascii="Adobe Caslon Pro" w:hAnsi="Adobe Caslon Pro" w:cs="Arial"/>
        </w:rPr>
        <w:t xml:space="preserve"> hay alta concentración de </w:t>
      </w:r>
      <w:r w:rsidR="003E251B" w:rsidRPr="000907D3">
        <w:rPr>
          <w:rFonts w:ascii="Adobe Caslon Pro" w:hAnsi="Adobe Caslon Pro" w:cs="Arial"/>
        </w:rPr>
        <w:t xml:space="preserve">actores </w:t>
      </w:r>
      <w:r w:rsidRPr="000907D3">
        <w:rPr>
          <w:rFonts w:ascii="Adobe Caslon Pro" w:hAnsi="Adobe Caslon Pro" w:cs="Arial"/>
        </w:rPr>
        <w:t xml:space="preserve">sociales en entidades de </w:t>
      </w:r>
      <w:r w:rsidRPr="000907D3">
        <w:rPr>
          <w:rFonts w:ascii="Adobe Caslon Pro" w:hAnsi="Adobe Caslon Pro" w:cs="Arial"/>
        </w:rPr>
        <w:lastRenderedPageBreak/>
        <w:t xml:space="preserve">mayor y menor desigualdad aunque parece tener un nivel mayor en entidades de menor desigualdad. Sin embargo, parece existir el comportamiento contrario con el IDH pues, en promedio, existe una mayor concentración en estados con menor desarrollo humano. </w:t>
      </w:r>
    </w:p>
    <w:p w:rsidR="00432D15" w:rsidRPr="000907D3" w:rsidRDefault="00432D15" w:rsidP="0043286B">
      <w:pPr>
        <w:spacing w:after="120" w:line="240" w:lineRule="auto"/>
        <w:contextualSpacing/>
        <w:rPr>
          <w:rFonts w:ascii="Adobe Caslon Pro" w:hAnsi="Adobe Caslon Pro" w:cs="Arial"/>
        </w:rPr>
      </w:pPr>
    </w:p>
    <w:p w:rsidR="00432D15" w:rsidRPr="000907D3" w:rsidRDefault="00432D15" w:rsidP="0043286B">
      <w:pPr>
        <w:spacing w:after="120" w:line="240" w:lineRule="auto"/>
        <w:jc w:val="center"/>
        <w:rPr>
          <w:rFonts w:ascii="Adobe Caslon Pro" w:hAnsi="Adobe Caslon Pro" w:cs="Arial"/>
        </w:rPr>
      </w:pPr>
      <w:r w:rsidRPr="000907D3">
        <w:rPr>
          <w:rFonts w:ascii="Adobe Caslon Pro" w:hAnsi="Adobe Caslon Pro" w:cs="Arial"/>
          <w:b/>
          <w:sz w:val="20"/>
        </w:rPr>
        <w:t xml:space="preserve">Gráfica </w:t>
      </w:r>
      <w:r w:rsidR="00742EF0" w:rsidRPr="000907D3">
        <w:rPr>
          <w:rFonts w:ascii="Adobe Caslon Pro" w:hAnsi="Adobe Caslon Pro" w:cs="Arial"/>
          <w:b/>
          <w:sz w:val="20"/>
        </w:rPr>
        <w:t>2</w:t>
      </w:r>
      <w:r w:rsidR="00593DE6">
        <w:rPr>
          <w:rFonts w:ascii="Adobe Caslon Pro" w:hAnsi="Adobe Caslon Pro" w:cs="Arial"/>
          <w:b/>
          <w:sz w:val="20"/>
        </w:rPr>
        <w:t>5</w:t>
      </w:r>
      <w:r w:rsidRPr="000907D3">
        <w:rPr>
          <w:rFonts w:ascii="Adobe Caslon Pro" w:hAnsi="Adobe Caslon Pro" w:cs="Arial"/>
          <w:b/>
          <w:sz w:val="20"/>
        </w:rPr>
        <w:t xml:space="preserve">. Concentración de incidencia de actores sociales de la población objetivo e IDH </w:t>
      </w:r>
      <w:r w:rsidRPr="000907D3">
        <w:rPr>
          <w:rFonts w:ascii="Adobe Caslon Pro" w:hAnsi="Adobe Caslon Pro"/>
          <w:noProof/>
          <w:lang w:eastAsia="es-MX"/>
        </w:rPr>
        <w:drawing>
          <wp:inline distT="0" distB="0" distL="0" distR="0" wp14:anchorId="5D691E86" wp14:editId="24C4F2F2">
            <wp:extent cx="6368432" cy="2412000"/>
            <wp:effectExtent l="0" t="0" r="13335" b="26670"/>
            <wp:docPr id="109" name="Gráfico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432D15" w:rsidRPr="000907D3" w:rsidRDefault="00432D15" w:rsidP="0043286B">
      <w:pPr>
        <w:spacing w:after="120" w:line="240" w:lineRule="auto"/>
        <w:contextualSpacing/>
        <w:rPr>
          <w:rFonts w:ascii="Adobe Caslon Pro" w:hAnsi="Adobe Caslon Pro" w:cs="Arial"/>
          <w:sz w:val="18"/>
        </w:rPr>
      </w:pPr>
      <w:r w:rsidRPr="000907D3">
        <w:rPr>
          <w:rFonts w:ascii="Adobe Caslon Pro" w:hAnsi="Adobe Caslon Pro" w:cs="Arial"/>
          <w:sz w:val="18"/>
        </w:rPr>
        <w:t xml:space="preserve">Fuente. Elaboración propia con datos del </w:t>
      </w:r>
      <w:r w:rsidR="002F714E">
        <w:rPr>
          <w:rFonts w:ascii="Adobe Caslon Pro" w:hAnsi="Adobe Caslon Pro" w:cs="Arial"/>
          <w:sz w:val="18"/>
        </w:rPr>
        <w:t>INDESOL</w:t>
      </w:r>
      <w:r w:rsidRPr="000907D3">
        <w:rPr>
          <w:rFonts w:ascii="Adobe Caslon Pro" w:hAnsi="Adobe Caslon Pro" w:cs="Arial"/>
          <w:sz w:val="18"/>
        </w:rPr>
        <w:t xml:space="preserve"> y PNUD</w:t>
      </w:r>
      <w:r w:rsidR="001111E3">
        <w:rPr>
          <w:rFonts w:ascii="Adobe Caslon Pro" w:hAnsi="Adobe Caslon Pro" w:cs="Arial"/>
          <w:sz w:val="18"/>
        </w:rPr>
        <w:t>.</w:t>
      </w:r>
    </w:p>
    <w:p w:rsidR="00432D15" w:rsidRPr="000907D3" w:rsidRDefault="00432D15" w:rsidP="0043286B">
      <w:pPr>
        <w:spacing w:after="120" w:line="240" w:lineRule="auto"/>
        <w:jc w:val="both"/>
        <w:rPr>
          <w:rFonts w:ascii="Adobe Caslon Pro" w:hAnsi="Adobe Caslon Pro" w:cs="Arial"/>
          <w:b/>
        </w:rPr>
      </w:pPr>
    </w:p>
    <w:p w:rsidR="00432D15" w:rsidRDefault="00432D15" w:rsidP="0043286B">
      <w:pPr>
        <w:spacing w:after="120" w:line="240" w:lineRule="auto"/>
        <w:jc w:val="both"/>
        <w:rPr>
          <w:rFonts w:ascii="Adobe Caslon Pro" w:hAnsi="Adobe Caslon Pro" w:cs="Arial"/>
        </w:rPr>
      </w:pPr>
      <w:r w:rsidRPr="000907D3">
        <w:rPr>
          <w:rFonts w:ascii="Adobe Caslon Pro" w:hAnsi="Adobe Caslon Pro" w:cs="Arial"/>
        </w:rPr>
        <w:t xml:space="preserve">Finalmente, la relación entre el índice de percepción de redes sociales y la concentración de actores sociales por entidad muestra un comportamiento </w:t>
      </w:r>
      <w:r w:rsidR="00BD715C" w:rsidRPr="000907D3">
        <w:rPr>
          <w:rFonts w:ascii="Adobe Caslon Pro" w:hAnsi="Adobe Caslon Pro" w:cs="Arial"/>
        </w:rPr>
        <w:t xml:space="preserve">similar </w:t>
      </w:r>
      <w:r w:rsidRPr="000907D3">
        <w:rPr>
          <w:rFonts w:ascii="Adobe Caslon Pro" w:hAnsi="Adobe Caslon Pro" w:cs="Arial"/>
        </w:rPr>
        <w:t xml:space="preserve">al </w:t>
      </w:r>
      <w:r w:rsidR="00A97B88">
        <w:rPr>
          <w:rFonts w:ascii="Adobe Caslon Pro" w:hAnsi="Adobe Caslon Pro" w:cs="Arial"/>
        </w:rPr>
        <w:t xml:space="preserve">observado </w:t>
      </w:r>
      <w:r w:rsidRPr="000907D3">
        <w:rPr>
          <w:rFonts w:ascii="Adobe Caslon Pro" w:hAnsi="Adobe Caslon Pro" w:cs="Arial"/>
        </w:rPr>
        <w:t>e</w:t>
      </w:r>
      <w:r w:rsidR="00A97B88">
        <w:rPr>
          <w:rFonts w:ascii="Adobe Caslon Pro" w:hAnsi="Adobe Caslon Pro" w:cs="Arial"/>
        </w:rPr>
        <w:t>n</w:t>
      </w:r>
      <w:r w:rsidRPr="000907D3">
        <w:rPr>
          <w:rFonts w:ascii="Adobe Caslon Pro" w:hAnsi="Adobe Caslon Pro" w:cs="Arial"/>
        </w:rPr>
        <w:t xml:space="preserve"> la población potencial ya que las entidades con mayor concentración de actores sociales tienden a tener una percepción media o baja y las de menor número de actores una percepción alta. </w:t>
      </w:r>
    </w:p>
    <w:p w:rsidR="00432D15" w:rsidRPr="000907D3" w:rsidRDefault="00432D15" w:rsidP="0043286B">
      <w:pPr>
        <w:pStyle w:val="Epgrafe"/>
        <w:spacing w:after="120"/>
        <w:contextualSpacing/>
        <w:jc w:val="center"/>
        <w:rPr>
          <w:rFonts w:ascii="Adobe Caslon Pro" w:hAnsi="Adobe Caslon Pro" w:cs="Arial"/>
          <w:color w:val="000000" w:themeColor="text1"/>
          <w:sz w:val="20"/>
          <w:szCs w:val="22"/>
        </w:rPr>
      </w:pPr>
      <w:r w:rsidRPr="000907D3">
        <w:rPr>
          <w:rFonts w:ascii="Adobe Caslon Pro" w:hAnsi="Adobe Caslon Pro" w:cs="Arial"/>
          <w:color w:val="000000" w:themeColor="text1"/>
          <w:sz w:val="20"/>
          <w:szCs w:val="22"/>
        </w:rPr>
        <w:t xml:space="preserve">Gráfica </w:t>
      </w:r>
      <w:r w:rsidR="00742EF0" w:rsidRPr="000907D3">
        <w:rPr>
          <w:rFonts w:ascii="Adobe Caslon Pro" w:hAnsi="Adobe Caslon Pro" w:cs="Arial"/>
          <w:color w:val="000000" w:themeColor="text1"/>
          <w:sz w:val="20"/>
          <w:szCs w:val="22"/>
        </w:rPr>
        <w:t>2</w:t>
      </w:r>
      <w:r w:rsidR="00593DE6">
        <w:rPr>
          <w:rFonts w:ascii="Adobe Caslon Pro" w:hAnsi="Adobe Caslon Pro" w:cs="Arial"/>
          <w:color w:val="000000" w:themeColor="text1"/>
          <w:sz w:val="20"/>
          <w:szCs w:val="22"/>
        </w:rPr>
        <w:t>6</w:t>
      </w:r>
      <w:r w:rsidRPr="000907D3">
        <w:rPr>
          <w:rFonts w:ascii="Adobe Caslon Pro" w:hAnsi="Adobe Caslon Pro" w:cs="Arial"/>
          <w:color w:val="000000" w:themeColor="text1"/>
          <w:sz w:val="20"/>
          <w:szCs w:val="22"/>
        </w:rPr>
        <w:t xml:space="preserve">. Distribución de la población objetivo y su relación con el índice de percepción de redes sociales </w:t>
      </w:r>
    </w:p>
    <w:p w:rsidR="00432D15" w:rsidRPr="000907D3" w:rsidRDefault="00432D15" w:rsidP="0043286B">
      <w:pPr>
        <w:spacing w:after="120" w:line="240" w:lineRule="auto"/>
        <w:jc w:val="both"/>
        <w:rPr>
          <w:rFonts w:ascii="Adobe Caslon Pro" w:hAnsi="Adobe Caslon Pro" w:cs="Arial"/>
          <w:b/>
        </w:rPr>
      </w:pPr>
      <w:r w:rsidRPr="000907D3">
        <w:rPr>
          <w:rFonts w:ascii="Adobe Caslon Pro" w:hAnsi="Adobe Caslon Pro"/>
          <w:noProof/>
          <w:lang w:eastAsia="es-MX"/>
        </w:rPr>
        <w:drawing>
          <wp:inline distT="0" distB="0" distL="0" distR="0" wp14:anchorId="32A8E67C" wp14:editId="149F0235">
            <wp:extent cx="6048375" cy="2412000"/>
            <wp:effectExtent l="0" t="0" r="9525" b="26670"/>
            <wp:docPr id="111" name="Gráfico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432D15" w:rsidRDefault="00432D15" w:rsidP="0043286B">
      <w:pPr>
        <w:spacing w:after="120" w:line="240" w:lineRule="auto"/>
        <w:contextualSpacing/>
        <w:rPr>
          <w:rFonts w:ascii="Adobe Caslon Pro" w:hAnsi="Adobe Caslon Pro" w:cs="Arial"/>
          <w:sz w:val="18"/>
        </w:rPr>
      </w:pPr>
      <w:r w:rsidRPr="000907D3">
        <w:rPr>
          <w:rFonts w:ascii="Adobe Caslon Pro" w:hAnsi="Adobe Caslon Pro" w:cs="Arial"/>
          <w:sz w:val="18"/>
        </w:rPr>
        <w:t xml:space="preserve">Fuente. Elaboración propia con datos del </w:t>
      </w:r>
      <w:r w:rsidR="002F714E">
        <w:rPr>
          <w:rFonts w:ascii="Adobe Caslon Pro" w:hAnsi="Adobe Caslon Pro" w:cs="Arial"/>
          <w:sz w:val="18"/>
        </w:rPr>
        <w:t>INDESOL</w:t>
      </w:r>
      <w:r w:rsidRPr="000907D3">
        <w:rPr>
          <w:rFonts w:ascii="Adobe Caslon Pro" w:hAnsi="Adobe Caslon Pro" w:cs="Arial"/>
          <w:sz w:val="18"/>
        </w:rPr>
        <w:t xml:space="preserve"> y </w:t>
      </w:r>
      <w:r w:rsidR="00AE5A03">
        <w:rPr>
          <w:rFonts w:ascii="Adobe Caslon Pro" w:hAnsi="Adobe Caslon Pro" w:cs="Arial"/>
          <w:sz w:val="18"/>
        </w:rPr>
        <w:t>CONEVAL</w:t>
      </w:r>
      <w:r w:rsidR="001111E3">
        <w:rPr>
          <w:rFonts w:ascii="Adobe Caslon Pro" w:hAnsi="Adobe Caslon Pro" w:cs="Arial"/>
          <w:sz w:val="18"/>
        </w:rPr>
        <w:t>.</w:t>
      </w:r>
    </w:p>
    <w:p w:rsidR="00130F95" w:rsidRPr="000907D3" w:rsidRDefault="00130F95" w:rsidP="0043286B">
      <w:pPr>
        <w:spacing w:after="120" w:line="240" w:lineRule="auto"/>
        <w:contextualSpacing/>
        <w:rPr>
          <w:rFonts w:ascii="Adobe Caslon Pro" w:hAnsi="Adobe Caslon Pro" w:cs="Arial"/>
          <w:sz w:val="18"/>
        </w:rPr>
      </w:pPr>
    </w:p>
    <w:p w:rsidR="00BD715C" w:rsidRDefault="00432D15" w:rsidP="0043286B">
      <w:pPr>
        <w:spacing w:after="120" w:line="240" w:lineRule="auto"/>
        <w:jc w:val="both"/>
        <w:rPr>
          <w:rFonts w:ascii="Adobe Caslon Pro" w:hAnsi="Adobe Caslon Pro" w:cs="Arial"/>
        </w:rPr>
      </w:pPr>
      <w:r w:rsidRPr="000907D3">
        <w:rPr>
          <w:rFonts w:ascii="Adobe Caslon Pro" w:hAnsi="Adobe Caslon Pro" w:cs="Arial"/>
        </w:rPr>
        <w:t>En cuestión de grupos etarios, los proyectos presentados por parte de la población objetivo entre 2011 y 2013, buscaron mayoritariamente incidir en el grupo de población que va de los 13 a los 29 años de edad</w:t>
      </w:r>
      <w:r w:rsidR="00BD715C" w:rsidRPr="000907D3">
        <w:rPr>
          <w:rFonts w:ascii="Adobe Caslon Pro" w:hAnsi="Adobe Caslon Pro" w:cs="Arial"/>
        </w:rPr>
        <w:t xml:space="preserve">. Cabe destacar que estas proporciones se mantienen a lo largo de los tres años observados por lo que se considera que este patrón podría continuar para los años subsecuentes. </w:t>
      </w:r>
    </w:p>
    <w:p w:rsidR="00BD715C" w:rsidRPr="000907D3" w:rsidRDefault="00593DE6" w:rsidP="0043286B">
      <w:pPr>
        <w:pStyle w:val="Epgrafe"/>
        <w:spacing w:after="120"/>
        <w:contextualSpacing/>
        <w:jc w:val="center"/>
        <w:rPr>
          <w:rFonts w:ascii="Adobe Caslon Pro" w:hAnsi="Adobe Caslon Pro" w:cs="Arial"/>
          <w:sz w:val="20"/>
          <w:szCs w:val="22"/>
        </w:rPr>
      </w:pPr>
      <w:r>
        <w:rPr>
          <w:rFonts w:ascii="Adobe Caslon Pro" w:hAnsi="Adobe Caslon Pro" w:cs="Arial"/>
          <w:color w:val="000000" w:themeColor="text1"/>
          <w:sz w:val="20"/>
          <w:szCs w:val="22"/>
        </w:rPr>
        <w:t>Gráfica 27</w:t>
      </w:r>
      <w:r w:rsidR="00BD715C" w:rsidRPr="000907D3">
        <w:rPr>
          <w:rFonts w:ascii="Adobe Caslon Pro" w:hAnsi="Adobe Caslon Pro" w:cs="Arial"/>
          <w:color w:val="000000" w:themeColor="text1"/>
          <w:sz w:val="20"/>
          <w:szCs w:val="22"/>
        </w:rPr>
        <w:t>. Incidencia estimada de la Población objetivo por grupos de edad 2011-2013</w:t>
      </w:r>
    </w:p>
    <w:p w:rsidR="00BD715C" w:rsidRPr="000907D3" w:rsidRDefault="00BD715C" w:rsidP="0043286B">
      <w:pPr>
        <w:spacing w:after="120" w:line="240" w:lineRule="auto"/>
        <w:contextualSpacing/>
        <w:jc w:val="center"/>
        <w:rPr>
          <w:rFonts w:ascii="Adobe Caslon Pro" w:hAnsi="Adobe Caslon Pro" w:cs="Arial"/>
        </w:rPr>
      </w:pPr>
      <w:r w:rsidRPr="00593DE6">
        <w:rPr>
          <w:rFonts w:ascii="Adobe Caslon Pro" w:hAnsi="Adobe Caslon Pro" w:cs="Arial"/>
          <w:noProof/>
          <w:color w:val="BFBFBF" w:themeColor="background1" w:themeShade="BF"/>
          <w:lang w:eastAsia="es-MX"/>
        </w:rPr>
        <w:drawing>
          <wp:inline distT="0" distB="0" distL="0" distR="0" wp14:anchorId="332478F5" wp14:editId="19411058">
            <wp:extent cx="4322619" cy="2125683"/>
            <wp:effectExtent l="0" t="0" r="20955" b="2730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BD715C" w:rsidRDefault="00BD715C" w:rsidP="0043286B">
      <w:pPr>
        <w:spacing w:after="120" w:line="240" w:lineRule="auto"/>
        <w:contextualSpacing/>
        <w:rPr>
          <w:rFonts w:ascii="Adobe Caslon Pro" w:hAnsi="Adobe Caslon Pro" w:cs="Arial"/>
          <w:sz w:val="18"/>
        </w:rPr>
      </w:pPr>
      <w:r w:rsidRPr="000907D3">
        <w:rPr>
          <w:rFonts w:ascii="Adobe Caslon Pro" w:hAnsi="Adobe Caslon Pro" w:cs="Arial"/>
          <w:sz w:val="18"/>
        </w:rPr>
        <w:t xml:space="preserve">Fuente. Elaboración propia con datos del </w:t>
      </w:r>
      <w:r w:rsidR="002F714E">
        <w:rPr>
          <w:rFonts w:ascii="Adobe Caslon Pro" w:hAnsi="Adobe Caslon Pro" w:cs="Arial"/>
          <w:sz w:val="18"/>
        </w:rPr>
        <w:t>INDESOL</w:t>
      </w:r>
      <w:r w:rsidRPr="000907D3">
        <w:rPr>
          <w:rFonts w:ascii="Adobe Caslon Pro" w:hAnsi="Adobe Caslon Pro" w:cs="Arial"/>
          <w:sz w:val="18"/>
        </w:rPr>
        <w:t xml:space="preserve"> y </w:t>
      </w:r>
      <w:r w:rsidR="00AE5A03">
        <w:rPr>
          <w:rFonts w:ascii="Adobe Caslon Pro" w:hAnsi="Adobe Caslon Pro" w:cs="Arial"/>
          <w:sz w:val="18"/>
        </w:rPr>
        <w:t>CONEVAL</w:t>
      </w:r>
      <w:r w:rsidRPr="000907D3">
        <w:rPr>
          <w:rFonts w:ascii="Adobe Caslon Pro" w:hAnsi="Adobe Caslon Pro" w:cs="Arial"/>
          <w:sz w:val="18"/>
        </w:rPr>
        <w:t>.</w:t>
      </w:r>
    </w:p>
    <w:p w:rsidR="008F5529" w:rsidRPr="000907D3" w:rsidRDefault="008F5529" w:rsidP="0043286B">
      <w:pPr>
        <w:spacing w:after="120" w:line="240" w:lineRule="auto"/>
        <w:contextualSpacing/>
        <w:rPr>
          <w:rFonts w:ascii="Adobe Caslon Pro" w:hAnsi="Adobe Caslon Pro" w:cs="Arial"/>
          <w:sz w:val="18"/>
        </w:rPr>
      </w:pPr>
      <w:r w:rsidRPr="000907D3">
        <w:rPr>
          <w:rFonts w:ascii="Adobe Caslon Pro" w:hAnsi="Adobe Caslon Pro" w:cs="Arial"/>
          <w:sz w:val="18"/>
        </w:rPr>
        <w:t>Nota: No se cuenta información en los mismos rangos de edad para 2009 y 2010.</w:t>
      </w:r>
    </w:p>
    <w:p w:rsidR="00D059D9" w:rsidRDefault="00D059D9" w:rsidP="0043286B">
      <w:pPr>
        <w:spacing w:after="120" w:line="240" w:lineRule="auto"/>
        <w:contextualSpacing/>
        <w:rPr>
          <w:rFonts w:ascii="Adobe Caslon Pro" w:hAnsi="Adobe Caslon Pro" w:cs="Arial"/>
          <w:sz w:val="18"/>
        </w:rPr>
      </w:pPr>
    </w:p>
    <w:p w:rsidR="00BD715C" w:rsidRDefault="00BD715C" w:rsidP="0043286B">
      <w:pPr>
        <w:spacing w:after="120" w:line="240" w:lineRule="auto"/>
        <w:jc w:val="both"/>
        <w:rPr>
          <w:rFonts w:ascii="Adobe Caslon Pro" w:hAnsi="Adobe Caslon Pro" w:cs="Arial"/>
        </w:rPr>
      </w:pPr>
      <w:r w:rsidRPr="000907D3">
        <w:rPr>
          <w:rFonts w:ascii="Adobe Caslon Pro" w:hAnsi="Adobe Caslon Pro" w:cs="Arial"/>
        </w:rPr>
        <w:t xml:space="preserve">Por su parte, la evaluación por género considera que los actores sociales entre 2009 y 2013 </w:t>
      </w:r>
      <w:r w:rsidR="001111E3">
        <w:rPr>
          <w:rFonts w:ascii="Adobe Caslon Pro" w:hAnsi="Adobe Caslon Pro" w:cs="Arial"/>
        </w:rPr>
        <w:t>proponen atender</w:t>
      </w:r>
      <w:r w:rsidRPr="000907D3">
        <w:rPr>
          <w:rFonts w:ascii="Adobe Caslon Pro" w:hAnsi="Adobe Caslon Pro" w:cs="Arial"/>
        </w:rPr>
        <w:t xml:space="preserve"> principalmente a personas del género femenino y que desde 2010 esta proporción ha sido mayor; sin embargo, la diferencia </w:t>
      </w:r>
      <w:r w:rsidR="008115DF" w:rsidRPr="000907D3">
        <w:rPr>
          <w:rFonts w:ascii="Adobe Caslon Pro" w:hAnsi="Adobe Caslon Pro" w:cs="Arial"/>
        </w:rPr>
        <w:t xml:space="preserve">entre estos grupos no resulta </w:t>
      </w:r>
      <w:r w:rsidR="001259C4">
        <w:rPr>
          <w:rFonts w:ascii="Adobe Caslon Pro" w:hAnsi="Adobe Caslon Pro" w:cs="Arial"/>
        </w:rPr>
        <w:t xml:space="preserve">significativa </w:t>
      </w:r>
      <w:r w:rsidR="008115DF" w:rsidRPr="000907D3">
        <w:rPr>
          <w:rFonts w:ascii="Adobe Caslon Pro" w:hAnsi="Adobe Caslon Pro" w:cs="Arial"/>
        </w:rPr>
        <w:t xml:space="preserve">y se espera que en los siguientes años esta tendencia sea similar (ver gráfica </w:t>
      </w:r>
      <w:r w:rsidR="00593DE6">
        <w:rPr>
          <w:rFonts w:ascii="Adobe Caslon Pro" w:hAnsi="Adobe Caslon Pro" w:cs="Arial"/>
        </w:rPr>
        <w:t>28</w:t>
      </w:r>
      <w:r w:rsidR="008115DF" w:rsidRPr="000907D3">
        <w:rPr>
          <w:rFonts w:ascii="Adobe Caslon Pro" w:hAnsi="Adobe Caslon Pro" w:cs="Arial"/>
        </w:rPr>
        <w:t xml:space="preserve">). </w:t>
      </w:r>
    </w:p>
    <w:p w:rsidR="00360B8F" w:rsidRPr="000907D3" w:rsidRDefault="00360B8F" w:rsidP="0043286B">
      <w:pPr>
        <w:pStyle w:val="Epgrafe"/>
        <w:spacing w:after="120"/>
        <w:contextualSpacing/>
        <w:jc w:val="center"/>
        <w:rPr>
          <w:rFonts w:ascii="Adobe Caslon Pro" w:hAnsi="Adobe Caslon Pro" w:cs="Arial"/>
          <w:sz w:val="20"/>
          <w:szCs w:val="22"/>
        </w:rPr>
      </w:pPr>
      <w:r w:rsidRPr="000907D3">
        <w:rPr>
          <w:rFonts w:ascii="Adobe Caslon Pro" w:hAnsi="Adobe Caslon Pro" w:cs="Arial"/>
          <w:color w:val="000000" w:themeColor="text1"/>
          <w:sz w:val="20"/>
          <w:szCs w:val="22"/>
        </w:rPr>
        <w:t>Gráfica</w:t>
      </w:r>
      <w:r w:rsidR="00593DE6">
        <w:rPr>
          <w:rFonts w:ascii="Adobe Caslon Pro" w:hAnsi="Adobe Caslon Pro" w:cs="Arial"/>
          <w:color w:val="000000" w:themeColor="text1"/>
          <w:sz w:val="20"/>
          <w:szCs w:val="22"/>
        </w:rPr>
        <w:t xml:space="preserve"> 28</w:t>
      </w:r>
      <w:r w:rsidRPr="000907D3">
        <w:rPr>
          <w:rFonts w:ascii="Adobe Caslon Pro" w:hAnsi="Adobe Caslon Pro" w:cs="Arial"/>
          <w:color w:val="000000" w:themeColor="text1"/>
          <w:sz w:val="20"/>
          <w:szCs w:val="22"/>
        </w:rPr>
        <w:t xml:space="preserve">. Incidencia estimada de la Población </w:t>
      </w:r>
      <w:r w:rsidR="00432D15" w:rsidRPr="000907D3">
        <w:rPr>
          <w:rFonts w:ascii="Adobe Caslon Pro" w:hAnsi="Adobe Caslon Pro" w:cs="Arial"/>
          <w:color w:val="000000" w:themeColor="text1"/>
          <w:sz w:val="20"/>
          <w:szCs w:val="22"/>
        </w:rPr>
        <w:t>objetivo</w:t>
      </w:r>
      <w:r w:rsidRPr="000907D3">
        <w:rPr>
          <w:rFonts w:ascii="Adobe Caslon Pro" w:hAnsi="Adobe Caslon Pro" w:cs="Arial"/>
          <w:color w:val="000000" w:themeColor="text1"/>
          <w:sz w:val="20"/>
          <w:szCs w:val="22"/>
        </w:rPr>
        <w:t xml:space="preserve"> por género 2009-2013</w:t>
      </w:r>
    </w:p>
    <w:p w:rsidR="00360B8F" w:rsidRPr="000907D3" w:rsidRDefault="00360B8F" w:rsidP="0043286B">
      <w:pPr>
        <w:spacing w:after="120" w:line="240" w:lineRule="auto"/>
        <w:contextualSpacing/>
        <w:jc w:val="center"/>
        <w:rPr>
          <w:rFonts w:ascii="Adobe Caslon Pro" w:hAnsi="Adobe Caslon Pro" w:cs="Arial"/>
        </w:rPr>
      </w:pPr>
      <w:r w:rsidRPr="000907D3">
        <w:rPr>
          <w:rFonts w:ascii="Adobe Caslon Pro" w:hAnsi="Adobe Caslon Pro" w:cs="Arial"/>
          <w:noProof/>
          <w:lang w:eastAsia="es-MX"/>
        </w:rPr>
        <w:drawing>
          <wp:inline distT="0" distB="0" distL="0" distR="0" wp14:anchorId="701CC26D" wp14:editId="1A5BD439">
            <wp:extent cx="4356000" cy="2124000"/>
            <wp:effectExtent l="0" t="0" r="26035" b="1016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360B8F" w:rsidRDefault="00360B8F" w:rsidP="0043286B">
      <w:pPr>
        <w:spacing w:after="120" w:line="240" w:lineRule="auto"/>
        <w:contextualSpacing/>
        <w:rPr>
          <w:rFonts w:ascii="Adobe Caslon Pro" w:hAnsi="Adobe Caslon Pro" w:cs="Arial"/>
          <w:sz w:val="18"/>
        </w:rPr>
      </w:pPr>
      <w:r w:rsidRPr="000907D3">
        <w:rPr>
          <w:rFonts w:ascii="Adobe Caslon Pro" w:hAnsi="Adobe Caslon Pro" w:cs="Arial"/>
          <w:sz w:val="18"/>
        </w:rPr>
        <w:t xml:space="preserve">Fuente. Elaboración propia con datos del </w:t>
      </w:r>
      <w:r w:rsidR="002F714E">
        <w:rPr>
          <w:rFonts w:ascii="Adobe Caslon Pro" w:hAnsi="Adobe Caslon Pro" w:cs="Arial"/>
          <w:sz w:val="18"/>
        </w:rPr>
        <w:t>INDESOL</w:t>
      </w:r>
      <w:r w:rsidRPr="000907D3">
        <w:rPr>
          <w:rFonts w:ascii="Adobe Caslon Pro" w:hAnsi="Adobe Caslon Pro" w:cs="Arial"/>
          <w:sz w:val="18"/>
        </w:rPr>
        <w:t xml:space="preserve"> y </w:t>
      </w:r>
      <w:r w:rsidR="00AE5A03">
        <w:rPr>
          <w:rFonts w:ascii="Adobe Caslon Pro" w:hAnsi="Adobe Caslon Pro" w:cs="Arial"/>
          <w:sz w:val="18"/>
        </w:rPr>
        <w:t>CONEVAL</w:t>
      </w:r>
      <w:r w:rsidRPr="000907D3">
        <w:rPr>
          <w:rFonts w:ascii="Adobe Caslon Pro" w:hAnsi="Adobe Caslon Pro" w:cs="Arial"/>
          <w:sz w:val="18"/>
        </w:rPr>
        <w:t>.</w:t>
      </w:r>
    </w:p>
    <w:p w:rsidR="008F5529" w:rsidRPr="000907D3" w:rsidRDefault="008F5529" w:rsidP="0043286B">
      <w:pPr>
        <w:spacing w:after="120" w:line="240" w:lineRule="auto"/>
        <w:contextualSpacing/>
        <w:rPr>
          <w:rFonts w:ascii="Adobe Caslon Pro" w:hAnsi="Adobe Caslon Pro" w:cs="Arial"/>
          <w:sz w:val="18"/>
        </w:rPr>
      </w:pPr>
    </w:p>
    <w:p w:rsidR="00360B8F" w:rsidRDefault="00360B8F" w:rsidP="0043286B">
      <w:pPr>
        <w:spacing w:after="120" w:line="240" w:lineRule="auto"/>
        <w:jc w:val="both"/>
        <w:rPr>
          <w:rFonts w:ascii="Adobe Caslon Pro" w:hAnsi="Adobe Caslon Pro" w:cs="Arial"/>
        </w:rPr>
      </w:pPr>
      <w:r w:rsidRPr="000907D3">
        <w:rPr>
          <w:rFonts w:ascii="Adobe Caslon Pro" w:hAnsi="Adobe Caslon Pro" w:cs="Arial"/>
        </w:rPr>
        <w:lastRenderedPageBreak/>
        <w:t xml:space="preserve">Finalmente, el análisis presupuestal muestra que en total, la población objetivo entre 2009 y 2013 ejerció </w:t>
      </w:r>
      <w:r w:rsidR="006338F6" w:rsidRPr="000907D3">
        <w:rPr>
          <w:rFonts w:ascii="Adobe Caslon Pro" w:hAnsi="Adobe Caslon Pro" w:cs="Arial"/>
        </w:rPr>
        <w:t>cerca de 2,000 millones de pesos</w:t>
      </w:r>
      <w:r w:rsidR="0064042F">
        <w:rPr>
          <w:rFonts w:ascii="Adobe Caslon Pro" w:hAnsi="Adobe Caslon Pro" w:cs="Arial"/>
        </w:rPr>
        <w:t xml:space="preserve"> </w:t>
      </w:r>
      <w:r w:rsidR="006338F6" w:rsidRPr="000907D3">
        <w:rPr>
          <w:rFonts w:ascii="Adobe Caslon Pro" w:hAnsi="Adobe Caslon Pro" w:cs="Arial"/>
        </w:rPr>
        <w:t>d</w:t>
      </w:r>
      <w:r w:rsidRPr="000907D3">
        <w:rPr>
          <w:rFonts w:ascii="Adobe Caslon Pro" w:hAnsi="Adobe Caslon Pro" w:cs="Arial"/>
        </w:rPr>
        <w:t xml:space="preserve">istribuidos de acuerdo al cuadro </w:t>
      </w:r>
      <w:r w:rsidR="006338F6" w:rsidRPr="000907D3">
        <w:rPr>
          <w:rFonts w:ascii="Adobe Caslon Pro" w:hAnsi="Adobe Caslon Pro" w:cs="Arial"/>
        </w:rPr>
        <w:t>7.</w:t>
      </w:r>
      <w:r w:rsidRPr="000907D3">
        <w:rPr>
          <w:rFonts w:ascii="Adobe Caslon Pro" w:hAnsi="Adobe Caslon Pro" w:cs="Arial"/>
        </w:rPr>
        <w:t xml:space="preserve"> En este sentido, destaca que aproximadamente el 60% de los recursos provienen del</w:t>
      </w:r>
      <w:r w:rsidR="00F24615">
        <w:rPr>
          <w:rFonts w:ascii="Adobe Caslon Pro" w:hAnsi="Adobe Caslon Pro" w:cs="Arial"/>
        </w:rPr>
        <w:t xml:space="preserve"> PCS</w:t>
      </w:r>
      <w:r w:rsidRPr="000907D3">
        <w:rPr>
          <w:rFonts w:ascii="Adobe Caslon Pro" w:hAnsi="Adobe Caslon Pro" w:cs="Arial"/>
        </w:rPr>
        <w:t xml:space="preserve"> y el 40% restante de las </w:t>
      </w:r>
      <w:r w:rsidR="00940E10">
        <w:rPr>
          <w:rFonts w:ascii="Adobe Caslon Pro" w:hAnsi="Adobe Caslon Pro" w:cs="Arial"/>
        </w:rPr>
        <w:t>OSC</w:t>
      </w:r>
      <w:r w:rsidRPr="000907D3">
        <w:rPr>
          <w:rFonts w:ascii="Adobe Caslon Pro" w:hAnsi="Adobe Caslon Pro" w:cs="Arial"/>
        </w:rPr>
        <w:t>.</w:t>
      </w:r>
    </w:p>
    <w:p w:rsidR="00360B8F" w:rsidRDefault="0099028D" w:rsidP="0043286B">
      <w:pPr>
        <w:spacing w:after="120" w:line="240" w:lineRule="auto"/>
        <w:jc w:val="center"/>
        <w:rPr>
          <w:rFonts w:ascii="Adobe Caslon Pro" w:hAnsi="Adobe Caslon Pro" w:cs="Arial"/>
          <w:b/>
          <w:bCs/>
          <w:color w:val="000000" w:themeColor="text1"/>
          <w:sz w:val="20"/>
        </w:rPr>
      </w:pPr>
      <w:r w:rsidRPr="000907D3">
        <w:rPr>
          <w:rFonts w:ascii="Adobe Caslon Pro" w:hAnsi="Adobe Caslon Pro" w:cs="Arial"/>
          <w:b/>
          <w:bCs/>
          <w:color w:val="000000" w:themeColor="text1"/>
          <w:sz w:val="20"/>
        </w:rPr>
        <w:t xml:space="preserve">Cuadro </w:t>
      </w:r>
      <w:r w:rsidR="006A4CBC" w:rsidRPr="000907D3">
        <w:rPr>
          <w:rFonts w:ascii="Adobe Caslon Pro" w:hAnsi="Adobe Caslon Pro" w:cs="Arial"/>
          <w:b/>
          <w:bCs/>
          <w:color w:val="000000" w:themeColor="text1"/>
          <w:sz w:val="20"/>
        </w:rPr>
        <w:t>7</w:t>
      </w:r>
      <w:r w:rsidR="00360B8F" w:rsidRPr="000907D3">
        <w:rPr>
          <w:rFonts w:ascii="Adobe Caslon Pro" w:hAnsi="Adobe Caslon Pro" w:cs="Arial"/>
          <w:b/>
          <w:bCs/>
          <w:color w:val="000000" w:themeColor="text1"/>
          <w:sz w:val="20"/>
        </w:rPr>
        <w:t>. Presupuesto ejercido 2009-2013</w:t>
      </w:r>
    </w:p>
    <w:p w:rsidR="002601A7" w:rsidRDefault="002601A7" w:rsidP="0043286B">
      <w:pPr>
        <w:spacing w:after="120" w:line="240" w:lineRule="auto"/>
        <w:jc w:val="center"/>
        <w:rPr>
          <w:rFonts w:ascii="Adobe Caslon Pro" w:hAnsi="Adobe Caslon Pro" w:cs="Arial"/>
          <w:bCs/>
          <w:color w:val="000000" w:themeColor="text1"/>
          <w:sz w:val="20"/>
        </w:rPr>
      </w:pPr>
      <w:r>
        <w:rPr>
          <w:rFonts w:ascii="Adobe Caslon Pro" w:hAnsi="Adobe Caslon Pro" w:cs="Arial"/>
          <w:bCs/>
          <w:color w:val="000000" w:themeColor="text1"/>
          <w:sz w:val="20"/>
        </w:rPr>
        <w:t>Análisis Presupuestal</w:t>
      </w:r>
    </w:p>
    <w:tbl>
      <w:tblPr>
        <w:tblW w:w="7940" w:type="dxa"/>
        <w:jc w:val="center"/>
        <w:tblCellMar>
          <w:left w:w="70" w:type="dxa"/>
          <w:right w:w="70" w:type="dxa"/>
        </w:tblCellMar>
        <w:tblLook w:val="04A0" w:firstRow="1" w:lastRow="0" w:firstColumn="1" w:lastColumn="0" w:noHBand="0" w:noVBand="1"/>
      </w:tblPr>
      <w:tblGrid>
        <w:gridCol w:w="1440"/>
        <w:gridCol w:w="1300"/>
        <w:gridCol w:w="1300"/>
        <w:gridCol w:w="1300"/>
        <w:gridCol w:w="1300"/>
        <w:gridCol w:w="1300"/>
      </w:tblGrid>
      <w:tr w:rsidR="002601A7" w:rsidRPr="002601A7" w:rsidTr="0039496C">
        <w:trPr>
          <w:trHeight w:val="284"/>
          <w:jc w:val="center"/>
        </w:trPr>
        <w:tc>
          <w:tcPr>
            <w:tcW w:w="144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2601A7" w:rsidRPr="002601A7" w:rsidRDefault="002601A7" w:rsidP="00271526">
            <w:pPr>
              <w:spacing w:after="0" w:line="240" w:lineRule="auto"/>
              <w:contextualSpacing/>
              <w:jc w:val="center"/>
              <w:rPr>
                <w:rFonts w:ascii="Adobe Caslon Pro" w:eastAsia="Times New Roman" w:hAnsi="Adobe Caslon Pro"/>
                <w:color w:val="000000"/>
                <w:lang w:eastAsia="es-MX"/>
              </w:rPr>
            </w:pPr>
            <w:r w:rsidRPr="002601A7">
              <w:rPr>
                <w:rFonts w:ascii="Adobe Caslon Pro" w:eastAsia="Times New Roman" w:hAnsi="Adobe Caslon Pro"/>
                <w:color w:val="000000"/>
                <w:lang w:eastAsia="es-MX"/>
              </w:rPr>
              <w:t> </w:t>
            </w:r>
          </w:p>
        </w:tc>
        <w:tc>
          <w:tcPr>
            <w:tcW w:w="1300" w:type="dxa"/>
            <w:tcBorders>
              <w:top w:val="single" w:sz="4" w:space="0" w:color="auto"/>
              <w:left w:val="nil"/>
              <w:bottom w:val="single" w:sz="4" w:space="0" w:color="auto"/>
              <w:right w:val="single" w:sz="4" w:space="0" w:color="auto"/>
            </w:tcBorders>
            <w:shd w:val="clear" w:color="000000" w:fill="BFBFBF"/>
            <w:noWrap/>
            <w:vAlign w:val="center"/>
            <w:hideMark/>
          </w:tcPr>
          <w:p w:rsidR="002601A7" w:rsidRPr="002601A7" w:rsidRDefault="002601A7" w:rsidP="00271526">
            <w:pPr>
              <w:spacing w:after="0" w:line="240" w:lineRule="auto"/>
              <w:contextualSpacing/>
              <w:jc w:val="center"/>
              <w:rPr>
                <w:rFonts w:ascii="Adobe Caslon Pro" w:eastAsia="Times New Roman" w:hAnsi="Adobe Caslon Pro"/>
                <w:color w:val="000000"/>
                <w:lang w:eastAsia="es-MX"/>
              </w:rPr>
            </w:pPr>
            <w:r w:rsidRPr="002601A7">
              <w:rPr>
                <w:rFonts w:ascii="Adobe Caslon Pro" w:eastAsia="Times New Roman" w:hAnsi="Adobe Caslon Pro"/>
                <w:color w:val="000000"/>
                <w:lang w:eastAsia="es-MX"/>
              </w:rPr>
              <w:t>2009</w:t>
            </w:r>
          </w:p>
        </w:tc>
        <w:tc>
          <w:tcPr>
            <w:tcW w:w="1300" w:type="dxa"/>
            <w:tcBorders>
              <w:top w:val="single" w:sz="4" w:space="0" w:color="auto"/>
              <w:left w:val="nil"/>
              <w:bottom w:val="single" w:sz="4" w:space="0" w:color="auto"/>
              <w:right w:val="single" w:sz="4" w:space="0" w:color="auto"/>
            </w:tcBorders>
            <w:shd w:val="clear" w:color="000000" w:fill="BFBFBF"/>
            <w:noWrap/>
            <w:vAlign w:val="center"/>
            <w:hideMark/>
          </w:tcPr>
          <w:p w:rsidR="002601A7" w:rsidRPr="002601A7" w:rsidRDefault="002601A7" w:rsidP="00271526">
            <w:pPr>
              <w:spacing w:after="0" w:line="240" w:lineRule="auto"/>
              <w:contextualSpacing/>
              <w:jc w:val="center"/>
              <w:rPr>
                <w:rFonts w:ascii="Adobe Caslon Pro" w:eastAsia="Times New Roman" w:hAnsi="Adobe Caslon Pro"/>
                <w:color w:val="000000"/>
                <w:lang w:eastAsia="es-MX"/>
              </w:rPr>
            </w:pPr>
            <w:r w:rsidRPr="002601A7">
              <w:rPr>
                <w:rFonts w:ascii="Adobe Caslon Pro" w:eastAsia="Times New Roman" w:hAnsi="Adobe Caslon Pro"/>
                <w:color w:val="000000"/>
                <w:lang w:eastAsia="es-MX"/>
              </w:rPr>
              <w:t>2010</w:t>
            </w:r>
          </w:p>
        </w:tc>
        <w:tc>
          <w:tcPr>
            <w:tcW w:w="1300" w:type="dxa"/>
            <w:tcBorders>
              <w:top w:val="single" w:sz="4" w:space="0" w:color="auto"/>
              <w:left w:val="nil"/>
              <w:bottom w:val="single" w:sz="4" w:space="0" w:color="auto"/>
              <w:right w:val="single" w:sz="4" w:space="0" w:color="auto"/>
            </w:tcBorders>
            <w:shd w:val="clear" w:color="000000" w:fill="BFBFBF"/>
            <w:noWrap/>
            <w:vAlign w:val="center"/>
            <w:hideMark/>
          </w:tcPr>
          <w:p w:rsidR="002601A7" w:rsidRPr="002601A7" w:rsidRDefault="002601A7" w:rsidP="00271526">
            <w:pPr>
              <w:spacing w:after="0" w:line="240" w:lineRule="auto"/>
              <w:contextualSpacing/>
              <w:jc w:val="center"/>
              <w:rPr>
                <w:rFonts w:ascii="Adobe Caslon Pro" w:eastAsia="Times New Roman" w:hAnsi="Adobe Caslon Pro"/>
                <w:color w:val="000000"/>
                <w:lang w:eastAsia="es-MX"/>
              </w:rPr>
            </w:pPr>
            <w:r w:rsidRPr="002601A7">
              <w:rPr>
                <w:rFonts w:ascii="Adobe Caslon Pro" w:eastAsia="Times New Roman" w:hAnsi="Adobe Caslon Pro"/>
                <w:color w:val="000000"/>
                <w:lang w:eastAsia="es-MX"/>
              </w:rPr>
              <w:t>2011</w:t>
            </w:r>
          </w:p>
        </w:tc>
        <w:tc>
          <w:tcPr>
            <w:tcW w:w="1300" w:type="dxa"/>
            <w:tcBorders>
              <w:top w:val="single" w:sz="4" w:space="0" w:color="auto"/>
              <w:left w:val="nil"/>
              <w:bottom w:val="single" w:sz="4" w:space="0" w:color="auto"/>
              <w:right w:val="single" w:sz="4" w:space="0" w:color="auto"/>
            </w:tcBorders>
            <w:shd w:val="clear" w:color="000000" w:fill="BFBFBF"/>
            <w:noWrap/>
            <w:vAlign w:val="center"/>
            <w:hideMark/>
          </w:tcPr>
          <w:p w:rsidR="002601A7" w:rsidRPr="002601A7" w:rsidRDefault="002601A7" w:rsidP="00271526">
            <w:pPr>
              <w:spacing w:after="0" w:line="240" w:lineRule="auto"/>
              <w:contextualSpacing/>
              <w:jc w:val="center"/>
              <w:rPr>
                <w:rFonts w:ascii="Adobe Caslon Pro" w:eastAsia="Times New Roman" w:hAnsi="Adobe Caslon Pro"/>
                <w:color w:val="000000"/>
                <w:lang w:eastAsia="es-MX"/>
              </w:rPr>
            </w:pPr>
            <w:r w:rsidRPr="002601A7">
              <w:rPr>
                <w:rFonts w:ascii="Adobe Caslon Pro" w:eastAsia="Times New Roman" w:hAnsi="Adobe Caslon Pro"/>
                <w:color w:val="000000"/>
                <w:lang w:eastAsia="es-MX"/>
              </w:rPr>
              <w:t>2012</w:t>
            </w:r>
          </w:p>
        </w:tc>
        <w:tc>
          <w:tcPr>
            <w:tcW w:w="1300" w:type="dxa"/>
            <w:tcBorders>
              <w:top w:val="single" w:sz="4" w:space="0" w:color="auto"/>
              <w:left w:val="nil"/>
              <w:bottom w:val="single" w:sz="4" w:space="0" w:color="auto"/>
              <w:right w:val="single" w:sz="4" w:space="0" w:color="auto"/>
            </w:tcBorders>
            <w:shd w:val="clear" w:color="000000" w:fill="BFBFBF"/>
            <w:noWrap/>
            <w:vAlign w:val="center"/>
            <w:hideMark/>
          </w:tcPr>
          <w:p w:rsidR="002601A7" w:rsidRPr="002601A7" w:rsidRDefault="002601A7" w:rsidP="00271526">
            <w:pPr>
              <w:spacing w:after="0" w:line="240" w:lineRule="auto"/>
              <w:contextualSpacing/>
              <w:jc w:val="center"/>
              <w:rPr>
                <w:rFonts w:ascii="Adobe Caslon Pro" w:eastAsia="Times New Roman" w:hAnsi="Adobe Caslon Pro"/>
                <w:color w:val="000000"/>
                <w:lang w:eastAsia="es-MX"/>
              </w:rPr>
            </w:pPr>
            <w:r w:rsidRPr="002601A7">
              <w:rPr>
                <w:rFonts w:ascii="Adobe Caslon Pro" w:eastAsia="Times New Roman" w:hAnsi="Adobe Caslon Pro"/>
                <w:color w:val="000000"/>
                <w:lang w:eastAsia="es-MX"/>
              </w:rPr>
              <w:t>2013</w:t>
            </w:r>
          </w:p>
        </w:tc>
      </w:tr>
      <w:tr w:rsidR="002601A7" w:rsidRPr="002601A7" w:rsidTr="0039496C">
        <w:trPr>
          <w:trHeight w:val="284"/>
          <w:jc w:val="center"/>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rsidR="002601A7" w:rsidRPr="002601A7" w:rsidRDefault="002601A7" w:rsidP="00271526">
            <w:pPr>
              <w:spacing w:after="0" w:line="240" w:lineRule="auto"/>
              <w:contextualSpacing/>
              <w:jc w:val="center"/>
              <w:rPr>
                <w:rFonts w:ascii="Adobe Caslon Pro" w:eastAsia="Times New Roman" w:hAnsi="Adobe Caslon Pro"/>
                <w:color w:val="000000"/>
                <w:lang w:eastAsia="es-MX"/>
              </w:rPr>
            </w:pPr>
            <w:r w:rsidRPr="002601A7">
              <w:rPr>
                <w:rFonts w:ascii="Adobe Caslon Pro" w:eastAsia="Times New Roman" w:hAnsi="Adobe Caslon Pro"/>
                <w:color w:val="000000"/>
                <w:lang w:eastAsia="es-MX"/>
              </w:rPr>
              <w:t>Costo A</w:t>
            </w:r>
            <w:r w:rsidR="0039496C">
              <w:rPr>
                <w:rFonts w:ascii="Adobe Caslon Pro" w:eastAsia="Times New Roman" w:hAnsi="Adobe Caslon Pro"/>
                <w:color w:val="000000"/>
                <w:lang w:eastAsia="es-MX"/>
              </w:rPr>
              <w:t>REP</w:t>
            </w:r>
          </w:p>
        </w:tc>
        <w:tc>
          <w:tcPr>
            <w:tcW w:w="1300" w:type="dxa"/>
            <w:tcBorders>
              <w:top w:val="nil"/>
              <w:left w:val="nil"/>
              <w:bottom w:val="single" w:sz="4" w:space="0" w:color="auto"/>
              <w:right w:val="single" w:sz="4" w:space="0" w:color="auto"/>
            </w:tcBorders>
            <w:shd w:val="clear" w:color="000000" w:fill="FFFFFF"/>
            <w:noWrap/>
            <w:vAlign w:val="center"/>
            <w:hideMark/>
          </w:tcPr>
          <w:p w:rsidR="002601A7" w:rsidRPr="002601A7" w:rsidRDefault="002601A7" w:rsidP="00271526">
            <w:pPr>
              <w:spacing w:after="0" w:line="240" w:lineRule="auto"/>
              <w:contextualSpacing/>
              <w:jc w:val="right"/>
              <w:rPr>
                <w:rFonts w:ascii="Adobe Caslon Pro" w:eastAsia="Times New Roman" w:hAnsi="Adobe Caslon Pro"/>
                <w:color w:val="000000"/>
                <w:lang w:eastAsia="es-MX"/>
              </w:rPr>
            </w:pPr>
            <w:r w:rsidRPr="002601A7">
              <w:rPr>
                <w:rFonts w:ascii="Adobe Caslon Pro" w:eastAsia="Times New Roman" w:hAnsi="Adobe Caslon Pro"/>
                <w:color w:val="000000"/>
                <w:lang w:eastAsia="es-MX"/>
              </w:rPr>
              <w:t>143,000,000</w:t>
            </w:r>
          </w:p>
        </w:tc>
        <w:tc>
          <w:tcPr>
            <w:tcW w:w="1300" w:type="dxa"/>
            <w:tcBorders>
              <w:top w:val="nil"/>
              <w:left w:val="nil"/>
              <w:bottom w:val="single" w:sz="4" w:space="0" w:color="auto"/>
              <w:right w:val="single" w:sz="4" w:space="0" w:color="auto"/>
            </w:tcBorders>
            <w:shd w:val="clear" w:color="000000" w:fill="FFFFFF"/>
            <w:noWrap/>
            <w:vAlign w:val="center"/>
            <w:hideMark/>
          </w:tcPr>
          <w:p w:rsidR="002601A7" w:rsidRPr="002601A7" w:rsidRDefault="002601A7" w:rsidP="00271526">
            <w:pPr>
              <w:spacing w:after="0" w:line="240" w:lineRule="auto"/>
              <w:contextualSpacing/>
              <w:jc w:val="right"/>
              <w:rPr>
                <w:rFonts w:ascii="Adobe Caslon Pro" w:eastAsia="Times New Roman" w:hAnsi="Adobe Caslon Pro"/>
                <w:color w:val="000000"/>
                <w:lang w:eastAsia="es-MX"/>
              </w:rPr>
            </w:pPr>
            <w:r w:rsidRPr="002601A7">
              <w:rPr>
                <w:rFonts w:ascii="Adobe Caslon Pro" w:eastAsia="Times New Roman" w:hAnsi="Adobe Caslon Pro"/>
                <w:color w:val="000000"/>
                <w:lang w:eastAsia="es-MX"/>
              </w:rPr>
              <w:t>195,000,000</w:t>
            </w:r>
          </w:p>
        </w:tc>
        <w:tc>
          <w:tcPr>
            <w:tcW w:w="1300" w:type="dxa"/>
            <w:tcBorders>
              <w:top w:val="nil"/>
              <w:left w:val="nil"/>
              <w:bottom w:val="single" w:sz="4" w:space="0" w:color="auto"/>
              <w:right w:val="single" w:sz="4" w:space="0" w:color="auto"/>
            </w:tcBorders>
            <w:shd w:val="clear" w:color="000000" w:fill="FFFFFF"/>
            <w:noWrap/>
            <w:vAlign w:val="center"/>
            <w:hideMark/>
          </w:tcPr>
          <w:p w:rsidR="002601A7" w:rsidRPr="002601A7" w:rsidRDefault="002601A7" w:rsidP="00271526">
            <w:pPr>
              <w:spacing w:after="0" w:line="240" w:lineRule="auto"/>
              <w:contextualSpacing/>
              <w:jc w:val="right"/>
              <w:rPr>
                <w:rFonts w:ascii="Adobe Caslon Pro" w:eastAsia="Times New Roman" w:hAnsi="Adobe Caslon Pro"/>
                <w:color w:val="000000"/>
                <w:lang w:eastAsia="es-MX"/>
              </w:rPr>
            </w:pPr>
            <w:r w:rsidRPr="002601A7">
              <w:rPr>
                <w:rFonts w:ascii="Adobe Caslon Pro" w:eastAsia="Times New Roman" w:hAnsi="Adobe Caslon Pro"/>
                <w:color w:val="000000"/>
                <w:lang w:eastAsia="es-MX"/>
              </w:rPr>
              <w:t>148,000,000</w:t>
            </w:r>
          </w:p>
        </w:tc>
        <w:tc>
          <w:tcPr>
            <w:tcW w:w="1300" w:type="dxa"/>
            <w:tcBorders>
              <w:top w:val="nil"/>
              <w:left w:val="nil"/>
              <w:bottom w:val="single" w:sz="4" w:space="0" w:color="auto"/>
              <w:right w:val="single" w:sz="4" w:space="0" w:color="auto"/>
            </w:tcBorders>
            <w:shd w:val="clear" w:color="000000" w:fill="FFFFFF"/>
            <w:noWrap/>
            <w:vAlign w:val="center"/>
            <w:hideMark/>
          </w:tcPr>
          <w:p w:rsidR="002601A7" w:rsidRPr="002601A7" w:rsidRDefault="002601A7" w:rsidP="00271526">
            <w:pPr>
              <w:spacing w:after="0" w:line="240" w:lineRule="auto"/>
              <w:contextualSpacing/>
              <w:jc w:val="right"/>
              <w:rPr>
                <w:rFonts w:ascii="Adobe Caslon Pro" w:eastAsia="Times New Roman" w:hAnsi="Adobe Caslon Pro"/>
                <w:color w:val="000000"/>
                <w:lang w:eastAsia="es-MX"/>
              </w:rPr>
            </w:pPr>
            <w:r w:rsidRPr="002601A7">
              <w:rPr>
                <w:rFonts w:ascii="Adobe Caslon Pro" w:eastAsia="Times New Roman" w:hAnsi="Adobe Caslon Pro"/>
                <w:color w:val="000000"/>
                <w:lang w:eastAsia="es-MX"/>
              </w:rPr>
              <w:t>166,000,000</w:t>
            </w:r>
          </w:p>
        </w:tc>
        <w:tc>
          <w:tcPr>
            <w:tcW w:w="1300" w:type="dxa"/>
            <w:tcBorders>
              <w:top w:val="nil"/>
              <w:left w:val="nil"/>
              <w:bottom w:val="single" w:sz="4" w:space="0" w:color="auto"/>
              <w:right w:val="single" w:sz="4" w:space="0" w:color="auto"/>
            </w:tcBorders>
            <w:shd w:val="clear" w:color="000000" w:fill="FFFFFF"/>
            <w:noWrap/>
            <w:vAlign w:val="center"/>
            <w:hideMark/>
          </w:tcPr>
          <w:p w:rsidR="002601A7" w:rsidRPr="002601A7" w:rsidRDefault="002601A7" w:rsidP="00271526">
            <w:pPr>
              <w:spacing w:after="0" w:line="240" w:lineRule="auto"/>
              <w:contextualSpacing/>
              <w:jc w:val="right"/>
              <w:rPr>
                <w:rFonts w:ascii="Adobe Caslon Pro" w:eastAsia="Times New Roman" w:hAnsi="Adobe Caslon Pro"/>
                <w:color w:val="000000"/>
                <w:lang w:eastAsia="es-MX"/>
              </w:rPr>
            </w:pPr>
            <w:r w:rsidRPr="002601A7">
              <w:rPr>
                <w:rFonts w:ascii="Adobe Caslon Pro" w:eastAsia="Times New Roman" w:hAnsi="Adobe Caslon Pro"/>
                <w:color w:val="000000"/>
                <w:lang w:eastAsia="es-MX"/>
              </w:rPr>
              <w:t>132,000,000</w:t>
            </w:r>
          </w:p>
        </w:tc>
      </w:tr>
      <w:tr w:rsidR="002601A7" w:rsidRPr="002601A7" w:rsidTr="0039496C">
        <w:trPr>
          <w:trHeight w:val="284"/>
          <w:jc w:val="center"/>
        </w:trPr>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rsidR="002601A7" w:rsidRPr="002601A7" w:rsidRDefault="002601A7" w:rsidP="00271526">
            <w:pPr>
              <w:spacing w:after="0" w:line="240" w:lineRule="auto"/>
              <w:contextualSpacing/>
              <w:jc w:val="center"/>
              <w:rPr>
                <w:rFonts w:ascii="Adobe Caslon Pro" w:eastAsia="Times New Roman" w:hAnsi="Adobe Caslon Pro"/>
                <w:color w:val="000000"/>
                <w:lang w:eastAsia="es-MX"/>
              </w:rPr>
            </w:pPr>
            <w:r w:rsidRPr="002601A7">
              <w:rPr>
                <w:rFonts w:ascii="Adobe Caslon Pro" w:eastAsia="Times New Roman" w:hAnsi="Adobe Caslon Pro"/>
                <w:color w:val="000000"/>
                <w:lang w:eastAsia="es-MX"/>
              </w:rPr>
              <w:t>Costo PCS</w:t>
            </w:r>
          </w:p>
        </w:tc>
        <w:tc>
          <w:tcPr>
            <w:tcW w:w="1300" w:type="dxa"/>
            <w:tcBorders>
              <w:top w:val="nil"/>
              <w:left w:val="nil"/>
              <w:bottom w:val="single" w:sz="4" w:space="0" w:color="auto"/>
              <w:right w:val="single" w:sz="4" w:space="0" w:color="auto"/>
            </w:tcBorders>
            <w:shd w:val="clear" w:color="000000" w:fill="FFFFFF"/>
            <w:noWrap/>
            <w:vAlign w:val="center"/>
            <w:hideMark/>
          </w:tcPr>
          <w:p w:rsidR="002601A7" w:rsidRPr="002601A7" w:rsidRDefault="002601A7" w:rsidP="00271526">
            <w:pPr>
              <w:spacing w:after="0" w:line="240" w:lineRule="auto"/>
              <w:contextualSpacing/>
              <w:jc w:val="right"/>
              <w:rPr>
                <w:rFonts w:ascii="Adobe Caslon Pro" w:eastAsia="Times New Roman" w:hAnsi="Adobe Caslon Pro"/>
                <w:color w:val="000000"/>
                <w:lang w:eastAsia="es-MX"/>
              </w:rPr>
            </w:pPr>
            <w:r w:rsidRPr="002601A7">
              <w:rPr>
                <w:rFonts w:ascii="Adobe Caslon Pro" w:eastAsia="Times New Roman" w:hAnsi="Adobe Caslon Pro"/>
                <w:color w:val="000000"/>
                <w:lang w:eastAsia="es-MX"/>
              </w:rPr>
              <w:t>215,000,000</w:t>
            </w:r>
          </w:p>
        </w:tc>
        <w:tc>
          <w:tcPr>
            <w:tcW w:w="1300" w:type="dxa"/>
            <w:tcBorders>
              <w:top w:val="nil"/>
              <w:left w:val="nil"/>
              <w:bottom w:val="single" w:sz="4" w:space="0" w:color="auto"/>
              <w:right w:val="single" w:sz="4" w:space="0" w:color="auto"/>
            </w:tcBorders>
            <w:shd w:val="clear" w:color="000000" w:fill="FFFFFF"/>
            <w:noWrap/>
            <w:vAlign w:val="center"/>
            <w:hideMark/>
          </w:tcPr>
          <w:p w:rsidR="002601A7" w:rsidRPr="002601A7" w:rsidRDefault="002601A7" w:rsidP="00271526">
            <w:pPr>
              <w:spacing w:after="0" w:line="240" w:lineRule="auto"/>
              <w:contextualSpacing/>
              <w:jc w:val="right"/>
              <w:rPr>
                <w:rFonts w:ascii="Adobe Caslon Pro" w:eastAsia="Times New Roman" w:hAnsi="Adobe Caslon Pro"/>
                <w:color w:val="000000"/>
                <w:lang w:eastAsia="es-MX"/>
              </w:rPr>
            </w:pPr>
            <w:r w:rsidRPr="002601A7">
              <w:rPr>
                <w:rFonts w:ascii="Adobe Caslon Pro" w:eastAsia="Times New Roman" w:hAnsi="Adobe Caslon Pro"/>
                <w:color w:val="000000"/>
                <w:lang w:eastAsia="es-MX"/>
              </w:rPr>
              <w:t>272,000,000</w:t>
            </w:r>
          </w:p>
        </w:tc>
        <w:tc>
          <w:tcPr>
            <w:tcW w:w="1300" w:type="dxa"/>
            <w:tcBorders>
              <w:top w:val="nil"/>
              <w:left w:val="nil"/>
              <w:bottom w:val="single" w:sz="4" w:space="0" w:color="auto"/>
              <w:right w:val="single" w:sz="4" w:space="0" w:color="auto"/>
            </w:tcBorders>
            <w:shd w:val="clear" w:color="000000" w:fill="FFFFFF"/>
            <w:noWrap/>
            <w:vAlign w:val="center"/>
            <w:hideMark/>
          </w:tcPr>
          <w:p w:rsidR="002601A7" w:rsidRPr="002601A7" w:rsidRDefault="002601A7" w:rsidP="00271526">
            <w:pPr>
              <w:spacing w:after="0" w:line="240" w:lineRule="auto"/>
              <w:contextualSpacing/>
              <w:jc w:val="right"/>
              <w:rPr>
                <w:rFonts w:ascii="Adobe Caslon Pro" w:eastAsia="Times New Roman" w:hAnsi="Adobe Caslon Pro"/>
                <w:color w:val="000000"/>
                <w:lang w:eastAsia="es-MX"/>
              </w:rPr>
            </w:pPr>
            <w:r w:rsidRPr="002601A7">
              <w:rPr>
                <w:rFonts w:ascii="Adobe Caslon Pro" w:eastAsia="Times New Roman" w:hAnsi="Adobe Caslon Pro"/>
                <w:color w:val="000000"/>
                <w:lang w:eastAsia="es-MX"/>
              </w:rPr>
              <w:t>231,000,000</w:t>
            </w:r>
          </w:p>
        </w:tc>
        <w:tc>
          <w:tcPr>
            <w:tcW w:w="1300" w:type="dxa"/>
            <w:tcBorders>
              <w:top w:val="nil"/>
              <w:left w:val="nil"/>
              <w:bottom w:val="single" w:sz="4" w:space="0" w:color="auto"/>
              <w:right w:val="single" w:sz="4" w:space="0" w:color="auto"/>
            </w:tcBorders>
            <w:shd w:val="clear" w:color="000000" w:fill="FFFFFF"/>
            <w:noWrap/>
            <w:vAlign w:val="center"/>
            <w:hideMark/>
          </w:tcPr>
          <w:p w:rsidR="002601A7" w:rsidRPr="002601A7" w:rsidRDefault="002601A7" w:rsidP="00271526">
            <w:pPr>
              <w:spacing w:after="0" w:line="240" w:lineRule="auto"/>
              <w:contextualSpacing/>
              <w:jc w:val="right"/>
              <w:rPr>
                <w:rFonts w:ascii="Adobe Caslon Pro" w:eastAsia="Times New Roman" w:hAnsi="Adobe Caslon Pro"/>
                <w:color w:val="000000"/>
                <w:lang w:eastAsia="es-MX"/>
              </w:rPr>
            </w:pPr>
            <w:r w:rsidRPr="002601A7">
              <w:rPr>
                <w:rFonts w:ascii="Adobe Caslon Pro" w:eastAsia="Times New Roman" w:hAnsi="Adobe Caslon Pro"/>
                <w:color w:val="000000"/>
                <w:lang w:eastAsia="es-MX"/>
              </w:rPr>
              <w:t>266,000,000</w:t>
            </w:r>
          </w:p>
        </w:tc>
        <w:tc>
          <w:tcPr>
            <w:tcW w:w="1300" w:type="dxa"/>
            <w:tcBorders>
              <w:top w:val="nil"/>
              <w:left w:val="nil"/>
              <w:bottom w:val="single" w:sz="4" w:space="0" w:color="auto"/>
              <w:right w:val="single" w:sz="4" w:space="0" w:color="auto"/>
            </w:tcBorders>
            <w:shd w:val="clear" w:color="000000" w:fill="FFFFFF"/>
            <w:noWrap/>
            <w:vAlign w:val="center"/>
            <w:hideMark/>
          </w:tcPr>
          <w:p w:rsidR="002601A7" w:rsidRPr="002601A7" w:rsidRDefault="002601A7" w:rsidP="00271526">
            <w:pPr>
              <w:spacing w:after="0" w:line="240" w:lineRule="auto"/>
              <w:contextualSpacing/>
              <w:jc w:val="right"/>
              <w:rPr>
                <w:rFonts w:ascii="Adobe Caslon Pro" w:eastAsia="Times New Roman" w:hAnsi="Adobe Caslon Pro"/>
                <w:color w:val="000000"/>
                <w:lang w:eastAsia="es-MX"/>
              </w:rPr>
            </w:pPr>
            <w:r w:rsidRPr="002601A7">
              <w:rPr>
                <w:rFonts w:ascii="Adobe Caslon Pro" w:eastAsia="Times New Roman" w:hAnsi="Adobe Caslon Pro"/>
                <w:color w:val="000000"/>
                <w:lang w:eastAsia="es-MX"/>
              </w:rPr>
              <w:t>191,000,000</w:t>
            </w:r>
          </w:p>
        </w:tc>
      </w:tr>
    </w:tbl>
    <w:p w:rsidR="00360B8F" w:rsidRPr="000907D3" w:rsidRDefault="00360B8F" w:rsidP="0043286B">
      <w:pPr>
        <w:spacing w:after="120" w:line="240" w:lineRule="auto"/>
        <w:contextualSpacing/>
        <w:rPr>
          <w:rFonts w:ascii="Adobe Caslon Pro" w:hAnsi="Adobe Caslon Pro" w:cs="Arial"/>
          <w:sz w:val="18"/>
        </w:rPr>
      </w:pPr>
      <w:r w:rsidRPr="000907D3">
        <w:rPr>
          <w:rFonts w:ascii="Adobe Caslon Pro" w:hAnsi="Adobe Caslon Pro" w:cs="Arial"/>
          <w:sz w:val="18"/>
        </w:rPr>
        <w:t xml:space="preserve">Fuente. Elaboración propia con datos del </w:t>
      </w:r>
      <w:r w:rsidR="002F714E">
        <w:rPr>
          <w:rFonts w:ascii="Adobe Caslon Pro" w:hAnsi="Adobe Caslon Pro" w:cs="Arial"/>
          <w:sz w:val="18"/>
        </w:rPr>
        <w:t>INDESOL</w:t>
      </w:r>
      <w:r w:rsidRPr="000907D3">
        <w:rPr>
          <w:rFonts w:ascii="Adobe Caslon Pro" w:hAnsi="Adobe Caslon Pro" w:cs="Arial"/>
          <w:sz w:val="18"/>
        </w:rPr>
        <w:t>.</w:t>
      </w:r>
    </w:p>
    <w:p w:rsidR="0018237B" w:rsidRDefault="0018237B" w:rsidP="0043286B">
      <w:pPr>
        <w:spacing w:after="120"/>
        <w:rPr>
          <w:rFonts w:ascii="Adobe Caslon Pro" w:hAnsi="Adobe Caslon Pro"/>
          <w:b/>
        </w:rPr>
      </w:pPr>
      <w:bookmarkStart w:id="103" w:name="_Toc376184713"/>
      <w:bookmarkStart w:id="104" w:name="_Toc380497377"/>
    </w:p>
    <w:p w:rsidR="00432D15" w:rsidRPr="004D5D2F" w:rsidRDefault="00432D15" w:rsidP="0043286B">
      <w:pPr>
        <w:spacing w:after="120"/>
        <w:rPr>
          <w:rFonts w:ascii="Adobe Caslon Pro" w:hAnsi="Adobe Caslon Pro"/>
          <w:b/>
        </w:rPr>
      </w:pPr>
      <w:r w:rsidRPr="004D5D2F">
        <w:rPr>
          <w:rFonts w:ascii="Adobe Caslon Pro" w:hAnsi="Adobe Caslon Pro"/>
          <w:b/>
        </w:rPr>
        <w:t>Evolución prevista de la población potencial y objetivo</w:t>
      </w:r>
      <w:bookmarkEnd w:id="103"/>
      <w:bookmarkEnd w:id="104"/>
    </w:p>
    <w:p w:rsidR="00432D15" w:rsidRDefault="00432D15" w:rsidP="0043286B">
      <w:pPr>
        <w:spacing w:before="240" w:after="120" w:line="240" w:lineRule="auto"/>
        <w:jc w:val="both"/>
        <w:rPr>
          <w:rFonts w:ascii="Adobe Caslon Pro" w:hAnsi="Adobe Caslon Pro" w:cs="Arial"/>
        </w:rPr>
      </w:pPr>
      <w:r w:rsidRPr="000907D3">
        <w:rPr>
          <w:rFonts w:ascii="Adobe Caslon Pro" w:hAnsi="Adobe Caslon Pro" w:cs="Arial"/>
        </w:rPr>
        <w:t xml:space="preserve">Para calcular la evolución de la población potencial y objetivo del </w:t>
      </w:r>
      <w:r w:rsidR="004112D2">
        <w:rPr>
          <w:rFonts w:ascii="Adobe Caslon Pro" w:hAnsi="Adobe Caslon Pro" w:cs="Arial"/>
        </w:rPr>
        <w:t>PCS</w:t>
      </w:r>
      <w:r w:rsidRPr="000907D3">
        <w:rPr>
          <w:rFonts w:ascii="Adobe Caslon Pro" w:hAnsi="Adobe Caslon Pro" w:cs="Arial"/>
        </w:rPr>
        <w:t xml:space="preserve"> </w:t>
      </w:r>
      <w:r w:rsidR="00AA4897" w:rsidRPr="000907D3">
        <w:rPr>
          <w:rFonts w:ascii="Adobe Caslon Pro" w:hAnsi="Adobe Caslon Pro" w:cs="Arial"/>
        </w:rPr>
        <w:t xml:space="preserve">para el periodo </w:t>
      </w:r>
      <w:r w:rsidRPr="000907D3">
        <w:rPr>
          <w:rFonts w:ascii="Adobe Caslon Pro" w:hAnsi="Adobe Caslon Pro" w:cs="Arial"/>
        </w:rPr>
        <w:t xml:space="preserve">2014-2018, se calculó la tasa de crecimiento anual promedio del periodo 2009-2013 </w:t>
      </w:r>
      <w:r w:rsidR="00AA4897" w:rsidRPr="000907D3">
        <w:rPr>
          <w:rFonts w:ascii="Adobe Caslon Pro" w:hAnsi="Adobe Caslon Pro" w:cs="Arial"/>
        </w:rPr>
        <w:t xml:space="preserve">por </w:t>
      </w:r>
      <w:r w:rsidR="000A0F95" w:rsidRPr="000907D3">
        <w:rPr>
          <w:rFonts w:ascii="Adobe Caslon Pro" w:hAnsi="Adobe Caslon Pro" w:cs="Arial"/>
        </w:rPr>
        <w:t xml:space="preserve">tipo </w:t>
      </w:r>
      <w:r w:rsidR="0064042F">
        <w:rPr>
          <w:rFonts w:ascii="Adobe Caslon Pro" w:hAnsi="Adobe Caslon Pro" w:cs="Arial"/>
        </w:rPr>
        <w:t xml:space="preserve">de </w:t>
      </w:r>
      <w:r w:rsidR="00AA4897" w:rsidRPr="000907D3">
        <w:rPr>
          <w:rFonts w:ascii="Adobe Caslon Pro" w:hAnsi="Adobe Caslon Pro" w:cs="Arial"/>
        </w:rPr>
        <w:t>actor</w:t>
      </w:r>
      <w:r w:rsidR="001111E3">
        <w:rPr>
          <w:rFonts w:ascii="Adobe Caslon Pro" w:hAnsi="Adobe Caslon Pro" w:cs="Arial"/>
        </w:rPr>
        <w:t xml:space="preserve"> social</w:t>
      </w:r>
      <w:r w:rsidR="00AA4897" w:rsidRPr="000907D3">
        <w:rPr>
          <w:rFonts w:ascii="Adobe Caslon Pro" w:hAnsi="Adobe Caslon Pro" w:cs="Arial"/>
        </w:rPr>
        <w:t xml:space="preserve">, tanto de la </w:t>
      </w:r>
      <w:r w:rsidRPr="000907D3">
        <w:rPr>
          <w:rFonts w:ascii="Adobe Caslon Pro" w:hAnsi="Adobe Caslon Pro" w:cs="Arial"/>
        </w:rPr>
        <w:t>población potencial</w:t>
      </w:r>
      <w:r w:rsidR="00AA4897" w:rsidRPr="000907D3">
        <w:rPr>
          <w:rFonts w:ascii="Adobe Caslon Pro" w:hAnsi="Adobe Caslon Pro" w:cs="Arial"/>
        </w:rPr>
        <w:t xml:space="preserve">, como </w:t>
      </w:r>
      <w:r w:rsidRPr="000907D3">
        <w:rPr>
          <w:rFonts w:ascii="Adobe Caslon Pro" w:hAnsi="Adobe Caslon Pro" w:cs="Arial"/>
        </w:rPr>
        <w:t>objetivo; manteniendo todo lo demás constante. Posteriormente, se aplicaron dichas tasas de crecimiento a la población potencial y objetivo del presente diagnóstico.</w:t>
      </w:r>
    </w:p>
    <w:p w:rsidR="0018237B" w:rsidRPr="000907D3" w:rsidRDefault="0018237B" w:rsidP="0043286B">
      <w:pPr>
        <w:spacing w:after="120" w:line="240" w:lineRule="auto"/>
        <w:jc w:val="both"/>
        <w:rPr>
          <w:rFonts w:ascii="Adobe Caslon Pro" w:hAnsi="Adobe Caslon Pro" w:cs="Arial"/>
        </w:rPr>
      </w:pPr>
    </w:p>
    <w:p w:rsidR="007C3D74" w:rsidRPr="004D5D2F" w:rsidRDefault="007C3D74" w:rsidP="0043286B">
      <w:pPr>
        <w:spacing w:after="120" w:line="240" w:lineRule="auto"/>
        <w:rPr>
          <w:rFonts w:ascii="Adobe Caslon Pro" w:hAnsi="Adobe Caslon Pro"/>
          <w:b/>
        </w:rPr>
      </w:pPr>
      <w:r w:rsidRPr="004D5D2F">
        <w:rPr>
          <w:rFonts w:ascii="Adobe Caslon Pro" w:hAnsi="Adobe Caslon Pro"/>
          <w:b/>
        </w:rPr>
        <w:t>Tasa</w:t>
      </w:r>
      <w:r w:rsidR="004D5D2F">
        <w:rPr>
          <w:rFonts w:ascii="Adobe Caslon Pro" w:hAnsi="Adobe Caslon Pro"/>
          <w:b/>
        </w:rPr>
        <w:t>s de crecimiento anual promedio</w:t>
      </w:r>
    </w:p>
    <w:p w:rsidR="007C3D74" w:rsidRPr="000907D3" w:rsidRDefault="00940E10" w:rsidP="0043286B">
      <w:pPr>
        <w:pStyle w:val="Prrafodelista"/>
        <w:numPr>
          <w:ilvl w:val="0"/>
          <w:numId w:val="15"/>
        </w:numPr>
        <w:spacing w:before="240" w:after="120" w:line="240" w:lineRule="auto"/>
        <w:jc w:val="both"/>
        <w:rPr>
          <w:rFonts w:ascii="Adobe Caslon Pro" w:hAnsi="Adobe Caslon Pro" w:cs="Arial"/>
        </w:rPr>
      </w:pPr>
      <w:r>
        <w:rPr>
          <w:rFonts w:ascii="Adobe Caslon Pro" w:hAnsi="Adobe Caslon Pro" w:cs="Arial"/>
        </w:rPr>
        <w:t>OSC</w:t>
      </w:r>
      <w:r w:rsidR="007C3D74" w:rsidRPr="000907D3">
        <w:rPr>
          <w:rFonts w:ascii="Adobe Caslon Pro" w:hAnsi="Adobe Caslon Pro" w:cs="Arial"/>
        </w:rPr>
        <w:t xml:space="preserve"> clasificadas como población potencial: 12.0%.</w:t>
      </w:r>
    </w:p>
    <w:p w:rsidR="007C3D74" w:rsidRPr="000907D3" w:rsidRDefault="00160981" w:rsidP="0043286B">
      <w:pPr>
        <w:pStyle w:val="Prrafodelista"/>
        <w:numPr>
          <w:ilvl w:val="0"/>
          <w:numId w:val="15"/>
        </w:numPr>
        <w:spacing w:after="120" w:line="240" w:lineRule="auto"/>
        <w:jc w:val="both"/>
        <w:rPr>
          <w:rFonts w:ascii="Adobe Caslon Pro" w:hAnsi="Adobe Caslon Pro" w:cs="Arial"/>
        </w:rPr>
      </w:pPr>
      <w:r>
        <w:rPr>
          <w:rFonts w:ascii="Adobe Caslon Pro" w:hAnsi="Adobe Caslon Pro" w:cs="Arial"/>
        </w:rPr>
        <w:t>IES</w:t>
      </w:r>
      <w:r w:rsidR="007C3D74" w:rsidRPr="000907D3">
        <w:rPr>
          <w:rFonts w:ascii="Adobe Caslon Pro" w:hAnsi="Adobe Caslon Pro" w:cs="Arial"/>
        </w:rPr>
        <w:t xml:space="preserve"> y </w:t>
      </w:r>
      <w:r>
        <w:rPr>
          <w:rFonts w:ascii="Adobe Caslon Pro" w:hAnsi="Adobe Caslon Pro" w:cs="Arial"/>
        </w:rPr>
        <w:t>CI</w:t>
      </w:r>
      <w:r w:rsidR="007C3D74" w:rsidRPr="000907D3">
        <w:rPr>
          <w:rFonts w:ascii="Adobe Caslon Pro" w:hAnsi="Adobe Caslon Pro" w:cs="Arial"/>
        </w:rPr>
        <w:t xml:space="preserve"> clasificados como población potencial: 17.5%.</w:t>
      </w:r>
    </w:p>
    <w:p w:rsidR="007C3D74" w:rsidRPr="000907D3" w:rsidRDefault="00940E10" w:rsidP="0043286B">
      <w:pPr>
        <w:pStyle w:val="Prrafodelista"/>
        <w:numPr>
          <w:ilvl w:val="0"/>
          <w:numId w:val="15"/>
        </w:numPr>
        <w:spacing w:after="120" w:line="240" w:lineRule="auto"/>
        <w:jc w:val="both"/>
        <w:rPr>
          <w:rFonts w:ascii="Adobe Caslon Pro" w:hAnsi="Adobe Caslon Pro" w:cs="Arial"/>
        </w:rPr>
      </w:pPr>
      <w:r>
        <w:rPr>
          <w:rFonts w:ascii="Adobe Caslon Pro" w:hAnsi="Adobe Caslon Pro" w:cs="Arial"/>
        </w:rPr>
        <w:t>OSC</w:t>
      </w:r>
      <w:r w:rsidR="007C3D74" w:rsidRPr="000907D3">
        <w:rPr>
          <w:rFonts w:ascii="Adobe Caslon Pro" w:hAnsi="Adobe Caslon Pro" w:cs="Arial"/>
        </w:rPr>
        <w:t xml:space="preserve"> clasificadas como población objetivo: 4.8%.</w:t>
      </w:r>
    </w:p>
    <w:p w:rsidR="007C3D74" w:rsidRPr="000907D3" w:rsidRDefault="00160981" w:rsidP="0043286B">
      <w:pPr>
        <w:pStyle w:val="Prrafodelista"/>
        <w:numPr>
          <w:ilvl w:val="0"/>
          <w:numId w:val="15"/>
        </w:numPr>
        <w:spacing w:after="120" w:line="240" w:lineRule="auto"/>
        <w:jc w:val="both"/>
        <w:rPr>
          <w:rFonts w:ascii="Adobe Caslon Pro" w:hAnsi="Adobe Caslon Pro" w:cs="Arial"/>
        </w:rPr>
      </w:pPr>
      <w:r>
        <w:rPr>
          <w:rFonts w:ascii="Adobe Caslon Pro" w:hAnsi="Adobe Caslon Pro" w:cs="Arial"/>
        </w:rPr>
        <w:t>IES</w:t>
      </w:r>
      <w:r w:rsidR="007C3D74" w:rsidRPr="000907D3">
        <w:rPr>
          <w:rFonts w:ascii="Adobe Caslon Pro" w:hAnsi="Adobe Caslon Pro" w:cs="Arial"/>
        </w:rPr>
        <w:t xml:space="preserve"> y </w:t>
      </w:r>
      <w:r>
        <w:rPr>
          <w:rFonts w:ascii="Adobe Caslon Pro" w:hAnsi="Adobe Caslon Pro" w:cs="Arial"/>
        </w:rPr>
        <w:t>CI</w:t>
      </w:r>
      <w:r w:rsidR="007C3D74" w:rsidRPr="000907D3">
        <w:rPr>
          <w:rFonts w:ascii="Adobe Caslon Pro" w:hAnsi="Adobe Caslon Pro" w:cs="Arial"/>
        </w:rPr>
        <w:t xml:space="preserve"> clasificados como población objetivo: 12.4%.</w:t>
      </w:r>
    </w:p>
    <w:p w:rsidR="007C3D74" w:rsidRPr="000907D3" w:rsidRDefault="006A4CBC" w:rsidP="0043286B">
      <w:pPr>
        <w:pStyle w:val="Epgrafe"/>
        <w:spacing w:after="120"/>
        <w:jc w:val="center"/>
        <w:rPr>
          <w:rFonts w:ascii="Adobe Caslon Pro" w:hAnsi="Adobe Caslon Pro" w:cs="Arial"/>
          <w:color w:val="auto"/>
          <w:sz w:val="20"/>
          <w:szCs w:val="22"/>
        </w:rPr>
      </w:pPr>
      <w:bookmarkStart w:id="105" w:name="_Toc376103673"/>
      <w:bookmarkStart w:id="106" w:name="_Toc380683870"/>
      <w:r w:rsidRPr="000907D3">
        <w:rPr>
          <w:rFonts w:ascii="Adobe Caslon Pro" w:hAnsi="Adobe Caslon Pro" w:cs="Arial"/>
          <w:color w:val="auto"/>
          <w:sz w:val="20"/>
          <w:szCs w:val="22"/>
        </w:rPr>
        <w:t>Cuadro 8</w:t>
      </w:r>
      <w:r w:rsidR="007C3D74" w:rsidRPr="000907D3">
        <w:rPr>
          <w:rFonts w:ascii="Adobe Caslon Pro" w:hAnsi="Adobe Caslon Pro" w:cs="Arial"/>
          <w:color w:val="auto"/>
          <w:sz w:val="20"/>
          <w:szCs w:val="22"/>
        </w:rPr>
        <w:t>. Población objetivo 2014-2018</w:t>
      </w:r>
      <w:bookmarkEnd w:id="105"/>
      <w:bookmarkEnd w:id="106"/>
    </w:p>
    <w:tbl>
      <w:tblPr>
        <w:tblW w:w="92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58"/>
        <w:gridCol w:w="1159"/>
        <w:gridCol w:w="1158"/>
        <w:gridCol w:w="1160"/>
        <w:gridCol w:w="1158"/>
        <w:gridCol w:w="1159"/>
        <w:gridCol w:w="1158"/>
        <w:gridCol w:w="1160"/>
      </w:tblGrid>
      <w:tr w:rsidR="007C3D74" w:rsidRPr="000907D3" w:rsidTr="00130F95">
        <w:trPr>
          <w:trHeight w:val="279"/>
          <w:jc w:val="center"/>
        </w:trPr>
        <w:tc>
          <w:tcPr>
            <w:tcW w:w="4635" w:type="dxa"/>
            <w:gridSpan w:val="4"/>
            <w:shd w:val="clear" w:color="auto" w:fill="BFBFBF" w:themeFill="background1" w:themeFillShade="BF"/>
            <w:vAlign w:val="center"/>
            <w:hideMark/>
          </w:tcPr>
          <w:p w:rsidR="007C3D74" w:rsidRPr="000907D3" w:rsidRDefault="007C3D74" w:rsidP="00271526">
            <w:pPr>
              <w:spacing w:after="0" w:line="240" w:lineRule="auto"/>
              <w:contextualSpacing/>
              <w:jc w:val="center"/>
              <w:rPr>
                <w:rFonts w:ascii="Adobe Caslon Pro" w:eastAsia="Times New Roman" w:hAnsi="Adobe Caslon Pro" w:cs="Arial"/>
                <w:b/>
                <w:bCs/>
                <w:color w:val="000000"/>
                <w:lang w:eastAsia="es-MX"/>
              </w:rPr>
            </w:pPr>
            <w:r w:rsidRPr="000907D3">
              <w:rPr>
                <w:rFonts w:ascii="Adobe Caslon Pro" w:eastAsia="Times New Roman" w:hAnsi="Adobe Caslon Pro" w:cs="Arial"/>
                <w:b/>
                <w:bCs/>
                <w:color w:val="000000"/>
                <w:lang w:eastAsia="es-MX"/>
              </w:rPr>
              <w:t>Población potencial</w:t>
            </w:r>
          </w:p>
        </w:tc>
        <w:tc>
          <w:tcPr>
            <w:tcW w:w="4635" w:type="dxa"/>
            <w:gridSpan w:val="4"/>
            <w:shd w:val="clear" w:color="auto" w:fill="BFBFBF" w:themeFill="background1" w:themeFillShade="BF"/>
            <w:vAlign w:val="center"/>
            <w:hideMark/>
          </w:tcPr>
          <w:p w:rsidR="007C3D74" w:rsidRPr="000907D3" w:rsidRDefault="007C3D74" w:rsidP="00271526">
            <w:pPr>
              <w:spacing w:after="0" w:line="240" w:lineRule="auto"/>
              <w:contextualSpacing/>
              <w:jc w:val="center"/>
              <w:rPr>
                <w:rFonts w:ascii="Adobe Caslon Pro" w:eastAsia="Times New Roman" w:hAnsi="Adobe Caslon Pro" w:cs="Arial"/>
                <w:b/>
                <w:bCs/>
                <w:color w:val="000000"/>
                <w:lang w:eastAsia="es-MX"/>
              </w:rPr>
            </w:pPr>
            <w:r w:rsidRPr="000907D3">
              <w:rPr>
                <w:rFonts w:ascii="Adobe Caslon Pro" w:eastAsia="Times New Roman" w:hAnsi="Adobe Caslon Pro" w:cs="Arial"/>
                <w:b/>
                <w:bCs/>
                <w:color w:val="000000"/>
                <w:lang w:eastAsia="es-MX"/>
              </w:rPr>
              <w:t>Población objetivo</w:t>
            </w:r>
          </w:p>
        </w:tc>
      </w:tr>
      <w:tr w:rsidR="007C3D74" w:rsidRPr="000907D3" w:rsidTr="00130F95">
        <w:trPr>
          <w:trHeight w:val="727"/>
          <w:jc w:val="center"/>
        </w:trPr>
        <w:tc>
          <w:tcPr>
            <w:tcW w:w="1158" w:type="dxa"/>
            <w:shd w:val="clear" w:color="auto" w:fill="BFBFBF" w:themeFill="background1" w:themeFillShade="BF"/>
            <w:vAlign w:val="center"/>
            <w:hideMark/>
          </w:tcPr>
          <w:p w:rsidR="007C3D74" w:rsidRPr="00593DE6" w:rsidRDefault="007C3D74" w:rsidP="00271526">
            <w:pPr>
              <w:spacing w:after="0" w:line="240" w:lineRule="auto"/>
              <w:contextualSpacing/>
              <w:jc w:val="center"/>
              <w:rPr>
                <w:rFonts w:ascii="Adobe Caslon Pro" w:eastAsia="Times New Roman" w:hAnsi="Adobe Caslon Pro" w:cs="Arial"/>
                <w:b/>
                <w:bCs/>
                <w:color w:val="000000"/>
                <w:sz w:val="18"/>
                <w:lang w:eastAsia="es-MX"/>
              </w:rPr>
            </w:pPr>
            <w:r w:rsidRPr="00593DE6">
              <w:rPr>
                <w:rFonts w:ascii="Adobe Caslon Pro" w:eastAsia="Times New Roman" w:hAnsi="Adobe Caslon Pro" w:cs="Arial"/>
                <w:b/>
                <w:bCs/>
                <w:color w:val="000000"/>
                <w:sz w:val="18"/>
                <w:lang w:eastAsia="es-MX"/>
              </w:rPr>
              <w:t>Año</w:t>
            </w:r>
          </w:p>
        </w:tc>
        <w:tc>
          <w:tcPr>
            <w:tcW w:w="1159" w:type="dxa"/>
            <w:shd w:val="clear" w:color="auto" w:fill="BFBFBF" w:themeFill="background1" w:themeFillShade="BF"/>
            <w:vAlign w:val="center"/>
            <w:hideMark/>
          </w:tcPr>
          <w:p w:rsidR="007C3D74" w:rsidRPr="00593DE6" w:rsidRDefault="007C3D74" w:rsidP="00271526">
            <w:pPr>
              <w:spacing w:after="0" w:line="240" w:lineRule="auto"/>
              <w:contextualSpacing/>
              <w:jc w:val="center"/>
              <w:rPr>
                <w:rFonts w:ascii="Adobe Caslon Pro" w:eastAsia="Times New Roman" w:hAnsi="Adobe Caslon Pro" w:cs="Arial"/>
                <w:b/>
                <w:bCs/>
                <w:color w:val="000000"/>
                <w:sz w:val="18"/>
                <w:lang w:eastAsia="es-MX"/>
              </w:rPr>
            </w:pPr>
            <w:r w:rsidRPr="00593DE6">
              <w:rPr>
                <w:rFonts w:ascii="Adobe Caslon Pro" w:eastAsia="Times New Roman" w:hAnsi="Adobe Caslon Pro" w:cs="Arial"/>
                <w:b/>
                <w:bCs/>
                <w:color w:val="000000"/>
                <w:sz w:val="18"/>
                <w:lang w:eastAsia="es-MX"/>
              </w:rPr>
              <w:t>OSC</w:t>
            </w:r>
          </w:p>
        </w:tc>
        <w:tc>
          <w:tcPr>
            <w:tcW w:w="1158" w:type="dxa"/>
            <w:shd w:val="clear" w:color="auto" w:fill="BFBFBF" w:themeFill="background1" w:themeFillShade="BF"/>
            <w:vAlign w:val="center"/>
            <w:hideMark/>
          </w:tcPr>
          <w:p w:rsidR="007C3D74" w:rsidRPr="00593DE6" w:rsidRDefault="004112D2" w:rsidP="00271526">
            <w:pPr>
              <w:spacing w:after="0" w:line="240" w:lineRule="auto"/>
              <w:contextualSpacing/>
              <w:jc w:val="center"/>
              <w:rPr>
                <w:rFonts w:ascii="Adobe Caslon Pro" w:eastAsia="Times New Roman" w:hAnsi="Adobe Caslon Pro" w:cs="Arial"/>
                <w:b/>
                <w:bCs/>
                <w:color w:val="000000"/>
                <w:sz w:val="18"/>
                <w:lang w:eastAsia="es-MX"/>
              </w:rPr>
            </w:pPr>
            <w:r>
              <w:rPr>
                <w:rFonts w:ascii="Adobe Caslon Pro" w:eastAsia="Times New Roman" w:hAnsi="Adobe Caslon Pro" w:cs="Arial"/>
                <w:b/>
                <w:bCs/>
                <w:color w:val="000000"/>
                <w:sz w:val="18"/>
                <w:lang w:eastAsia="es-MX"/>
              </w:rPr>
              <w:t>IES</w:t>
            </w:r>
            <w:r w:rsidR="007C3D74" w:rsidRPr="00593DE6">
              <w:rPr>
                <w:rFonts w:ascii="Adobe Caslon Pro" w:eastAsia="Times New Roman" w:hAnsi="Adobe Caslon Pro" w:cs="Arial"/>
                <w:b/>
                <w:bCs/>
                <w:color w:val="000000"/>
                <w:sz w:val="18"/>
                <w:lang w:eastAsia="es-MX"/>
              </w:rPr>
              <w:t xml:space="preserve"> y </w:t>
            </w:r>
            <w:r w:rsidR="00160981">
              <w:rPr>
                <w:rFonts w:ascii="Adobe Caslon Pro" w:eastAsia="Times New Roman" w:hAnsi="Adobe Caslon Pro" w:cs="Arial"/>
                <w:b/>
                <w:bCs/>
                <w:color w:val="000000"/>
                <w:sz w:val="18"/>
                <w:lang w:eastAsia="es-MX"/>
              </w:rPr>
              <w:t>CI</w:t>
            </w:r>
          </w:p>
        </w:tc>
        <w:tc>
          <w:tcPr>
            <w:tcW w:w="1160" w:type="dxa"/>
            <w:shd w:val="clear" w:color="auto" w:fill="BFBFBF" w:themeFill="background1" w:themeFillShade="BF"/>
            <w:vAlign w:val="center"/>
            <w:hideMark/>
          </w:tcPr>
          <w:p w:rsidR="007C3D74" w:rsidRPr="00593DE6" w:rsidRDefault="007C3D74" w:rsidP="00271526">
            <w:pPr>
              <w:spacing w:after="0" w:line="240" w:lineRule="auto"/>
              <w:contextualSpacing/>
              <w:jc w:val="center"/>
              <w:rPr>
                <w:rFonts w:ascii="Adobe Caslon Pro" w:eastAsia="Times New Roman" w:hAnsi="Adobe Caslon Pro" w:cs="Arial"/>
                <w:b/>
                <w:bCs/>
                <w:color w:val="000000"/>
                <w:sz w:val="18"/>
                <w:lang w:eastAsia="es-MX"/>
              </w:rPr>
            </w:pPr>
            <w:r w:rsidRPr="00593DE6">
              <w:rPr>
                <w:rFonts w:ascii="Adobe Caslon Pro" w:eastAsia="Times New Roman" w:hAnsi="Adobe Caslon Pro" w:cs="Arial"/>
                <w:b/>
                <w:bCs/>
                <w:color w:val="000000"/>
                <w:sz w:val="18"/>
                <w:lang w:eastAsia="es-MX"/>
              </w:rPr>
              <w:t xml:space="preserve">Total </w:t>
            </w:r>
            <w:r w:rsidR="00160981">
              <w:rPr>
                <w:rFonts w:ascii="Adobe Caslon Pro" w:eastAsia="Times New Roman" w:hAnsi="Adobe Caslon Pro" w:cs="Arial"/>
                <w:b/>
                <w:bCs/>
                <w:color w:val="000000"/>
                <w:sz w:val="18"/>
                <w:lang w:eastAsia="es-MX"/>
              </w:rPr>
              <w:t>actores sociales</w:t>
            </w:r>
          </w:p>
        </w:tc>
        <w:tc>
          <w:tcPr>
            <w:tcW w:w="1158" w:type="dxa"/>
            <w:shd w:val="clear" w:color="auto" w:fill="BFBFBF" w:themeFill="background1" w:themeFillShade="BF"/>
            <w:vAlign w:val="center"/>
            <w:hideMark/>
          </w:tcPr>
          <w:p w:rsidR="007C3D74" w:rsidRPr="00593DE6" w:rsidRDefault="007C3D74" w:rsidP="00271526">
            <w:pPr>
              <w:spacing w:after="0" w:line="240" w:lineRule="auto"/>
              <w:contextualSpacing/>
              <w:jc w:val="center"/>
              <w:rPr>
                <w:rFonts w:ascii="Adobe Caslon Pro" w:eastAsia="Times New Roman" w:hAnsi="Adobe Caslon Pro" w:cs="Arial"/>
                <w:b/>
                <w:bCs/>
                <w:color w:val="000000"/>
                <w:sz w:val="18"/>
                <w:lang w:eastAsia="es-MX"/>
              </w:rPr>
            </w:pPr>
            <w:r w:rsidRPr="00593DE6">
              <w:rPr>
                <w:rFonts w:ascii="Adobe Caslon Pro" w:eastAsia="Times New Roman" w:hAnsi="Adobe Caslon Pro" w:cs="Arial"/>
                <w:b/>
                <w:bCs/>
                <w:color w:val="000000"/>
                <w:sz w:val="18"/>
                <w:lang w:eastAsia="es-MX"/>
              </w:rPr>
              <w:t>Año</w:t>
            </w:r>
          </w:p>
        </w:tc>
        <w:tc>
          <w:tcPr>
            <w:tcW w:w="1159" w:type="dxa"/>
            <w:shd w:val="clear" w:color="auto" w:fill="BFBFBF" w:themeFill="background1" w:themeFillShade="BF"/>
            <w:vAlign w:val="center"/>
            <w:hideMark/>
          </w:tcPr>
          <w:p w:rsidR="007C3D74" w:rsidRPr="00593DE6" w:rsidRDefault="007C3D74" w:rsidP="00271526">
            <w:pPr>
              <w:spacing w:after="0" w:line="240" w:lineRule="auto"/>
              <w:contextualSpacing/>
              <w:jc w:val="center"/>
              <w:rPr>
                <w:rFonts w:ascii="Adobe Caslon Pro" w:eastAsia="Times New Roman" w:hAnsi="Adobe Caslon Pro" w:cs="Arial"/>
                <w:b/>
                <w:bCs/>
                <w:color w:val="000000"/>
                <w:sz w:val="18"/>
                <w:lang w:eastAsia="es-MX"/>
              </w:rPr>
            </w:pPr>
            <w:r w:rsidRPr="00593DE6">
              <w:rPr>
                <w:rFonts w:ascii="Adobe Caslon Pro" w:eastAsia="Times New Roman" w:hAnsi="Adobe Caslon Pro" w:cs="Arial"/>
                <w:b/>
                <w:bCs/>
                <w:color w:val="000000"/>
                <w:sz w:val="18"/>
                <w:lang w:eastAsia="es-MX"/>
              </w:rPr>
              <w:t>OSC</w:t>
            </w:r>
          </w:p>
        </w:tc>
        <w:tc>
          <w:tcPr>
            <w:tcW w:w="1158" w:type="dxa"/>
            <w:shd w:val="clear" w:color="auto" w:fill="BFBFBF" w:themeFill="background1" w:themeFillShade="BF"/>
            <w:vAlign w:val="center"/>
            <w:hideMark/>
          </w:tcPr>
          <w:p w:rsidR="007C3D74" w:rsidRPr="00593DE6" w:rsidRDefault="004112D2" w:rsidP="00271526">
            <w:pPr>
              <w:spacing w:after="0" w:line="240" w:lineRule="auto"/>
              <w:contextualSpacing/>
              <w:jc w:val="center"/>
              <w:rPr>
                <w:rFonts w:ascii="Adobe Caslon Pro" w:eastAsia="Times New Roman" w:hAnsi="Adobe Caslon Pro" w:cs="Arial"/>
                <w:b/>
                <w:bCs/>
                <w:color w:val="000000"/>
                <w:sz w:val="18"/>
                <w:lang w:eastAsia="es-MX"/>
              </w:rPr>
            </w:pPr>
            <w:r>
              <w:rPr>
                <w:rFonts w:ascii="Adobe Caslon Pro" w:eastAsia="Times New Roman" w:hAnsi="Adobe Caslon Pro" w:cs="Arial"/>
                <w:b/>
                <w:bCs/>
                <w:color w:val="000000"/>
                <w:sz w:val="18"/>
                <w:lang w:eastAsia="es-MX"/>
              </w:rPr>
              <w:t>IES</w:t>
            </w:r>
            <w:r w:rsidR="007C3D74" w:rsidRPr="00593DE6">
              <w:rPr>
                <w:rFonts w:ascii="Adobe Caslon Pro" w:eastAsia="Times New Roman" w:hAnsi="Adobe Caslon Pro" w:cs="Arial"/>
                <w:b/>
                <w:bCs/>
                <w:color w:val="000000"/>
                <w:sz w:val="18"/>
                <w:lang w:eastAsia="es-MX"/>
              </w:rPr>
              <w:t xml:space="preserve"> y </w:t>
            </w:r>
            <w:r w:rsidR="00160981">
              <w:rPr>
                <w:rFonts w:ascii="Adobe Caslon Pro" w:eastAsia="Times New Roman" w:hAnsi="Adobe Caslon Pro" w:cs="Arial"/>
                <w:b/>
                <w:bCs/>
                <w:color w:val="000000"/>
                <w:sz w:val="18"/>
                <w:lang w:eastAsia="es-MX"/>
              </w:rPr>
              <w:t>CI</w:t>
            </w:r>
          </w:p>
        </w:tc>
        <w:tc>
          <w:tcPr>
            <w:tcW w:w="1160" w:type="dxa"/>
            <w:shd w:val="clear" w:color="auto" w:fill="BFBFBF" w:themeFill="background1" w:themeFillShade="BF"/>
            <w:vAlign w:val="center"/>
            <w:hideMark/>
          </w:tcPr>
          <w:p w:rsidR="007C3D74" w:rsidRPr="00593DE6" w:rsidRDefault="007C3D74" w:rsidP="00271526">
            <w:pPr>
              <w:spacing w:after="0" w:line="240" w:lineRule="auto"/>
              <w:contextualSpacing/>
              <w:jc w:val="center"/>
              <w:rPr>
                <w:rFonts w:ascii="Adobe Caslon Pro" w:eastAsia="Times New Roman" w:hAnsi="Adobe Caslon Pro" w:cs="Arial"/>
                <w:b/>
                <w:bCs/>
                <w:color w:val="000000"/>
                <w:sz w:val="18"/>
                <w:lang w:eastAsia="es-MX"/>
              </w:rPr>
            </w:pPr>
            <w:r w:rsidRPr="00593DE6">
              <w:rPr>
                <w:rFonts w:ascii="Adobe Caslon Pro" w:eastAsia="Times New Roman" w:hAnsi="Adobe Caslon Pro" w:cs="Arial"/>
                <w:b/>
                <w:bCs/>
                <w:color w:val="000000"/>
                <w:sz w:val="18"/>
                <w:lang w:eastAsia="es-MX"/>
              </w:rPr>
              <w:t>Total a</w:t>
            </w:r>
            <w:r w:rsidR="00A23CC5">
              <w:rPr>
                <w:rFonts w:ascii="Adobe Caslon Pro" w:eastAsia="Times New Roman" w:hAnsi="Adobe Caslon Pro" w:cs="Arial"/>
                <w:b/>
                <w:bCs/>
                <w:color w:val="000000"/>
                <w:sz w:val="18"/>
                <w:lang w:eastAsia="es-MX"/>
              </w:rPr>
              <w:t>ctores</w:t>
            </w:r>
            <w:r w:rsidRPr="00593DE6">
              <w:rPr>
                <w:rFonts w:ascii="Adobe Caslon Pro" w:eastAsia="Times New Roman" w:hAnsi="Adobe Caslon Pro" w:cs="Arial"/>
                <w:b/>
                <w:bCs/>
                <w:color w:val="000000"/>
                <w:sz w:val="18"/>
                <w:lang w:eastAsia="es-MX"/>
              </w:rPr>
              <w:t xml:space="preserve"> sociales</w:t>
            </w:r>
          </w:p>
        </w:tc>
      </w:tr>
      <w:tr w:rsidR="007C3D74" w:rsidRPr="000907D3" w:rsidTr="00130F95">
        <w:trPr>
          <w:trHeight w:hRule="exact" w:val="284"/>
          <w:jc w:val="center"/>
        </w:trPr>
        <w:tc>
          <w:tcPr>
            <w:tcW w:w="1158" w:type="dxa"/>
            <w:shd w:val="clear" w:color="auto" w:fill="auto"/>
            <w:noWrap/>
            <w:vAlign w:val="center"/>
            <w:hideMark/>
          </w:tcPr>
          <w:p w:rsidR="007C3D74" w:rsidRPr="000907D3" w:rsidRDefault="007C3D74" w:rsidP="00271526">
            <w:pPr>
              <w:spacing w:after="0" w:line="240" w:lineRule="auto"/>
              <w:contextualSpacing/>
              <w:jc w:val="center"/>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2014</w:t>
            </w:r>
          </w:p>
        </w:tc>
        <w:tc>
          <w:tcPr>
            <w:tcW w:w="1159" w:type="dxa"/>
            <w:shd w:val="clear" w:color="auto" w:fill="auto"/>
            <w:noWrap/>
            <w:vAlign w:val="bottom"/>
            <w:hideMark/>
          </w:tcPr>
          <w:p w:rsidR="007C3D74" w:rsidRPr="000907D3" w:rsidRDefault="007C3D74" w:rsidP="00271526">
            <w:pPr>
              <w:spacing w:after="0" w:line="240" w:lineRule="auto"/>
              <w:contextualSpacing/>
              <w:jc w:val="center"/>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7,754</w:t>
            </w:r>
          </w:p>
        </w:tc>
        <w:tc>
          <w:tcPr>
            <w:tcW w:w="1158" w:type="dxa"/>
            <w:shd w:val="clear" w:color="auto" w:fill="auto"/>
            <w:noWrap/>
            <w:vAlign w:val="bottom"/>
            <w:hideMark/>
          </w:tcPr>
          <w:p w:rsidR="007C3D74" w:rsidRPr="000907D3" w:rsidRDefault="007C3D74" w:rsidP="00271526">
            <w:pPr>
              <w:spacing w:after="0" w:line="240" w:lineRule="auto"/>
              <w:contextualSpacing/>
              <w:jc w:val="center"/>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105</w:t>
            </w:r>
          </w:p>
        </w:tc>
        <w:tc>
          <w:tcPr>
            <w:tcW w:w="1160" w:type="dxa"/>
            <w:shd w:val="clear" w:color="auto" w:fill="auto"/>
            <w:noWrap/>
            <w:vAlign w:val="bottom"/>
            <w:hideMark/>
          </w:tcPr>
          <w:p w:rsidR="007C3D74" w:rsidRPr="000907D3" w:rsidRDefault="007C3D74" w:rsidP="00271526">
            <w:pPr>
              <w:spacing w:after="0" w:line="240" w:lineRule="auto"/>
              <w:contextualSpacing/>
              <w:jc w:val="center"/>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7,859</w:t>
            </w:r>
          </w:p>
        </w:tc>
        <w:tc>
          <w:tcPr>
            <w:tcW w:w="1158" w:type="dxa"/>
            <w:shd w:val="clear" w:color="auto" w:fill="auto"/>
            <w:noWrap/>
            <w:vAlign w:val="center"/>
            <w:hideMark/>
          </w:tcPr>
          <w:p w:rsidR="007C3D74" w:rsidRPr="000907D3" w:rsidRDefault="00A23CC5" w:rsidP="00271526">
            <w:pPr>
              <w:spacing w:after="0" w:line="240" w:lineRule="auto"/>
              <w:contextualSpacing/>
              <w:jc w:val="center"/>
              <w:rPr>
                <w:rFonts w:ascii="Adobe Caslon Pro" w:eastAsia="Times New Roman" w:hAnsi="Adobe Caslon Pro" w:cs="Arial"/>
                <w:color w:val="000000"/>
                <w:lang w:eastAsia="es-MX"/>
              </w:rPr>
            </w:pPr>
            <w:r>
              <w:rPr>
                <w:rFonts w:ascii="Adobe Caslon Pro" w:eastAsia="Times New Roman" w:hAnsi="Adobe Caslon Pro" w:cs="Arial"/>
                <w:color w:val="000000"/>
                <w:lang w:eastAsia="es-MX"/>
              </w:rPr>
              <w:t>2</w:t>
            </w:r>
            <w:r w:rsidR="007C3D74" w:rsidRPr="000907D3">
              <w:rPr>
                <w:rFonts w:ascii="Adobe Caslon Pro" w:eastAsia="Times New Roman" w:hAnsi="Adobe Caslon Pro" w:cs="Arial"/>
                <w:color w:val="000000"/>
                <w:lang w:eastAsia="es-MX"/>
              </w:rPr>
              <w:t>014</w:t>
            </w:r>
          </w:p>
        </w:tc>
        <w:tc>
          <w:tcPr>
            <w:tcW w:w="1159" w:type="dxa"/>
            <w:shd w:val="clear" w:color="auto" w:fill="auto"/>
            <w:noWrap/>
            <w:vAlign w:val="bottom"/>
            <w:hideMark/>
          </w:tcPr>
          <w:p w:rsidR="007C3D74" w:rsidRPr="000907D3" w:rsidRDefault="007C3D74" w:rsidP="00271526">
            <w:pPr>
              <w:spacing w:after="0" w:line="240" w:lineRule="auto"/>
              <w:contextualSpacing/>
              <w:jc w:val="center"/>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5,229</w:t>
            </w:r>
          </w:p>
        </w:tc>
        <w:tc>
          <w:tcPr>
            <w:tcW w:w="1158" w:type="dxa"/>
            <w:shd w:val="clear" w:color="auto" w:fill="auto"/>
            <w:noWrap/>
            <w:vAlign w:val="bottom"/>
            <w:hideMark/>
          </w:tcPr>
          <w:p w:rsidR="007C3D74" w:rsidRPr="000907D3" w:rsidRDefault="007C3D74" w:rsidP="00271526">
            <w:pPr>
              <w:spacing w:after="0" w:line="240" w:lineRule="auto"/>
              <w:contextualSpacing/>
              <w:jc w:val="center"/>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67</w:t>
            </w:r>
          </w:p>
        </w:tc>
        <w:tc>
          <w:tcPr>
            <w:tcW w:w="1160" w:type="dxa"/>
            <w:shd w:val="clear" w:color="auto" w:fill="auto"/>
            <w:noWrap/>
            <w:vAlign w:val="bottom"/>
            <w:hideMark/>
          </w:tcPr>
          <w:p w:rsidR="007C3D74" w:rsidRPr="000907D3" w:rsidRDefault="007C3D74" w:rsidP="00271526">
            <w:pPr>
              <w:spacing w:after="0" w:line="240" w:lineRule="auto"/>
              <w:contextualSpacing/>
              <w:jc w:val="center"/>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5,297</w:t>
            </w:r>
          </w:p>
        </w:tc>
      </w:tr>
      <w:tr w:rsidR="007C3D74" w:rsidRPr="000907D3" w:rsidTr="00130F95">
        <w:trPr>
          <w:trHeight w:hRule="exact" w:val="284"/>
          <w:jc w:val="center"/>
        </w:trPr>
        <w:tc>
          <w:tcPr>
            <w:tcW w:w="1158" w:type="dxa"/>
            <w:shd w:val="clear" w:color="auto" w:fill="auto"/>
            <w:noWrap/>
            <w:vAlign w:val="center"/>
            <w:hideMark/>
          </w:tcPr>
          <w:p w:rsidR="007C3D74" w:rsidRPr="000907D3" w:rsidRDefault="007C3D74" w:rsidP="00271526">
            <w:pPr>
              <w:spacing w:after="0" w:line="240" w:lineRule="auto"/>
              <w:contextualSpacing/>
              <w:jc w:val="center"/>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2015</w:t>
            </w:r>
          </w:p>
        </w:tc>
        <w:tc>
          <w:tcPr>
            <w:tcW w:w="1159" w:type="dxa"/>
            <w:shd w:val="clear" w:color="auto" w:fill="auto"/>
            <w:noWrap/>
            <w:vAlign w:val="bottom"/>
            <w:hideMark/>
          </w:tcPr>
          <w:p w:rsidR="007C3D74" w:rsidRPr="000907D3" w:rsidRDefault="007C3D74" w:rsidP="00271526">
            <w:pPr>
              <w:spacing w:after="0" w:line="240" w:lineRule="auto"/>
              <w:contextualSpacing/>
              <w:jc w:val="center"/>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8,683</w:t>
            </w:r>
          </w:p>
        </w:tc>
        <w:tc>
          <w:tcPr>
            <w:tcW w:w="1158" w:type="dxa"/>
            <w:shd w:val="clear" w:color="auto" w:fill="auto"/>
            <w:noWrap/>
            <w:vAlign w:val="bottom"/>
            <w:hideMark/>
          </w:tcPr>
          <w:p w:rsidR="007C3D74" w:rsidRPr="000907D3" w:rsidRDefault="007C3D74" w:rsidP="00271526">
            <w:pPr>
              <w:spacing w:after="0" w:line="240" w:lineRule="auto"/>
              <w:contextualSpacing/>
              <w:jc w:val="center"/>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123</w:t>
            </w:r>
          </w:p>
        </w:tc>
        <w:tc>
          <w:tcPr>
            <w:tcW w:w="1160" w:type="dxa"/>
            <w:shd w:val="clear" w:color="auto" w:fill="auto"/>
            <w:noWrap/>
            <w:vAlign w:val="bottom"/>
            <w:hideMark/>
          </w:tcPr>
          <w:p w:rsidR="007C3D74" w:rsidRPr="000907D3" w:rsidRDefault="007C3D74" w:rsidP="00271526">
            <w:pPr>
              <w:spacing w:after="0" w:line="240" w:lineRule="auto"/>
              <w:contextualSpacing/>
              <w:jc w:val="center"/>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8,806</w:t>
            </w:r>
          </w:p>
        </w:tc>
        <w:tc>
          <w:tcPr>
            <w:tcW w:w="1158" w:type="dxa"/>
            <w:shd w:val="clear" w:color="auto" w:fill="auto"/>
            <w:noWrap/>
            <w:vAlign w:val="center"/>
            <w:hideMark/>
          </w:tcPr>
          <w:p w:rsidR="007C3D74" w:rsidRPr="000907D3" w:rsidRDefault="007C3D74" w:rsidP="00271526">
            <w:pPr>
              <w:spacing w:after="0" w:line="240" w:lineRule="auto"/>
              <w:contextualSpacing/>
              <w:jc w:val="center"/>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2015</w:t>
            </w:r>
          </w:p>
        </w:tc>
        <w:tc>
          <w:tcPr>
            <w:tcW w:w="1159" w:type="dxa"/>
            <w:shd w:val="clear" w:color="auto" w:fill="auto"/>
            <w:noWrap/>
            <w:vAlign w:val="bottom"/>
            <w:hideMark/>
          </w:tcPr>
          <w:p w:rsidR="007C3D74" w:rsidRPr="000907D3" w:rsidRDefault="007C3D74" w:rsidP="00271526">
            <w:pPr>
              <w:spacing w:after="0" w:line="240" w:lineRule="auto"/>
              <w:contextualSpacing/>
              <w:jc w:val="center"/>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5,482</w:t>
            </w:r>
          </w:p>
        </w:tc>
        <w:tc>
          <w:tcPr>
            <w:tcW w:w="1158" w:type="dxa"/>
            <w:shd w:val="clear" w:color="auto" w:fill="auto"/>
            <w:noWrap/>
            <w:vAlign w:val="bottom"/>
            <w:hideMark/>
          </w:tcPr>
          <w:p w:rsidR="007C3D74" w:rsidRPr="000907D3" w:rsidRDefault="007C3D74" w:rsidP="00271526">
            <w:pPr>
              <w:spacing w:after="0" w:line="240" w:lineRule="auto"/>
              <w:contextualSpacing/>
              <w:jc w:val="center"/>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71</w:t>
            </w:r>
          </w:p>
        </w:tc>
        <w:tc>
          <w:tcPr>
            <w:tcW w:w="1160" w:type="dxa"/>
            <w:shd w:val="clear" w:color="auto" w:fill="auto"/>
            <w:noWrap/>
            <w:vAlign w:val="bottom"/>
            <w:hideMark/>
          </w:tcPr>
          <w:p w:rsidR="007C3D74" w:rsidRPr="000907D3" w:rsidRDefault="007C3D74" w:rsidP="00271526">
            <w:pPr>
              <w:spacing w:after="0" w:line="240" w:lineRule="auto"/>
              <w:contextualSpacing/>
              <w:jc w:val="center"/>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5,552</w:t>
            </w:r>
          </w:p>
        </w:tc>
      </w:tr>
      <w:tr w:rsidR="007C3D74" w:rsidRPr="000907D3" w:rsidTr="00130F95">
        <w:trPr>
          <w:trHeight w:hRule="exact" w:val="284"/>
          <w:jc w:val="center"/>
        </w:trPr>
        <w:tc>
          <w:tcPr>
            <w:tcW w:w="1158" w:type="dxa"/>
            <w:shd w:val="clear" w:color="auto" w:fill="auto"/>
            <w:noWrap/>
            <w:vAlign w:val="center"/>
            <w:hideMark/>
          </w:tcPr>
          <w:p w:rsidR="007C3D74" w:rsidRPr="000907D3" w:rsidRDefault="007C3D74" w:rsidP="00271526">
            <w:pPr>
              <w:spacing w:after="0" w:line="240" w:lineRule="auto"/>
              <w:contextualSpacing/>
              <w:jc w:val="center"/>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2016</w:t>
            </w:r>
          </w:p>
        </w:tc>
        <w:tc>
          <w:tcPr>
            <w:tcW w:w="1159" w:type="dxa"/>
            <w:shd w:val="clear" w:color="auto" w:fill="auto"/>
            <w:noWrap/>
            <w:vAlign w:val="bottom"/>
            <w:hideMark/>
          </w:tcPr>
          <w:p w:rsidR="007C3D74" w:rsidRPr="000907D3" w:rsidRDefault="007C3D74" w:rsidP="00271526">
            <w:pPr>
              <w:spacing w:after="0" w:line="240" w:lineRule="auto"/>
              <w:contextualSpacing/>
              <w:jc w:val="center"/>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9,102</w:t>
            </w:r>
          </w:p>
        </w:tc>
        <w:tc>
          <w:tcPr>
            <w:tcW w:w="1158" w:type="dxa"/>
            <w:shd w:val="clear" w:color="auto" w:fill="auto"/>
            <w:noWrap/>
            <w:vAlign w:val="bottom"/>
            <w:hideMark/>
          </w:tcPr>
          <w:p w:rsidR="007C3D74" w:rsidRPr="000907D3" w:rsidRDefault="007C3D74" w:rsidP="00271526">
            <w:pPr>
              <w:spacing w:after="0" w:line="240" w:lineRule="auto"/>
              <w:contextualSpacing/>
              <w:jc w:val="center"/>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129</w:t>
            </w:r>
          </w:p>
        </w:tc>
        <w:tc>
          <w:tcPr>
            <w:tcW w:w="1160" w:type="dxa"/>
            <w:shd w:val="clear" w:color="auto" w:fill="auto"/>
            <w:noWrap/>
            <w:vAlign w:val="bottom"/>
            <w:hideMark/>
          </w:tcPr>
          <w:p w:rsidR="007C3D74" w:rsidRPr="000907D3" w:rsidRDefault="007C3D74" w:rsidP="00271526">
            <w:pPr>
              <w:spacing w:after="0" w:line="240" w:lineRule="auto"/>
              <w:contextualSpacing/>
              <w:jc w:val="center"/>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9,231</w:t>
            </w:r>
          </w:p>
        </w:tc>
        <w:tc>
          <w:tcPr>
            <w:tcW w:w="1158" w:type="dxa"/>
            <w:shd w:val="clear" w:color="auto" w:fill="auto"/>
            <w:noWrap/>
            <w:vAlign w:val="center"/>
            <w:hideMark/>
          </w:tcPr>
          <w:p w:rsidR="007C3D74" w:rsidRPr="000907D3" w:rsidRDefault="00A23CC5" w:rsidP="00271526">
            <w:pPr>
              <w:spacing w:after="0" w:line="240" w:lineRule="auto"/>
              <w:contextualSpacing/>
              <w:jc w:val="center"/>
              <w:rPr>
                <w:rFonts w:ascii="Adobe Caslon Pro" w:eastAsia="Times New Roman" w:hAnsi="Adobe Caslon Pro" w:cs="Arial"/>
                <w:color w:val="000000"/>
                <w:lang w:eastAsia="es-MX"/>
              </w:rPr>
            </w:pPr>
            <w:r>
              <w:rPr>
                <w:rFonts w:ascii="Adobe Caslon Pro" w:eastAsia="Times New Roman" w:hAnsi="Adobe Caslon Pro" w:cs="Arial"/>
                <w:color w:val="000000"/>
                <w:lang w:eastAsia="es-MX"/>
              </w:rPr>
              <w:t>2</w:t>
            </w:r>
            <w:r w:rsidR="007C3D74" w:rsidRPr="000907D3">
              <w:rPr>
                <w:rFonts w:ascii="Adobe Caslon Pro" w:eastAsia="Times New Roman" w:hAnsi="Adobe Caslon Pro" w:cs="Arial"/>
                <w:color w:val="000000"/>
                <w:lang w:eastAsia="es-MX"/>
              </w:rPr>
              <w:t>016</w:t>
            </w:r>
          </w:p>
        </w:tc>
        <w:tc>
          <w:tcPr>
            <w:tcW w:w="1159" w:type="dxa"/>
            <w:shd w:val="clear" w:color="auto" w:fill="auto"/>
            <w:noWrap/>
            <w:vAlign w:val="bottom"/>
            <w:hideMark/>
          </w:tcPr>
          <w:p w:rsidR="007C3D74" w:rsidRPr="000907D3" w:rsidRDefault="007C3D74" w:rsidP="00271526">
            <w:pPr>
              <w:spacing w:after="0" w:line="240" w:lineRule="auto"/>
              <w:contextualSpacing/>
              <w:jc w:val="center"/>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5,746</w:t>
            </w:r>
          </w:p>
        </w:tc>
        <w:tc>
          <w:tcPr>
            <w:tcW w:w="1158" w:type="dxa"/>
            <w:shd w:val="clear" w:color="auto" w:fill="auto"/>
            <w:noWrap/>
            <w:vAlign w:val="bottom"/>
            <w:hideMark/>
          </w:tcPr>
          <w:p w:rsidR="007C3D74" w:rsidRPr="000907D3" w:rsidRDefault="007C3D74" w:rsidP="00271526">
            <w:pPr>
              <w:spacing w:after="0" w:line="240" w:lineRule="auto"/>
              <w:contextualSpacing/>
              <w:jc w:val="center"/>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74</w:t>
            </w:r>
          </w:p>
        </w:tc>
        <w:tc>
          <w:tcPr>
            <w:tcW w:w="1160" w:type="dxa"/>
            <w:shd w:val="clear" w:color="auto" w:fill="auto"/>
            <w:noWrap/>
            <w:vAlign w:val="bottom"/>
            <w:hideMark/>
          </w:tcPr>
          <w:p w:rsidR="007C3D74" w:rsidRPr="000907D3" w:rsidRDefault="007C3D74" w:rsidP="00271526">
            <w:pPr>
              <w:spacing w:after="0" w:line="240" w:lineRule="auto"/>
              <w:contextualSpacing/>
              <w:jc w:val="center"/>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5,820</w:t>
            </w:r>
          </w:p>
        </w:tc>
      </w:tr>
      <w:tr w:rsidR="007C3D74" w:rsidRPr="000907D3" w:rsidTr="00130F95">
        <w:trPr>
          <w:trHeight w:hRule="exact" w:val="284"/>
          <w:jc w:val="center"/>
        </w:trPr>
        <w:tc>
          <w:tcPr>
            <w:tcW w:w="1158" w:type="dxa"/>
            <w:shd w:val="clear" w:color="auto" w:fill="auto"/>
            <w:noWrap/>
            <w:vAlign w:val="center"/>
            <w:hideMark/>
          </w:tcPr>
          <w:p w:rsidR="007C3D74" w:rsidRPr="000907D3" w:rsidRDefault="007C3D74" w:rsidP="00271526">
            <w:pPr>
              <w:spacing w:after="0" w:line="240" w:lineRule="auto"/>
              <w:contextualSpacing/>
              <w:jc w:val="center"/>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2017</w:t>
            </w:r>
          </w:p>
        </w:tc>
        <w:tc>
          <w:tcPr>
            <w:tcW w:w="1159" w:type="dxa"/>
            <w:shd w:val="clear" w:color="auto" w:fill="auto"/>
            <w:noWrap/>
            <w:vAlign w:val="bottom"/>
            <w:hideMark/>
          </w:tcPr>
          <w:p w:rsidR="007C3D74" w:rsidRPr="000907D3" w:rsidRDefault="007C3D74" w:rsidP="00271526">
            <w:pPr>
              <w:spacing w:after="0" w:line="240" w:lineRule="auto"/>
              <w:contextualSpacing/>
              <w:jc w:val="center"/>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9,541</w:t>
            </w:r>
          </w:p>
        </w:tc>
        <w:tc>
          <w:tcPr>
            <w:tcW w:w="1158" w:type="dxa"/>
            <w:shd w:val="clear" w:color="auto" w:fill="auto"/>
            <w:noWrap/>
            <w:vAlign w:val="bottom"/>
            <w:hideMark/>
          </w:tcPr>
          <w:p w:rsidR="007C3D74" w:rsidRPr="000907D3" w:rsidRDefault="007C3D74" w:rsidP="00271526">
            <w:pPr>
              <w:spacing w:after="0" w:line="240" w:lineRule="auto"/>
              <w:contextualSpacing/>
              <w:jc w:val="center"/>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135</w:t>
            </w:r>
          </w:p>
        </w:tc>
        <w:tc>
          <w:tcPr>
            <w:tcW w:w="1160" w:type="dxa"/>
            <w:shd w:val="clear" w:color="auto" w:fill="auto"/>
            <w:noWrap/>
            <w:vAlign w:val="bottom"/>
            <w:hideMark/>
          </w:tcPr>
          <w:p w:rsidR="007C3D74" w:rsidRPr="000907D3" w:rsidRDefault="007C3D74" w:rsidP="00271526">
            <w:pPr>
              <w:spacing w:after="0" w:line="240" w:lineRule="auto"/>
              <w:contextualSpacing/>
              <w:jc w:val="center"/>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9,675</w:t>
            </w:r>
          </w:p>
        </w:tc>
        <w:tc>
          <w:tcPr>
            <w:tcW w:w="1158" w:type="dxa"/>
            <w:shd w:val="clear" w:color="auto" w:fill="auto"/>
            <w:noWrap/>
            <w:vAlign w:val="center"/>
            <w:hideMark/>
          </w:tcPr>
          <w:p w:rsidR="007C3D74" w:rsidRPr="000907D3" w:rsidRDefault="00A23CC5" w:rsidP="00271526">
            <w:pPr>
              <w:spacing w:after="0" w:line="240" w:lineRule="auto"/>
              <w:contextualSpacing/>
              <w:jc w:val="center"/>
              <w:rPr>
                <w:rFonts w:ascii="Adobe Caslon Pro" w:eastAsia="Times New Roman" w:hAnsi="Adobe Caslon Pro" w:cs="Arial"/>
                <w:color w:val="000000"/>
                <w:lang w:eastAsia="es-MX"/>
              </w:rPr>
            </w:pPr>
            <w:r>
              <w:rPr>
                <w:rFonts w:ascii="Adobe Caslon Pro" w:eastAsia="Times New Roman" w:hAnsi="Adobe Caslon Pro" w:cs="Arial"/>
                <w:color w:val="000000"/>
                <w:lang w:eastAsia="es-MX"/>
              </w:rPr>
              <w:t>2</w:t>
            </w:r>
            <w:r w:rsidR="007C3D74" w:rsidRPr="000907D3">
              <w:rPr>
                <w:rFonts w:ascii="Adobe Caslon Pro" w:eastAsia="Times New Roman" w:hAnsi="Adobe Caslon Pro" w:cs="Arial"/>
                <w:color w:val="000000"/>
                <w:lang w:eastAsia="es-MX"/>
              </w:rPr>
              <w:t>017</w:t>
            </w:r>
          </w:p>
        </w:tc>
        <w:tc>
          <w:tcPr>
            <w:tcW w:w="1159" w:type="dxa"/>
            <w:shd w:val="clear" w:color="auto" w:fill="auto"/>
            <w:noWrap/>
            <w:vAlign w:val="bottom"/>
            <w:hideMark/>
          </w:tcPr>
          <w:p w:rsidR="007C3D74" w:rsidRPr="000907D3" w:rsidRDefault="007C3D74" w:rsidP="00271526">
            <w:pPr>
              <w:spacing w:after="0" w:line="240" w:lineRule="auto"/>
              <w:contextualSpacing/>
              <w:jc w:val="center"/>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6,023</w:t>
            </w:r>
          </w:p>
        </w:tc>
        <w:tc>
          <w:tcPr>
            <w:tcW w:w="1158" w:type="dxa"/>
            <w:shd w:val="clear" w:color="auto" w:fill="auto"/>
            <w:noWrap/>
            <w:vAlign w:val="bottom"/>
            <w:hideMark/>
          </w:tcPr>
          <w:p w:rsidR="007C3D74" w:rsidRPr="000907D3" w:rsidRDefault="007C3D74" w:rsidP="00271526">
            <w:pPr>
              <w:spacing w:after="0" w:line="240" w:lineRule="auto"/>
              <w:contextualSpacing/>
              <w:jc w:val="center"/>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78</w:t>
            </w:r>
          </w:p>
        </w:tc>
        <w:tc>
          <w:tcPr>
            <w:tcW w:w="1160" w:type="dxa"/>
            <w:shd w:val="clear" w:color="auto" w:fill="auto"/>
            <w:noWrap/>
            <w:vAlign w:val="bottom"/>
            <w:hideMark/>
          </w:tcPr>
          <w:p w:rsidR="007C3D74" w:rsidRPr="000907D3" w:rsidRDefault="007C3D74" w:rsidP="00271526">
            <w:pPr>
              <w:spacing w:after="0" w:line="240" w:lineRule="auto"/>
              <w:contextualSpacing/>
              <w:jc w:val="center"/>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6,100</w:t>
            </w:r>
          </w:p>
        </w:tc>
      </w:tr>
      <w:tr w:rsidR="007C3D74" w:rsidRPr="000907D3" w:rsidTr="00130F95">
        <w:trPr>
          <w:trHeight w:hRule="exact" w:val="284"/>
          <w:jc w:val="center"/>
        </w:trPr>
        <w:tc>
          <w:tcPr>
            <w:tcW w:w="1158" w:type="dxa"/>
            <w:shd w:val="clear" w:color="auto" w:fill="auto"/>
            <w:noWrap/>
            <w:vAlign w:val="center"/>
            <w:hideMark/>
          </w:tcPr>
          <w:p w:rsidR="007C3D74" w:rsidRPr="000907D3" w:rsidRDefault="007C3D74" w:rsidP="00271526">
            <w:pPr>
              <w:spacing w:after="0" w:line="240" w:lineRule="auto"/>
              <w:contextualSpacing/>
              <w:jc w:val="center"/>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2018</w:t>
            </w:r>
          </w:p>
        </w:tc>
        <w:tc>
          <w:tcPr>
            <w:tcW w:w="1159" w:type="dxa"/>
            <w:shd w:val="clear" w:color="auto" w:fill="auto"/>
            <w:noWrap/>
            <w:vAlign w:val="bottom"/>
            <w:hideMark/>
          </w:tcPr>
          <w:p w:rsidR="007C3D74" w:rsidRPr="000907D3" w:rsidRDefault="007C3D74" w:rsidP="00271526">
            <w:pPr>
              <w:spacing w:after="0" w:line="240" w:lineRule="auto"/>
              <w:contextualSpacing/>
              <w:jc w:val="center"/>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10,000</w:t>
            </w:r>
          </w:p>
        </w:tc>
        <w:tc>
          <w:tcPr>
            <w:tcW w:w="1158" w:type="dxa"/>
            <w:shd w:val="clear" w:color="auto" w:fill="auto"/>
            <w:noWrap/>
            <w:vAlign w:val="bottom"/>
            <w:hideMark/>
          </w:tcPr>
          <w:p w:rsidR="007C3D74" w:rsidRPr="000907D3" w:rsidRDefault="007C3D74" w:rsidP="00271526">
            <w:pPr>
              <w:spacing w:after="0" w:line="240" w:lineRule="auto"/>
              <w:contextualSpacing/>
              <w:jc w:val="center"/>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141</w:t>
            </w:r>
          </w:p>
        </w:tc>
        <w:tc>
          <w:tcPr>
            <w:tcW w:w="1160" w:type="dxa"/>
            <w:shd w:val="clear" w:color="auto" w:fill="auto"/>
            <w:noWrap/>
            <w:vAlign w:val="bottom"/>
            <w:hideMark/>
          </w:tcPr>
          <w:p w:rsidR="007C3D74" w:rsidRPr="000907D3" w:rsidRDefault="007C3D74" w:rsidP="00271526">
            <w:pPr>
              <w:spacing w:after="0" w:line="240" w:lineRule="auto"/>
              <w:contextualSpacing/>
              <w:jc w:val="center"/>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10,142</w:t>
            </w:r>
          </w:p>
        </w:tc>
        <w:tc>
          <w:tcPr>
            <w:tcW w:w="1158" w:type="dxa"/>
            <w:shd w:val="clear" w:color="auto" w:fill="auto"/>
            <w:noWrap/>
            <w:vAlign w:val="center"/>
            <w:hideMark/>
          </w:tcPr>
          <w:p w:rsidR="007C3D74" w:rsidRPr="000907D3" w:rsidRDefault="00A23CC5" w:rsidP="00271526">
            <w:pPr>
              <w:spacing w:after="0" w:line="240" w:lineRule="auto"/>
              <w:contextualSpacing/>
              <w:jc w:val="center"/>
              <w:rPr>
                <w:rFonts w:ascii="Adobe Caslon Pro" w:eastAsia="Times New Roman" w:hAnsi="Adobe Caslon Pro" w:cs="Arial"/>
                <w:color w:val="000000"/>
                <w:lang w:eastAsia="es-MX"/>
              </w:rPr>
            </w:pPr>
            <w:r>
              <w:rPr>
                <w:rFonts w:ascii="Adobe Caslon Pro" w:eastAsia="Times New Roman" w:hAnsi="Adobe Caslon Pro" w:cs="Arial"/>
                <w:color w:val="000000"/>
                <w:lang w:eastAsia="es-MX"/>
              </w:rPr>
              <w:t>2</w:t>
            </w:r>
            <w:r w:rsidR="007C3D74" w:rsidRPr="000907D3">
              <w:rPr>
                <w:rFonts w:ascii="Adobe Caslon Pro" w:eastAsia="Times New Roman" w:hAnsi="Adobe Caslon Pro" w:cs="Arial"/>
                <w:color w:val="000000"/>
                <w:lang w:eastAsia="es-MX"/>
              </w:rPr>
              <w:t>018</w:t>
            </w:r>
          </w:p>
        </w:tc>
        <w:tc>
          <w:tcPr>
            <w:tcW w:w="1159" w:type="dxa"/>
            <w:shd w:val="clear" w:color="auto" w:fill="auto"/>
            <w:noWrap/>
            <w:vAlign w:val="bottom"/>
            <w:hideMark/>
          </w:tcPr>
          <w:p w:rsidR="007C3D74" w:rsidRPr="000907D3" w:rsidRDefault="007C3D74" w:rsidP="00271526">
            <w:pPr>
              <w:spacing w:after="0" w:line="240" w:lineRule="auto"/>
              <w:contextualSpacing/>
              <w:jc w:val="center"/>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6,313</w:t>
            </w:r>
          </w:p>
        </w:tc>
        <w:tc>
          <w:tcPr>
            <w:tcW w:w="1158" w:type="dxa"/>
            <w:shd w:val="clear" w:color="auto" w:fill="auto"/>
            <w:noWrap/>
            <w:vAlign w:val="bottom"/>
            <w:hideMark/>
          </w:tcPr>
          <w:p w:rsidR="007C3D74" w:rsidRPr="000907D3" w:rsidRDefault="007C3D74" w:rsidP="00271526">
            <w:pPr>
              <w:spacing w:after="0" w:line="240" w:lineRule="auto"/>
              <w:contextualSpacing/>
              <w:jc w:val="center"/>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81</w:t>
            </w:r>
          </w:p>
        </w:tc>
        <w:tc>
          <w:tcPr>
            <w:tcW w:w="1160" w:type="dxa"/>
            <w:shd w:val="clear" w:color="auto" w:fill="auto"/>
            <w:noWrap/>
            <w:vAlign w:val="bottom"/>
            <w:hideMark/>
          </w:tcPr>
          <w:p w:rsidR="007C3D74" w:rsidRPr="000907D3" w:rsidRDefault="007C3D74" w:rsidP="00271526">
            <w:pPr>
              <w:spacing w:after="0" w:line="240" w:lineRule="auto"/>
              <w:contextualSpacing/>
              <w:jc w:val="center"/>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6,395</w:t>
            </w:r>
          </w:p>
        </w:tc>
      </w:tr>
    </w:tbl>
    <w:p w:rsidR="008F5529" w:rsidRDefault="008F5529" w:rsidP="0043286B">
      <w:pPr>
        <w:spacing w:after="120" w:line="240" w:lineRule="auto"/>
        <w:jc w:val="both"/>
        <w:rPr>
          <w:rFonts w:ascii="Adobe Caslon Pro" w:hAnsi="Adobe Caslon Pro" w:cs="Arial"/>
          <w:sz w:val="18"/>
        </w:rPr>
      </w:pPr>
      <w:r w:rsidRPr="000907D3">
        <w:rPr>
          <w:rFonts w:ascii="Adobe Caslon Pro" w:hAnsi="Adobe Caslon Pro" w:cs="Arial"/>
          <w:sz w:val="18"/>
        </w:rPr>
        <w:t>Fuente. Elaboraci</w:t>
      </w:r>
      <w:r>
        <w:rPr>
          <w:rFonts w:ascii="Adobe Caslon Pro" w:hAnsi="Adobe Caslon Pro" w:cs="Arial"/>
          <w:sz w:val="18"/>
        </w:rPr>
        <w:t xml:space="preserve">ón propia con datos del </w:t>
      </w:r>
      <w:r w:rsidR="002F714E">
        <w:rPr>
          <w:rFonts w:ascii="Adobe Caslon Pro" w:hAnsi="Adobe Caslon Pro" w:cs="Arial"/>
          <w:sz w:val="18"/>
        </w:rPr>
        <w:t>INDESOL</w:t>
      </w:r>
      <w:r>
        <w:rPr>
          <w:rFonts w:ascii="Adobe Caslon Pro" w:hAnsi="Adobe Caslon Pro" w:cs="Arial"/>
          <w:sz w:val="18"/>
        </w:rPr>
        <w:t>.</w:t>
      </w:r>
    </w:p>
    <w:p w:rsidR="001111E3" w:rsidRDefault="001111E3" w:rsidP="0043286B">
      <w:pPr>
        <w:spacing w:after="120" w:line="240" w:lineRule="auto"/>
        <w:jc w:val="both"/>
        <w:rPr>
          <w:rFonts w:ascii="Adobe Caslon Pro" w:hAnsi="Adobe Caslon Pro" w:cs="Arial"/>
        </w:rPr>
      </w:pPr>
    </w:p>
    <w:p w:rsidR="00E8188C" w:rsidRPr="000907D3" w:rsidRDefault="00E8188C" w:rsidP="0043286B">
      <w:pPr>
        <w:spacing w:after="120" w:line="240" w:lineRule="auto"/>
        <w:jc w:val="both"/>
        <w:rPr>
          <w:rFonts w:ascii="Adobe Caslon Pro" w:hAnsi="Adobe Caslon Pro" w:cs="Arial"/>
        </w:rPr>
      </w:pPr>
      <w:r w:rsidRPr="000907D3">
        <w:rPr>
          <w:rFonts w:ascii="Adobe Caslon Pro" w:hAnsi="Adobe Caslon Pro" w:cs="Arial"/>
        </w:rPr>
        <w:lastRenderedPageBreak/>
        <w:t xml:space="preserve">Es importante resaltar que el </w:t>
      </w:r>
      <w:r w:rsidR="004112D2">
        <w:rPr>
          <w:rFonts w:ascii="Adobe Caslon Pro" w:hAnsi="Adobe Caslon Pro" w:cs="Arial"/>
        </w:rPr>
        <w:t>RF</w:t>
      </w:r>
      <w:r w:rsidR="00940E10">
        <w:rPr>
          <w:rFonts w:ascii="Adobe Caslon Pro" w:hAnsi="Adobe Caslon Pro" w:cs="Arial"/>
        </w:rPr>
        <w:t>OSC</w:t>
      </w:r>
      <w:r w:rsidRPr="000907D3">
        <w:rPr>
          <w:rFonts w:ascii="Adobe Caslon Pro" w:hAnsi="Adobe Caslon Pro" w:cs="Arial"/>
        </w:rPr>
        <w:t xml:space="preserve"> es dinámico ya que cada año se integra un número desigual de organizaciones que además se agrupan en di</w:t>
      </w:r>
      <w:r w:rsidR="003E251B" w:rsidRPr="000907D3">
        <w:rPr>
          <w:rFonts w:ascii="Adobe Caslon Pro" w:hAnsi="Adobe Caslon Pro" w:cs="Arial"/>
        </w:rPr>
        <w:t xml:space="preserve">ferentes vertientes por lo que el cálculo que se hace para la evolución es sólo una aproximación del comportamiento de los actores sociales considerando condiciones estables en su comportamiento. </w:t>
      </w:r>
    </w:p>
    <w:p w:rsidR="00130F95" w:rsidRDefault="00130F95" w:rsidP="0043286B">
      <w:pPr>
        <w:spacing w:after="120"/>
        <w:rPr>
          <w:rFonts w:ascii="Adobe Caslon Pro" w:eastAsia="Times New Roman" w:hAnsi="Adobe Caslon Pro"/>
          <w:b/>
          <w:bCs/>
          <w:color w:val="808080" w:themeColor="background1" w:themeShade="80"/>
        </w:rPr>
      </w:pPr>
      <w:r>
        <w:br w:type="page"/>
      </w:r>
    </w:p>
    <w:p w:rsidR="00626456" w:rsidRDefault="009A7A25" w:rsidP="0043286B">
      <w:pPr>
        <w:pStyle w:val="Ttulo2"/>
        <w:spacing w:before="0" w:after="120"/>
      </w:pPr>
      <w:bookmarkStart w:id="107" w:name="_Toc391925224"/>
      <w:r>
        <w:lastRenderedPageBreak/>
        <w:t xml:space="preserve">2.5 </w:t>
      </w:r>
      <w:r w:rsidR="00626456" w:rsidRPr="000907D3">
        <w:t>Conclusiones</w:t>
      </w:r>
      <w:r w:rsidR="004C0712">
        <w:t xml:space="preserve"> del diagnóstico</w:t>
      </w:r>
      <w:bookmarkEnd w:id="107"/>
    </w:p>
    <w:p w:rsidR="00BE60D4" w:rsidRPr="00DD5719" w:rsidRDefault="00BE60D4" w:rsidP="00DD5719">
      <w:pPr>
        <w:pStyle w:val="Sinespaciado"/>
        <w:jc w:val="both"/>
        <w:rPr>
          <w:rFonts w:ascii="Adobe Caslon Pro" w:eastAsia="Calibri" w:hAnsi="Adobe Caslon Pro" w:cs="Times New Roman"/>
          <w:lang w:eastAsia="en-US"/>
        </w:rPr>
      </w:pPr>
      <w:r w:rsidRPr="00DD5719">
        <w:rPr>
          <w:rFonts w:ascii="Adobe Caslon Pro" w:eastAsia="Calibri" w:hAnsi="Adobe Caslon Pro" w:cs="Times New Roman"/>
          <w:lang w:eastAsia="en-US"/>
        </w:rPr>
        <w:t>Los modelos actuales de desarrollo consideran a la participación social como eje esencial para el logro de objetivos de crecimiento y equidad. En México, la búsqueda de alternativas de desarrollo mediante la participación de la sociedad civil organizada tiene su origen a principios del siglo XX, sin embargo, el impulso de los actores sociales desde una visión de Estado se da a partir de las reformas constitucionales al artículo 26 a principios de los años ochenta. Este hecho, se vio acompañado de la articulación de la sociedad civil para la atención de la emergencia por los sismos de 1985. Asimismo, en los años noventa surgen diversos movimientos de los actores sociales,  y como resultado de años de esfuerzo, el 9 de febrero de 2004, se publicó en el DOF la LFFAROSC. Actualmente, el gobierno de la República coadyuva al fomento y fortalecimiento de los actores sociales por su relevancia en el desarrollo social del país.</w:t>
      </w:r>
    </w:p>
    <w:p w:rsidR="00BE60D4" w:rsidRPr="002A78A2" w:rsidRDefault="00BE60D4" w:rsidP="00BE60D4">
      <w:pPr>
        <w:spacing w:after="120" w:line="240" w:lineRule="auto"/>
        <w:jc w:val="both"/>
        <w:rPr>
          <w:rFonts w:ascii="Adobe Caslon Pro" w:hAnsi="Adobe Caslon Pro"/>
        </w:rPr>
      </w:pPr>
      <w:r w:rsidRPr="002A78A2">
        <w:rPr>
          <w:rFonts w:ascii="Adobe Caslon Pro" w:hAnsi="Adobe Caslon Pro"/>
        </w:rPr>
        <w:t xml:space="preserve">El problema central identificado en el árbol de problemas es que existen </w:t>
      </w:r>
      <w:r w:rsidRPr="002A78A2">
        <w:rPr>
          <w:rFonts w:ascii="Adobe Caslon Pro" w:hAnsi="Adobe Caslon Pro"/>
          <w:i/>
        </w:rPr>
        <w:t>Actores sociales con capacidad limitada</w:t>
      </w:r>
      <w:r>
        <w:rPr>
          <w:rFonts w:ascii="Adobe Caslon Pro" w:hAnsi="Adobe Caslon Pro"/>
          <w:i/>
        </w:rPr>
        <w:t xml:space="preserve"> </w:t>
      </w:r>
      <w:r w:rsidRPr="002A78A2">
        <w:rPr>
          <w:rFonts w:ascii="Adobe Caslon Pro" w:hAnsi="Adobe Caslon Pro"/>
          <w:i/>
        </w:rPr>
        <w:t>para desarrollar acciones de fomento a la cohesión y al capital social de grupos y regiones que viven en situación de vulnerabilidad y exclusión</w:t>
      </w:r>
      <w:r w:rsidRPr="002A78A2">
        <w:rPr>
          <w:rFonts w:ascii="Adobe Caslon Pro" w:hAnsi="Adobe Caslon Pro"/>
        </w:rPr>
        <w:t>. La literatura revisada permite concluir que los nuevos modelos de desarrollo consideran las políticas de fomento de las actividades de los actores sociales como un factor clave para el logro de resultados con un enfoque participativo, de acceso a derechos y de inclusión social, por lo que una intervención pública relacionada es ampliamente justificada.</w:t>
      </w:r>
    </w:p>
    <w:p w:rsidR="00BE60D4" w:rsidRPr="002A78A2" w:rsidRDefault="00BE60D4" w:rsidP="00BE60D4">
      <w:pPr>
        <w:spacing w:after="120" w:line="240" w:lineRule="auto"/>
        <w:jc w:val="both"/>
        <w:rPr>
          <w:rFonts w:ascii="Adobe Caslon Pro" w:hAnsi="Adobe Caslon Pro"/>
        </w:rPr>
      </w:pPr>
      <w:r w:rsidRPr="002A78A2">
        <w:rPr>
          <w:rFonts w:ascii="Adobe Caslon Pro" w:hAnsi="Adobe Caslon Pro"/>
        </w:rPr>
        <w:t>Entre las principales causas de este problema, que se traducen en retos para el desarrollo de los actores sociales, y por tanto en posibles resultados a lograr mediante una estrategia pública de intervención se encuentran:</w:t>
      </w:r>
    </w:p>
    <w:p w:rsidR="00BE60D4" w:rsidRPr="002A78A2" w:rsidRDefault="00BE60D4" w:rsidP="00BE60D4">
      <w:pPr>
        <w:spacing w:after="0" w:line="240" w:lineRule="auto"/>
        <w:jc w:val="both"/>
        <w:rPr>
          <w:rFonts w:ascii="Adobe Caslon Pro" w:hAnsi="Adobe Caslon Pro"/>
        </w:rPr>
      </w:pPr>
      <w:r w:rsidRPr="002A78A2">
        <w:rPr>
          <w:rFonts w:ascii="Adobe Caslon Pro" w:hAnsi="Adobe Caslon Pro"/>
        </w:rPr>
        <w:t xml:space="preserve">1. Un insuficiente nivel de involucramiento de los actores sociales en las acciones orientadas al desarrollo social, debido a la existencia de pocos o ineficaces mecanismos que permitan su articulación adecuada con el gobierno. </w:t>
      </w:r>
    </w:p>
    <w:p w:rsidR="00BE60D4" w:rsidRPr="002A78A2" w:rsidRDefault="00BE60D4" w:rsidP="00BE60D4">
      <w:pPr>
        <w:spacing w:after="0" w:line="240" w:lineRule="auto"/>
        <w:jc w:val="both"/>
        <w:rPr>
          <w:rFonts w:ascii="Adobe Caslon Pro" w:hAnsi="Adobe Caslon Pro" w:cstheme="minorHAnsi"/>
        </w:rPr>
      </w:pPr>
      <w:r w:rsidRPr="002A78A2">
        <w:rPr>
          <w:rFonts w:ascii="Adobe Caslon Pro" w:hAnsi="Adobe Caslon Pro"/>
        </w:rPr>
        <w:t>2. Limitados recursos públicos para la realización de acciones por parte de los actores sociales.</w:t>
      </w:r>
      <w:r w:rsidRPr="002A78A2">
        <w:rPr>
          <w:rFonts w:ascii="Adobe Caslon Pro" w:hAnsi="Adobe Caslon Pro" w:cstheme="minorHAnsi"/>
        </w:rPr>
        <w:t xml:space="preserve"> La escasez de recursos se traduce en diferentes problemáticas que forman un círculo vicioso que limita la profesionalización de las organizaciones y desalienta la participación ciudadana.</w:t>
      </w:r>
    </w:p>
    <w:p w:rsidR="00BE60D4" w:rsidRPr="002A78A2" w:rsidRDefault="00BE60D4" w:rsidP="00BE60D4">
      <w:pPr>
        <w:spacing w:after="0" w:line="240" w:lineRule="auto"/>
        <w:jc w:val="both"/>
        <w:rPr>
          <w:rFonts w:ascii="Adobe Caslon Pro" w:hAnsi="Adobe Caslon Pro"/>
        </w:rPr>
      </w:pPr>
      <w:r w:rsidRPr="002A78A2">
        <w:rPr>
          <w:rFonts w:ascii="Adobe Caslon Pro" w:hAnsi="Adobe Caslon Pro"/>
        </w:rPr>
        <w:t xml:space="preserve">3. Se observa un insuficiente desarrollo institucional de los actores sociales caracterizado por insuficiencia de capacidades técnicas, administrativas y operativas que impiden a los actores sociales tener más y mejores alcances con las actividades que realizan. </w:t>
      </w:r>
    </w:p>
    <w:p w:rsidR="00BE60D4" w:rsidRPr="002A78A2" w:rsidRDefault="00BE60D4" w:rsidP="00BE60D4">
      <w:pPr>
        <w:autoSpaceDE w:val="0"/>
        <w:autoSpaceDN w:val="0"/>
        <w:adjustRightInd w:val="0"/>
        <w:spacing w:after="0" w:line="240" w:lineRule="auto"/>
        <w:jc w:val="both"/>
        <w:rPr>
          <w:rFonts w:ascii="Adobe Caslon Pro" w:hAnsi="Adobe Caslon Pro"/>
        </w:rPr>
      </w:pPr>
      <w:r w:rsidRPr="002A78A2">
        <w:rPr>
          <w:rFonts w:ascii="Adobe Caslon Pro" w:hAnsi="Adobe Caslon Pro"/>
        </w:rPr>
        <w:t>4. La insuficiente</w:t>
      </w:r>
      <w:r>
        <w:rPr>
          <w:rFonts w:ascii="Adobe Caslon Pro" w:hAnsi="Adobe Caslon Pro"/>
        </w:rPr>
        <w:t xml:space="preserve"> </w:t>
      </w:r>
      <w:r w:rsidRPr="002A78A2">
        <w:rPr>
          <w:rFonts w:ascii="Adobe Caslon Pro" w:hAnsi="Adobe Caslon Pro"/>
        </w:rPr>
        <w:t>información sobre el impacto y valor del trabajo de los actores sociales resta visibilidad al trabajo realizado por este sector</w:t>
      </w:r>
      <w:r>
        <w:rPr>
          <w:rFonts w:ascii="Adobe Caslon Pro" w:hAnsi="Adobe Caslon Pro"/>
        </w:rPr>
        <w:t xml:space="preserve">, a pesar de ser muy especializadas. </w:t>
      </w:r>
    </w:p>
    <w:p w:rsidR="00BE60D4" w:rsidRPr="002A78A2" w:rsidRDefault="00BE60D4" w:rsidP="00BE60D4">
      <w:pPr>
        <w:autoSpaceDE w:val="0"/>
        <w:autoSpaceDN w:val="0"/>
        <w:adjustRightInd w:val="0"/>
        <w:spacing w:after="0" w:line="240" w:lineRule="auto"/>
        <w:jc w:val="both"/>
        <w:rPr>
          <w:rFonts w:ascii="Adobe Caslon Pro" w:hAnsi="Adobe Caslon Pro"/>
        </w:rPr>
      </w:pPr>
      <w:r w:rsidRPr="002A78A2">
        <w:rPr>
          <w:rFonts w:ascii="Adobe Caslon Pro" w:hAnsi="Adobe Caslon Pro"/>
        </w:rPr>
        <w:t xml:space="preserve">5. La nula o escasa sinergia entre actores sociales limita el alcance y articulación de sus esfuerzos, así como la generación y socialización de aprendizajes en pro del desarrollo social. </w:t>
      </w:r>
    </w:p>
    <w:p w:rsidR="00BE60D4" w:rsidRDefault="00BE60D4" w:rsidP="00BE60D4">
      <w:pPr>
        <w:autoSpaceDE w:val="0"/>
        <w:autoSpaceDN w:val="0"/>
        <w:adjustRightInd w:val="0"/>
        <w:spacing w:after="120" w:line="240" w:lineRule="auto"/>
        <w:jc w:val="both"/>
        <w:rPr>
          <w:rFonts w:ascii="Adobe Caslon Pro" w:hAnsi="Adobe Caslon Pro"/>
        </w:rPr>
      </w:pPr>
      <w:r>
        <w:rPr>
          <w:rFonts w:ascii="Adobe Caslon Pro" w:hAnsi="Adobe Caslon Pro"/>
        </w:rPr>
        <w:lastRenderedPageBreak/>
        <w:t xml:space="preserve">En los últimos años (2009-2013), un gran número de actores sociales en la población potencial, se centraron en la vertiente del PCS sobre “Desarrollo Humano y Social”, destacando que estos cuentan, en promedio con más de 5 años de experiencia en sus actividades. Asimismo, se evidenció que los domicilios no necesariamente coinciden con el lugar de incidencia de sus actividades. Por su parte, los actores sociales dentro de la población objetivo reportan al momento de presentar sus proyectos, que podrán incidir en una mayor proposición sobre la población joven. Adicionalmente,  que se ha buscado incidir relativamente más sobre las mujeres.  </w:t>
      </w:r>
    </w:p>
    <w:p w:rsidR="00BE60D4" w:rsidRPr="002A78A2" w:rsidRDefault="00BE60D4" w:rsidP="00BE60D4">
      <w:pPr>
        <w:autoSpaceDE w:val="0"/>
        <w:autoSpaceDN w:val="0"/>
        <w:adjustRightInd w:val="0"/>
        <w:spacing w:after="120" w:line="240" w:lineRule="auto"/>
        <w:jc w:val="both"/>
        <w:rPr>
          <w:rFonts w:ascii="Adobe Caslon Pro" w:hAnsi="Adobe Caslon Pro"/>
        </w:rPr>
      </w:pPr>
      <w:r w:rsidRPr="002A78A2">
        <w:rPr>
          <w:rFonts w:ascii="Adobe Caslon Pro" w:hAnsi="Adobe Caslon Pro"/>
        </w:rPr>
        <w:t>En última instancia, los problemas antes descritos, tienen como efecto una limitada participación social en el desarrollo comunitario. Esto se debe por un lado a que las políticas sociales no logran cabalmente sus objetivos de desarrollo comunitario a través de esquemas de inclusión y cohesión social, es decir, sigue habiendo un importante sector de la población desatendido por no aprovechar la potencial contribución de los actores sociales a este respecto. Por otro lado, al tener limitaciones para su desarrollo, se reducen las actividades de los actores sociales y por tanto se desvinculan de la sociedad. Es decir, si existe debilidad de los actores sociales, estos pueden tener una corta vida o alcances limitados, lo que causa una pérdida de conocimiento y la desaparición de la vinculación gestada</w:t>
      </w:r>
      <w:r>
        <w:rPr>
          <w:rFonts w:ascii="Adobe Caslon Pro" w:hAnsi="Adobe Caslon Pro"/>
        </w:rPr>
        <w:t xml:space="preserve"> con la población beneficiaria.</w:t>
      </w:r>
    </w:p>
    <w:p w:rsidR="00BE60D4" w:rsidRDefault="00BE60D4" w:rsidP="00BE60D4">
      <w:pPr>
        <w:spacing w:after="120"/>
      </w:pPr>
    </w:p>
    <w:p w:rsidR="00BE60D4" w:rsidRPr="00BE60D4" w:rsidRDefault="00BE60D4" w:rsidP="00BE60D4">
      <w:pPr>
        <w:spacing w:after="120"/>
      </w:pPr>
    </w:p>
    <w:p w:rsidR="00F36F0B" w:rsidRDefault="00BE60D4" w:rsidP="0043286B">
      <w:pPr>
        <w:spacing w:after="120"/>
        <w:rPr>
          <w:noProof/>
          <w:lang w:eastAsia="es-MX"/>
        </w:rPr>
      </w:pPr>
      <w:bookmarkStart w:id="108" w:name="_Toc374380989"/>
      <w:bookmarkStart w:id="109" w:name="_Toc376184722"/>
      <w:bookmarkStart w:id="110" w:name="_Toc380497385"/>
      <w:r>
        <w:rPr>
          <w:rFonts w:ascii="Adobe Caslon Pro" w:hAnsi="Adobe Caslon Pro"/>
          <w:noProof/>
          <w:lang w:eastAsia="es-MX"/>
        </w:rPr>
        <w:lastRenderedPageBreak/>
        <mc:AlternateContent>
          <mc:Choice Requires="wps">
            <w:drawing>
              <wp:anchor distT="0" distB="0" distL="114300" distR="114300" simplePos="0" relativeHeight="251706368" behindDoc="0" locked="0" layoutInCell="1" allowOverlap="1" wp14:anchorId="21937083" wp14:editId="3050072A">
                <wp:simplePos x="0" y="0"/>
                <wp:positionH relativeFrom="column">
                  <wp:posOffset>1343660</wp:posOffset>
                </wp:positionH>
                <wp:positionV relativeFrom="paragraph">
                  <wp:posOffset>8382635</wp:posOffset>
                </wp:positionV>
                <wp:extent cx="5612130" cy="862330"/>
                <wp:effectExtent l="0" t="0" r="0" b="0"/>
                <wp:wrapSquare wrapText="bothSides"/>
                <wp:docPr id="3"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2130" cy="862330"/>
                        </a:xfrm>
                        <a:prstGeom prst="rect">
                          <a:avLst/>
                        </a:prstGeom>
                        <a:noFill/>
                        <a:ln w="6350">
                          <a:noFill/>
                        </a:ln>
                        <a:effectLst/>
                      </wps:spPr>
                      <wps:txbx>
                        <w:txbxContent>
                          <w:p w:rsidR="001E4613" w:rsidRPr="00C220E0" w:rsidRDefault="001E4613" w:rsidP="00F36F0B">
                            <w:pPr>
                              <w:pStyle w:val="Ttulo1"/>
                              <w:jc w:val="right"/>
                            </w:pPr>
                            <w:bookmarkStart w:id="111" w:name="_Toc391925225"/>
                            <w:r>
                              <w:t>3. Propuesta de Atención</w:t>
                            </w:r>
                            <w:bookmarkEnd w:id="1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105.8pt;margin-top:660.05pt;width:441.9pt;height:67.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" filled="f" stroked="f" strokeweight=".5pt">
                <v:path arrowok="t"/>
                <v:textbox>
                  <w:txbxContent>
                    <w:p w:rsidR="001E4613" w:rsidRPr="00C220E0" w:rsidRDefault="001E4613" w:rsidP="00F36F0B">
                      <w:pPr>
                        <w:pStyle w:val="Ttulo1"/>
                        <w:jc w:val="right"/>
                      </w:pPr>
                      <w:bookmarkStart w:id="112" w:name="_Toc391925225"/>
                      <w:r>
                        <w:t>3. Propuesta de Atención</w:t>
                      </w:r>
                      <w:bookmarkEnd w:id="112"/>
                    </w:p>
                  </w:txbxContent>
                </v:textbox>
                <w10:wrap type="square"/>
              </v:shape>
            </w:pict>
          </mc:Fallback>
        </mc:AlternateContent>
      </w:r>
      <w:r>
        <w:rPr>
          <w:noProof/>
          <w:lang w:eastAsia="es-MX"/>
        </w:rPr>
        <w:drawing>
          <wp:anchor distT="0" distB="0" distL="114300" distR="114300" simplePos="0" relativeHeight="251704320" behindDoc="0" locked="0" layoutInCell="1" allowOverlap="1" wp14:anchorId="092FAB3B" wp14:editId="04C8A92A">
            <wp:simplePos x="0" y="0"/>
            <wp:positionH relativeFrom="column">
              <wp:posOffset>-836295</wp:posOffset>
            </wp:positionH>
            <wp:positionV relativeFrom="paragraph">
              <wp:posOffset>-859155</wp:posOffset>
            </wp:positionV>
            <wp:extent cx="7787640" cy="10094595"/>
            <wp:effectExtent l="0" t="0" r="3810" b="1905"/>
            <wp:wrapSquare wrapText="bothSides"/>
            <wp:docPr id="9" name="Imagen 9" descr="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RTAD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87640" cy="10094595"/>
                    </a:xfrm>
                    <a:prstGeom prst="rect">
                      <a:avLst/>
                    </a:prstGeom>
                    <a:noFill/>
                    <a:ln>
                      <a:noFill/>
                    </a:ln>
                  </pic:spPr>
                </pic:pic>
              </a:graphicData>
            </a:graphic>
            <wp14:sizeRelV relativeFrom="margin">
              <wp14:pctHeight>0</wp14:pctHeight>
            </wp14:sizeRelV>
          </wp:anchor>
        </w:drawing>
      </w:r>
      <w:r w:rsidR="00F36F0B">
        <w:rPr>
          <w:noProof/>
          <w:lang w:eastAsia="es-MX"/>
        </w:rPr>
        <w:br w:type="page"/>
      </w:r>
    </w:p>
    <w:p w:rsidR="00384108" w:rsidRDefault="00CF536D" w:rsidP="00026506">
      <w:pPr>
        <w:spacing w:before="240"/>
        <w:jc w:val="both"/>
        <w:rPr>
          <w:rFonts w:ascii="Adobe Caslon Pro" w:hAnsi="Adobe Caslon Pro"/>
          <w:b/>
        </w:rPr>
      </w:pPr>
      <w:r w:rsidRPr="00A037D2">
        <w:rPr>
          <w:rFonts w:ascii="Adobe Caslon Pro" w:hAnsi="Adobe Caslon Pro"/>
          <w:b/>
        </w:rPr>
        <w:lastRenderedPageBreak/>
        <w:t xml:space="preserve">Análisis Teórico </w:t>
      </w:r>
    </w:p>
    <w:p w:rsidR="00CF536D" w:rsidRPr="003F4D74" w:rsidRDefault="00CF536D" w:rsidP="00026506">
      <w:pPr>
        <w:spacing w:before="240"/>
        <w:jc w:val="both"/>
        <w:rPr>
          <w:rFonts w:ascii="Adobe Caslon Pro" w:hAnsi="Adobe Caslon Pro"/>
          <w:b/>
        </w:rPr>
      </w:pPr>
      <w:r w:rsidRPr="000907D3">
        <w:rPr>
          <w:rFonts w:ascii="Adobe Caslon Pro" w:hAnsi="Adobe Caslon Pro" w:cs="Arial"/>
        </w:rPr>
        <w:t>En general, los estudios teóricos disponibles sobre la participación de</w:t>
      </w:r>
      <w:r w:rsidR="00026506">
        <w:rPr>
          <w:rFonts w:ascii="Adobe Caslon Pro" w:hAnsi="Adobe Caslon Pro" w:cs="Arial"/>
        </w:rPr>
        <w:t xml:space="preserve"> OSC en la esfera de lo público </w:t>
      </w:r>
      <w:r w:rsidRPr="000907D3">
        <w:rPr>
          <w:rFonts w:ascii="Adobe Caslon Pro" w:hAnsi="Adobe Caslon Pro" w:cs="Arial"/>
        </w:rPr>
        <w:t>sostienen que fomentar el fortalecimiento de los actores sociales, se puede traducir en los siguientes efectos positivos para el desarrollo social:</w:t>
      </w:r>
    </w:p>
    <w:p w:rsidR="00CF536D" w:rsidRPr="000907D3" w:rsidRDefault="00CF536D" w:rsidP="00026506">
      <w:pPr>
        <w:pStyle w:val="Prrafodelista"/>
        <w:numPr>
          <w:ilvl w:val="1"/>
          <w:numId w:val="26"/>
        </w:numPr>
        <w:spacing w:before="240"/>
        <w:jc w:val="both"/>
        <w:rPr>
          <w:rFonts w:ascii="Adobe Caslon Pro" w:hAnsi="Adobe Caslon Pro" w:cs="Arial"/>
        </w:rPr>
      </w:pPr>
      <w:r w:rsidRPr="000907D3">
        <w:rPr>
          <w:rFonts w:ascii="Adobe Caslon Pro" w:hAnsi="Adobe Caslon Pro" w:cs="Arial"/>
        </w:rPr>
        <w:t>Fomenta la transparencia y rendición de cuentas.</w:t>
      </w:r>
    </w:p>
    <w:p w:rsidR="00CF536D" w:rsidRPr="000907D3" w:rsidRDefault="00CF536D" w:rsidP="00026506">
      <w:pPr>
        <w:pStyle w:val="Prrafodelista"/>
        <w:numPr>
          <w:ilvl w:val="1"/>
          <w:numId w:val="26"/>
        </w:numPr>
        <w:spacing w:before="240"/>
        <w:jc w:val="both"/>
        <w:rPr>
          <w:rFonts w:ascii="Adobe Caslon Pro" w:hAnsi="Adobe Caslon Pro" w:cs="Arial"/>
        </w:rPr>
      </w:pPr>
      <w:r w:rsidRPr="000907D3">
        <w:rPr>
          <w:rFonts w:ascii="Adobe Caslon Pro" w:hAnsi="Adobe Caslon Pro" w:cs="Arial"/>
        </w:rPr>
        <w:t>Promueve y defiende los derechos humanos y el estado de derecho.</w:t>
      </w:r>
    </w:p>
    <w:p w:rsidR="00CF536D" w:rsidRPr="000907D3" w:rsidRDefault="00026506" w:rsidP="00026506">
      <w:pPr>
        <w:pStyle w:val="Prrafodelista"/>
        <w:numPr>
          <w:ilvl w:val="1"/>
          <w:numId w:val="26"/>
        </w:numPr>
        <w:spacing w:before="240"/>
        <w:jc w:val="both"/>
        <w:rPr>
          <w:rFonts w:ascii="Adobe Caslon Pro" w:hAnsi="Adobe Caslon Pro" w:cs="Arial"/>
        </w:rPr>
      </w:pPr>
      <w:r>
        <w:rPr>
          <w:rFonts w:ascii="Adobe Caslon Pro" w:hAnsi="Adobe Caslon Pro" w:cs="Arial"/>
        </w:rPr>
        <w:t>Contribuye</w:t>
      </w:r>
      <w:r w:rsidR="00CF536D" w:rsidRPr="000907D3">
        <w:rPr>
          <w:rFonts w:ascii="Adobe Caslon Pro" w:hAnsi="Adobe Caslon Pro" w:cs="Arial"/>
        </w:rPr>
        <w:t xml:space="preserve"> a la formulación, al financiamiento y a la prestación de servicios públicos.</w:t>
      </w:r>
    </w:p>
    <w:p w:rsidR="00CF536D" w:rsidRPr="000907D3" w:rsidRDefault="00026506" w:rsidP="00026506">
      <w:pPr>
        <w:pStyle w:val="Prrafodelista"/>
        <w:numPr>
          <w:ilvl w:val="1"/>
          <w:numId w:val="26"/>
        </w:numPr>
        <w:spacing w:before="240"/>
        <w:jc w:val="both"/>
        <w:rPr>
          <w:rFonts w:ascii="Adobe Caslon Pro" w:hAnsi="Adobe Caslon Pro" w:cs="Arial"/>
          <w:bCs/>
          <w:i/>
        </w:rPr>
      </w:pPr>
      <w:r>
        <w:rPr>
          <w:rFonts w:ascii="Adobe Caslon Pro" w:hAnsi="Adobe Caslon Pro" w:cs="Arial"/>
        </w:rPr>
        <w:t>Promueve</w:t>
      </w:r>
      <w:r w:rsidR="00CF536D" w:rsidRPr="000907D3">
        <w:rPr>
          <w:rFonts w:ascii="Adobe Caslon Pro" w:hAnsi="Adobe Caslon Pro" w:cs="Arial"/>
        </w:rPr>
        <w:t xml:space="preserve"> la participación de los sectores más pobres y excluidos en las políticas públicas y la toma de decisiones.</w:t>
      </w:r>
    </w:p>
    <w:p w:rsidR="00CF536D" w:rsidRPr="000907D3" w:rsidRDefault="00026506" w:rsidP="00026506">
      <w:pPr>
        <w:pStyle w:val="Prrafodelista"/>
        <w:numPr>
          <w:ilvl w:val="1"/>
          <w:numId w:val="26"/>
        </w:numPr>
        <w:spacing w:before="240"/>
        <w:jc w:val="both"/>
        <w:rPr>
          <w:rFonts w:ascii="Adobe Caslon Pro" w:hAnsi="Adobe Caslon Pro" w:cs="Arial"/>
          <w:bCs/>
          <w:i/>
        </w:rPr>
      </w:pPr>
      <w:r>
        <w:rPr>
          <w:rFonts w:ascii="Adobe Caslon Pro" w:hAnsi="Adobe Caslon Pro" w:cs="Arial"/>
        </w:rPr>
        <w:t>Incorpora</w:t>
      </w:r>
      <w:r w:rsidR="00CF536D" w:rsidRPr="000907D3">
        <w:rPr>
          <w:rFonts w:ascii="Adobe Caslon Pro" w:hAnsi="Adobe Caslon Pro" w:cs="Arial"/>
        </w:rPr>
        <w:t xml:space="preserve"> a más actores sociales a la esfera pública.</w:t>
      </w:r>
    </w:p>
    <w:p w:rsidR="00CF536D" w:rsidRPr="000907D3" w:rsidRDefault="00CF536D" w:rsidP="00026506">
      <w:pPr>
        <w:spacing w:before="240"/>
        <w:jc w:val="both"/>
        <w:rPr>
          <w:rFonts w:ascii="Adobe Caslon Pro" w:hAnsi="Adobe Caslon Pro" w:cs="Arial"/>
        </w:rPr>
      </w:pPr>
      <w:r w:rsidRPr="000907D3">
        <w:rPr>
          <w:rFonts w:ascii="Adobe Caslon Pro" w:hAnsi="Adobe Caslon Pro" w:cs="Arial"/>
        </w:rPr>
        <w:t xml:space="preserve">En el mismo sentido, las OSC utilizan, en general, dos tipos de mecanismos para incidir en el </w:t>
      </w:r>
      <w:r w:rsidR="00BE60D4">
        <w:rPr>
          <w:rFonts w:ascii="Adobe Caslon Pro" w:hAnsi="Adobe Caslon Pro" w:cs="Arial"/>
        </w:rPr>
        <w:t>gobierno</w:t>
      </w:r>
      <w:r w:rsidRPr="000907D3">
        <w:rPr>
          <w:rFonts w:ascii="Adobe Caslon Pro" w:hAnsi="Adobe Caslon Pro" w:cs="Arial"/>
        </w:rPr>
        <w:t xml:space="preserve"> y ubicar sus acc</w:t>
      </w:r>
      <w:r w:rsidR="00026506">
        <w:rPr>
          <w:rFonts w:ascii="Adobe Caslon Pro" w:hAnsi="Adobe Caslon Pro" w:cs="Arial"/>
        </w:rPr>
        <w:t>iones en el escenario político:</w:t>
      </w:r>
    </w:p>
    <w:p w:rsidR="00CF536D" w:rsidRPr="009D65BC" w:rsidRDefault="00CF536D" w:rsidP="009D65BC">
      <w:pPr>
        <w:pStyle w:val="Prrafodelista"/>
        <w:numPr>
          <w:ilvl w:val="0"/>
          <w:numId w:val="23"/>
        </w:numPr>
        <w:autoSpaceDE w:val="0"/>
        <w:autoSpaceDN w:val="0"/>
        <w:adjustRightInd w:val="0"/>
        <w:spacing w:before="240"/>
        <w:jc w:val="both"/>
        <w:rPr>
          <w:rFonts w:ascii="Adobe Caslon Pro" w:hAnsi="Adobe Caslon Pro" w:cs="Arial"/>
        </w:rPr>
      </w:pPr>
      <w:r w:rsidRPr="000907D3">
        <w:rPr>
          <w:rFonts w:ascii="Adobe Caslon Pro" w:hAnsi="Adobe Caslon Pro" w:cs="Arial"/>
        </w:rPr>
        <w:t xml:space="preserve">La participación directa en instancias convocadas por el propio </w:t>
      </w:r>
      <w:r w:rsidR="00BE60D4">
        <w:rPr>
          <w:rFonts w:ascii="Adobe Caslon Pro" w:hAnsi="Adobe Caslon Pro" w:cs="Arial"/>
        </w:rPr>
        <w:t>gobierno</w:t>
      </w:r>
      <w:r w:rsidRPr="000907D3">
        <w:rPr>
          <w:rFonts w:ascii="Adobe Caslon Pro" w:hAnsi="Adobe Caslon Pro" w:cs="Arial"/>
        </w:rPr>
        <w:t xml:space="preserve">, donde se diseña, ejecuta, evalúa y proponen políticas públicas. En particular, la co-ejecución con el </w:t>
      </w:r>
      <w:r w:rsidR="00BE60D4">
        <w:rPr>
          <w:rFonts w:ascii="Adobe Caslon Pro" w:hAnsi="Adobe Caslon Pro" w:cs="Arial"/>
        </w:rPr>
        <w:t>gobierno</w:t>
      </w:r>
      <w:r w:rsidRPr="000907D3">
        <w:rPr>
          <w:rFonts w:ascii="Adobe Caslon Pro" w:hAnsi="Adobe Caslon Pro" w:cs="Arial"/>
        </w:rPr>
        <w:t xml:space="preserve"> de programas y proyectos.</w:t>
      </w:r>
    </w:p>
    <w:p w:rsidR="00CF536D" w:rsidRPr="000907D3" w:rsidRDefault="00CF536D" w:rsidP="00026506">
      <w:pPr>
        <w:pStyle w:val="Prrafodelista"/>
        <w:numPr>
          <w:ilvl w:val="0"/>
          <w:numId w:val="23"/>
        </w:numPr>
        <w:autoSpaceDE w:val="0"/>
        <w:autoSpaceDN w:val="0"/>
        <w:adjustRightInd w:val="0"/>
        <w:spacing w:before="240"/>
        <w:jc w:val="both"/>
        <w:rPr>
          <w:rFonts w:ascii="Adobe Caslon Pro" w:hAnsi="Adobe Caslon Pro" w:cs="Arial"/>
        </w:rPr>
      </w:pPr>
      <w:r w:rsidRPr="000907D3">
        <w:rPr>
          <w:rFonts w:ascii="Adobe Caslon Pro" w:hAnsi="Adobe Caslon Pro" w:cs="Arial"/>
        </w:rPr>
        <w:t>La generación o articulación de redes con otras organizaciones sociales u OSC, para la difusión pública del problema de la pobreza y su inclusión en la agenda pública.</w:t>
      </w:r>
    </w:p>
    <w:p w:rsidR="00FD551D" w:rsidRDefault="00CF536D" w:rsidP="00026506">
      <w:pPr>
        <w:pStyle w:val="Normal3"/>
        <w:spacing w:before="240"/>
        <w:rPr>
          <w:rFonts w:ascii="Adobe Caslon Pro" w:hAnsi="Adobe Caslon Pro"/>
          <w:sz w:val="22"/>
          <w:szCs w:val="22"/>
        </w:rPr>
      </w:pPr>
      <w:r w:rsidRPr="000907D3">
        <w:rPr>
          <w:rFonts w:ascii="Adobe Caslon Pro" w:hAnsi="Adobe Caslon Pro"/>
          <w:sz w:val="22"/>
          <w:szCs w:val="22"/>
        </w:rPr>
        <w:t xml:space="preserve">Las OSC tienen en general tres formas de participación conjunta con el </w:t>
      </w:r>
      <w:r w:rsidR="00BE60D4">
        <w:rPr>
          <w:rFonts w:ascii="Adobe Caslon Pro" w:hAnsi="Adobe Caslon Pro"/>
          <w:sz w:val="22"/>
          <w:szCs w:val="22"/>
        </w:rPr>
        <w:t>gobierno</w:t>
      </w:r>
      <w:r w:rsidRPr="000907D3">
        <w:rPr>
          <w:rFonts w:ascii="Adobe Caslon Pro" w:hAnsi="Adobe Caslon Pro"/>
          <w:sz w:val="22"/>
          <w:szCs w:val="22"/>
        </w:rPr>
        <w:t xml:space="preserve">. Una primera alternativa es trabajar en forma mancomunada y coordinada con el </w:t>
      </w:r>
      <w:r w:rsidR="00BE60D4">
        <w:rPr>
          <w:rFonts w:ascii="Adobe Caslon Pro" w:hAnsi="Adobe Caslon Pro"/>
          <w:sz w:val="22"/>
          <w:szCs w:val="22"/>
        </w:rPr>
        <w:t>gobierno</w:t>
      </w:r>
      <w:r w:rsidRPr="000907D3">
        <w:rPr>
          <w:rFonts w:ascii="Adobe Caslon Pro" w:hAnsi="Adobe Caslon Pro"/>
          <w:sz w:val="22"/>
          <w:szCs w:val="22"/>
        </w:rPr>
        <w:t xml:space="preserve">. Bajo este esquema, las OSC participan en licitaciones del Estado para ejecutar determinados programas o proyectos. Un riesgo desde la perspectiva de las OSC, es que se puede construir una relación de subordinación a programas pre-establecidos, y debilitar la autonomía de las OSC, lo que justamente es una de las principales fortalezas para construir </w:t>
      </w:r>
      <w:r w:rsidR="00D93737" w:rsidRPr="000907D3">
        <w:rPr>
          <w:rFonts w:ascii="Adobe Caslon Pro" w:hAnsi="Adobe Caslon Pro"/>
          <w:sz w:val="22"/>
          <w:szCs w:val="22"/>
        </w:rPr>
        <w:t xml:space="preserve">una </w:t>
      </w:r>
      <w:r w:rsidRPr="000907D3">
        <w:rPr>
          <w:rFonts w:ascii="Adobe Caslon Pro" w:hAnsi="Adobe Caslon Pro"/>
          <w:sz w:val="22"/>
          <w:szCs w:val="22"/>
        </w:rPr>
        <w:t xml:space="preserve">nación y Estado. </w:t>
      </w:r>
    </w:p>
    <w:p w:rsidR="00835F82" w:rsidRDefault="00CF536D" w:rsidP="00026506">
      <w:pPr>
        <w:pStyle w:val="Normal3"/>
        <w:spacing w:before="240"/>
        <w:rPr>
          <w:rFonts w:ascii="Adobe Caslon Pro" w:hAnsi="Adobe Caslon Pro"/>
          <w:sz w:val="22"/>
          <w:szCs w:val="22"/>
        </w:rPr>
      </w:pPr>
      <w:r w:rsidRPr="000907D3">
        <w:rPr>
          <w:rFonts w:ascii="Adobe Caslon Pro" w:hAnsi="Adobe Caslon Pro"/>
          <w:sz w:val="22"/>
          <w:szCs w:val="22"/>
        </w:rPr>
        <w:t xml:space="preserve">La segunda alternativa consiste en operar programas en ámbitos donde el Estado no interviene directamente o no ha comenzado a intervenir. Desde esta perspectiva, se define desde un inicio que la OSC no considera aceptable los términos de colaboración con el </w:t>
      </w:r>
      <w:r w:rsidR="00BE60D4">
        <w:rPr>
          <w:rFonts w:ascii="Adobe Caslon Pro" w:hAnsi="Adobe Caslon Pro"/>
          <w:sz w:val="22"/>
          <w:szCs w:val="22"/>
        </w:rPr>
        <w:t>gobierno</w:t>
      </w:r>
      <w:r w:rsidRPr="000907D3">
        <w:rPr>
          <w:rFonts w:ascii="Adobe Caslon Pro" w:hAnsi="Adobe Caslon Pro"/>
          <w:sz w:val="22"/>
          <w:szCs w:val="22"/>
        </w:rPr>
        <w:t xml:space="preserve"> y que su vocación es justamente brindar servicios </w:t>
      </w:r>
      <w:r w:rsidRPr="000907D3">
        <w:rPr>
          <w:rFonts w:ascii="Adobe Caslon Pro" w:hAnsi="Adobe Caslon Pro"/>
          <w:sz w:val="22"/>
          <w:szCs w:val="22"/>
        </w:rPr>
        <w:lastRenderedPageBreak/>
        <w:t xml:space="preserve">públicos y protección de derechos civiles, económicos y sociales, justamente donde la ausencia del </w:t>
      </w:r>
      <w:r w:rsidR="00BE60D4">
        <w:rPr>
          <w:rFonts w:ascii="Adobe Caslon Pro" w:hAnsi="Adobe Caslon Pro"/>
          <w:sz w:val="22"/>
          <w:szCs w:val="22"/>
        </w:rPr>
        <w:t>gobierno</w:t>
      </w:r>
      <w:r w:rsidRPr="000907D3">
        <w:rPr>
          <w:rFonts w:ascii="Adobe Caslon Pro" w:hAnsi="Adobe Caslon Pro"/>
          <w:sz w:val="22"/>
          <w:szCs w:val="22"/>
        </w:rPr>
        <w:t xml:space="preserve"> hace más vulnerables a las personas y regiones que enfrentan algún grado de exclusión.</w:t>
      </w:r>
    </w:p>
    <w:p w:rsidR="00CD72F2" w:rsidRDefault="00CF536D" w:rsidP="00136C04">
      <w:pPr>
        <w:pStyle w:val="Normal3"/>
        <w:spacing w:after="120"/>
        <w:rPr>
          <w:rFonts w:ascii="Adobe Caslon Pro" w:hAnsi="Adobe Caslon Pro"/>
          <w:sz w:val="22"/>
          <w:szCs w:val="22"/>
        </w:rPr>
      </w:pPr>
      <w:r w:rsidRPr="000907D3">
        <w:rPr>
          <w:rFonts w:ascii="Adobe Caslon Pro" w:hAnsi="Adobe Caslon Pro"/>
          <w:sz w:val="22"/>
          <w:szCs w:val="22"/>
        </w:rPr>
        <w:t xml:space="preserve">Por último, una tercera alternativa se sitúa en un punto intermedio de los dos anteriores. Este tipo de OSC, no reconoce interés en trabajar conjuntamente con el </w:t>
      </w:r>
      <w:r w:rsidR="00BE60D4">
        <w:rPr>
          <w:rFonts w:ascii="Adobe Caslon Pro" w:hAnsi="Adobe Caslon Pro"/>
          <w:sz w:val="22"/>
          <w:szCs w:val="22"/>
        </w:rPr>
        <w:t>gobierno</w:t>
      </w:r>
      <w:r w:rsidRPr="000907D3">
        <w:rPr>
          <w:rFonts w:ascii="Adobe Caslon Pro" w:hAnsi="Adobe Caslon Pro"/>
          <w:sz w:val="22"/>
          <w:szCs w:val="22"/>
        </w:rPr>
        <w:t>, ni tampoco se interesa en diferenciarse de éste. Más bien, se centra en analizar el marco jurídico o institucional y detectar</w:t>
      </w:r>
      <w:r w:rsidR="000E588B">
        <w:rPr>
          <w:rFonts w:ascii="Adobe Caslon Pro" w:hAnsi="Adobe Caslon Pro"/>
          <w:sz w:val="22"/>
          <w:szCs w:val="22"/>
        </w:rPr>
        <w:t xml:space="preserve"> </w:t>
      </w:r>
      <w:r w:rsidRPr="000907D3">
        <w:rPr>
          <w:rFonts w:ascii="Adobe Caslon Pro" w:hAnsi="Adobe Caslon Pro"/>
          <w:sz w:val="22"/>
          <w:szCs w:val="22"/>
        </w:rPr>
        <w:t xml:space="preserve">necesidades de la población. En esta vía, las OSC buscan incidir con su experiencia y propuestas innovadoras, en las políticas públicas y el marco regulatorio. En estos casos, las OSC aportan información, proponen y cabildean con los tomadores de decisiones de las políticas y legislaciones correspondientes. Las estrategias de incidencia pueden ir desde la presión y las manifestaciones en la calle hasta el contacto directo, las reuniones y el cabildeo con funcionarios, pasando por el uso de medios de comunicación, las campañas de adhesión y acciones simbólicas. </w:t>
      </w:r>
    </w:p>
    <w:p w:rsidR="00CD72F2" w:rsidRPr="00CA4F9B" w:rsidRDefault="00CD72F2" w:rsidP="00136C04">
      <w:pPr>
        <w:pStyle w:val="Normal3"/>
        <w:spacing w:after="120"/>
        <w:rPr>
          <w:rFonts w:ascii="Adobe Caslon Pro" w:hAnsi="Adobe Caslon Pro"/>
          <w:sz w:val="12"/>
          <w:szCs w:val="22"/>
        </w:rPr>
      </w:pPr>
    </w:p>
    <w:p w:rsidR="004B27B6" w:rsidRPr="00136C04" w:rsidRDefault="00A07230" w:rsidP="00136C04">
      <w:pPr>
        <w:pStyle w:val="Normal3"/>
        <w:spacing w:after="120"/>
        <w:rPr>
          <w:rFonts w:ascii="Adobe Caslon Pro" w:hAnsi="Adobe Caslon Pro"/>
          <w:sz w:val="22"/>
          <w:szCs w:val="22"/>
        </w:rPr>
      </w:pPr>
      <w:r w:rsidRPr="001C2987">
        <w:rPr>
          <w:rFonts w:ascii="Adobe Caslon Pro" w:hAnsi="Adobe Caslon Pro"/>
          <w:b/>
        </w:rPr>
        <w:t>Análisis Normativo</w:t>
      </w:r>
      <w:r w:rsidRPr="000907D3">
        <w:rPr>
          <w:rFonts w:ascii="Adobe Caslon Pro" w:hAnsi="Adobe Caslon Pro"/>
          <w:b/>
          <w:i/>
        </w:rPr>
        <w:t xml:space="preserve"> </w:t>
      </w:r>
    </w:p>
    <w:p w:rsidR="00CF536D" w:rsidRPr="000907D3" w:rsidRDefault="00CF536D" w:rsidP="00026506">
      <w:pPr>
        <w:pStyle w:val="Normal3"/>
        <w:spacing w:before="240"/>
        <w:rPr>
          <w:rFonts w:ascii="Adobe Caslon Pro" w:hAnsi="Adobe Caslon Pro"/>
          <w:sz w:val="22"/>
          <w:szCs w:val="22"/>
        </w:rPr>
      </w:pPr>
      <w:r w:rsidRPr="000907D3">
        <w:rPr>
          <w:rFonts w:ascii="Adobe Caslon Pro" w:hAnsi="Adobe Caslon Pro"/>
          <w:sz w:val="22"/>
          <w:szCs w:val="22"/>
        </w:rPr>
        <w:t xml:space="preserve">Las leyes federales relacionadas directamente con el Fomento de las OSC son tres: </w:t>
      </w:r>
    </w:p>
    <w:p w:rsidR="00CF536D" w:rsidRPr="000907D3" w:rsidRDefault="00CF536D" w:rsidP="00026506">
      <w:pPr>
        <w:pStyle w:val="Normal3"/>
        <w:numPr>
          <w:ilvl w:val="0"/>
          <w:numId w:val="20"/>
        </w:numPr>
        <w:spacing w:before="240"/>
        <w:rPr>
          <w:rFonts w:ascii="Adobe Caslon Pro" w:hAnsi="Adobe Caslon Pro"/>
          <w:sz w:val="22"/>
          <w:szCs w:val="22"/>
        </w:rPr>
      </w:pPr>
      <w:r w:rsidRPr="000907D3">
        <w:rPr>
          <w:rFonts w:ascii="Adobe Caslon Pro" w:hAnsi="Adobe Caslon Pro"/>
          <w:sz w:val="22"/>
          <w:szCs w:val="22"/>
        </w:rPr>
        <w:t xml:space="preserve">La LFFAROSC </w:t>
      </w:r>
    </w:p>
    <w:p w:rsidR="00CF536D" w:rsidRPr="000907D3" w:rsidRDefault="00CF536D" w:rsidP="00026506">
      <w:pPr>
        <w:pStyle w:val="Normal3"/>
        <w:numPr>
          <w:ilvl w:val="0"/>
          <w:numId w:val="20"/>
        </w:numPr>
        <w:spacing w:before="240"/>
        <w:rPr>
          <w:rFonts w:ascii="Adobe Caslon Pro" w:hAnsi="Adobe Caslon Pro"/>
          <w:sz w:val="22"/>
          <w:szCs w:val="22"/>
        </w:rPr>
      </w:pPr>
      <w:r w:rsidRPr="000907D3">
        <w:rPr>
          <w:rFonts w:ascii="Adobe Caslon Pro" w:hAnsi="Adobe Caslon Pro"/>
          <w:sz w:val="22"/>
          <w:szCs w:val="22"/>
        </w:rPr>
        <w:t xml:space="preserve">La </w:t>
      </w:r>
      <w:r w:rsidR="00A711AD">
        <w:rPr>
          <w:rFonts w:ascii="Adobe Caslon Pro" w:hAnsi="Adobe Caslon Pro"/>
          <w:sz w:val="22"/>
          <w:szCs w:val="22"/>
        </w:rPr>
        <w:t>LISR</w:t>
      </w:r>
      <w:r w:rsidRPr="000907D3">
        <w:rPr>
          <w:rFonts w:ascii="Adobe Caslon Pro" w:hAnsi="Adobe Caslon Pro"/>
          <w:sz w:val="22"/>
          <w:szCs w:val="22"/>
        </w:rPr>
        <w:t>, y</w:t>
      </w:r>
    </w:p>
    <w:p w:rsidR="00CF536D" w:rsidRPr="000907D3" w:rsidRDefault="00CF536D" w:rsidP="00026506">
      <w:pPr>
        <w:pStyle w:val="Normal3"/>
        <w:numPr>
          <w:ilvl w:val="0"/>
          <w:numId w:val="20"/>
        </w:numPr>
        <w:spacing w:before="240"/>
        <w:rPr>
          <w:rFonts w:ascii="Adobe Caslon Pro" w:hAnsi="Adobe Caslon Pro"/>
          <w:sz w:val="22"/>
          <w:szCs w:val="22"/>
        </w:rPr>
      </w:pPr>
      <w:r w:rsidRPr="000907D3">
        <w:rPr>
          <w:rFonts w:ascii="Adobe Caslon Pro" w:hAnsi="Adobe Caslon Pro"/>
          <w:sz w:val="22"/>
          <w:szCs w:val="22"/>
        </w:rPr>
        <w:t>La Ley de Asistencia Social.</w:t>
      </w:r>
    </w:p>
    <w:p w:rsidR="00CF536D" w:rsidRDefault="00CF536D" w:rsidP="00026506">
      <w:pPr>
        <w:pStyle w:val="Normal3"/>
        <w:spacing w:before="240"/>
        <w:rPr>
          <w:rFonts w:ascii="Adobe Caslon Pro" w:hAnsi="Adobe Caslon Pro"/>
          <w:sz w:val="22"/>
          <w:szCs w:val="22"/>
        </w:rPr>
      </w:pPr>
      <w:r w:rsidRPr="000907D3">
        <w:rPr>
          <w:rFonts w:ascii="Adobe Caslon Pro" w:hAnsi="Adobe Caslon Pro"/>
          <w:sz w:val="22"/>
          <w:szCs w:val="22"/>
        </w:rPr>
        <w:t xml:space="preserve">Indirectamente, otras leyes mencionan a las OSC, como la </w:t>
      </w:r>
      <w:r w:rsidR="00A711AD">
        <w:rPr>
          <w:rFonts w:ascii="Adobe Caslon Pro" w:hAnsi="Adobe Caslon Pro"/>
          <w:sz w:val="22"/>
          <w:szCs w:val="22"/>
        </w:rPr>
        <w:t>LGDS</w:t>
      </w:r>
      <w:r w:rsidRPr="000907D3">
        <w:rPr>
          <w:rFonts w:ascii="Adobe Caslon Pro" w:hAnsi="Adobe Caslon Pro"/>
          <w:sz w:val="22"/>
          <w:szCs w:val="22"/>
        </w:rPr>
        <w:t>, que las define como “agrupaciones civiles y sociales, legalmente constituidas, en las que participan personas o grupos sociales con el propósito de realizar actividades relacionadas con el desarrollo social”.</w:t>
      </w:r>
    </w:p>
    <w:p w:rsidR="003B0A51" w:rsidRDefault="00D2768F" w:rsidP="00026506">
      <w:pPr>
        <w:pStyle w:val="Normal3"/>
        <w:spacing w:before="240"/>
        <w:rPr>
          <w:rFonts w:ascii="Adobe Caslon Pro" w:hAnsi="Adobe Caslon Pro"/>
          <w:sz w:val="22"/>
          <w:szCs w:val="22"/>
        </w:rPr>
      </w:pPr>
      <w:r>
        <w:rPr>
          <w:rFonts w:ascii="Adobe Caslon Pro" w:hAnsi="Adobe Caslon Pro"/>
          <w:sz w:val="22"/>
          <w:szCs w:val="22"/>
        </w:rPr>
        <w:t>En primer lugar, l</w:t>
      </w:r>
      <w:r w:rsidR="00CF536D" w:rsidRPr="000907D3">
        <w:rPr>
          <w:rFonts w:ascii="Adobe Caslon Pro" w:hAnsi="Adobe Caslon Pro"/>
          <w:sz w:val="22"/>
          <w:szCs w:val="22"/>
        </w:rPr>
        <w:t>a LFFAROSC determina, en su artículo 5, las 18 actividades que cubren las principales áreas de intervención de las organizaciones. No obstante, en la práctica se trata de uno de los artículos que requiere modificación, ya que se confunden actividades con atención a la población y enfoques o perspectivas específicas, como la de género. Las generalidades excluyen otras actividades realizadas por organizaciones que, debido a la confusión, se ven impedidas para obtener su CLUNI.</w:t>
      </w:r>
    </w:p>
    <w:p w:rsidR="00CF536D" w:rsidRDefault="00CF536D" w:rsidP="00026506">
      <w:pPr>
        <w:pStyle w:val="Normal3"/>
        <w:spacing w:before="240"/>
        <w:rPr>
          <w:rFonts w:ascii="Adobe Caslon Pro" w:hAnsi="Adobe Caslon Pro"/>
          <w:sz w:val="22"/>
          <w:szCs w:val="22"/>
        </w:rPr>
      </w:pPr>
      <w:r w:rsidRPr="000907D3">
        <w:rPr>
          <w:rFonts w:ascii="Adobe Caslon Pro" w:hAnsi="Adobe Caslon Pro"/>
          <w:sz w:val="22"/>
          <w:szCs w:val="22"/>
        </w:rPr>
        <w:lastRenderedPageBreak/>
        <w:t>La generalidad de las actividades diluye, igualmente, la responsabilidad de las diversas secretarías y dependencias de gobierno respecto al cumplimiento de sus obligaciones con la sociedad civil, así como en la designación de programas, proyectos y presupuesto para el fomento de las actividades de las OSC.</w:t>
      </w:r>
    </w:p>
    <w:p w:rsidR="00CF536D" w:rsidRPr="000907D3" w:rsidRDefault="00CF536D" w:rsidP="00026506">
      <w:pPr>
        <w:pStyle w:val="Normal3"/>
        <w:spacing w:before="240"/>
        <w:rPr>
          <w:rFonts w:ascii="Adobe Caslon Pro" w:hAnsi="Adobe Caslon Pro"/>
          <w:b/>
        </w:rPr>
      </w:pPr>
      <w:r w:rsidRPr="000907D3">
        <w:rPr>
          <w:rFonts w:ascii="Adobe Caslon Pro" w:hAnsi="Adobe Caslon Pro"/>
          <w:sz w:val="22"/>
          <w:szCs w:val="22"/>
        </w:rPr>
        <w:t>En segundo lugar, la LISR fija las características y condiciones para que las OSC que realizan determinadas actividades (art. 95) puedan obtener donativos deducibles del ISR para el donante y, para que éstas, a su vez, no sean contribuyentes de dicho impuesto. La LISR establece las reglas del juego para que las OSC financien parte de su operación. Un área de oportunidad de la LISR es que topa a un máximo de 5% del monto total de donativos, para destinarse a la operación de la OSC, lo que debilita y complica el fortalecimiento operativo de las propias OSC, por lo que las OSC deben salir a buscar financiamiento complementario, principalmente público, como el que ofrece el</w:t>
      </w:r>
      <w:r w:rsidR="00F24615">
        <w:rPr>
          <w:rFonts w:ascii="Adobe Caslon Pro" w:hAnsi="Adobe Caslon Pro"/>
          <w:sz w:val="22"/>
          <w:szCs w:val="22"/>
        </w:rPr>
        <w:t xml:space="preserve"> PCS</w:t>
      </w:r>
      <w:r w:rsidRPr="000907D3">
        <w:rPr>
          <w:rFonts w:ascii="Adobe Caslon Pro" w:hAnsi="Adobe Caslon Pro"/>
          <w:sz w:val="22"/>
          <w:szCs w:val="22"/>
        </w:rPr>
        <w:t xml:space="preserve">. </w:t>
      </w:r>
    </w:p>
    <w:p w:rsidR="00CF536D" w:rsidRDefault="00CF536D" w:rsidP="00026506">
      <w:pPr>
        <w:pStyle w:val="Normal3"/>
        <w:spacing w:before="240"/>
        <w:rPr>
          <w:rFonts w:ascii="Adobe Caslon Pro" w:hAnsi="Adobe Caslon Pro"/>
          <w:sz w:val="22"/>
          <w:szCs w:val="22"/>
        </w:rPr>
      </w:pPr>
      <w:r w:rsidRPr="000907D3">
        <w:rPr>
          <w:rFonts w:ascii="Adobe Caslon Pro" w:hAnsi="Adobe Caslon Pro"/>
          <w:sz w:val="22"/>
          <w:szCs w:val="22"/>
        </w:rPr>
        <w:t>Finalmente, las leyes estatales de asistencia social no cubren todas las actividades que establece la LFFAROSC, siendo Tlaxcala el estado con menor número de actividades y Morelos la entidad que cubre todas las planteadas en la Ley Federal.</w:t>
      </w:r>
    </w:p>
    <w:p w:rsidR="00CF536D" w:rsidRDefault="00CF536D" w:rsidP="00F30731">
      <w:pPr>
        <w:pStyle w:val="Normal3"/>
        <w:spacing w:after="120"/>
        <w:rPr>
          <w:rFonts w:ascii="Adobe Caslon Pro" w:hAnsi="Adobe Caslon Pro"/>
          <w:sz w:val="22"/>
          <w:szCs w:val="22"/>
        </w:rPr>
      </w:pPr>
      <w:r w:rsidRPr="000907D3">
        <w:rPr>
          <w:rFonts w:ascii="Adobe Caslon Pro" w:hAnsi="Adobe Caslon Pro"/>
          <w:sz w:val="22"/>
          <w:szCs w:val="22"/>
        </w:rPr>
        <w:t>Se requiere una definición más precisa de cada actividad de fomento y, de ser posible, el uso de ordenamientos legales y normativos vigentes para casos como el de la asistencia social, que se define conforme a la Ley sobre el Sistema Nacional de Asistencia Social y a la Ley General de Salud. También se puede utilizar como referencia el artículo 95 de la LISR para desvanecer las ambigüedades conceptuales y empatar definiciones.</w:t>
      </w:r>
    </w:p>
    <w:p w:rsidR="0018237B" w:rsidRPr="000907D3" w:rsidRDefault="0018237B" w:rsidP="00F30731">
      <w:pPr>
        <w:pStyle w:val="Normal3"/>
        <w:spacing w:after="120"/>
        <w:rPr>
          <w:rFonts w:ascii="Adobe Caslon Pro" w:hAnsi="Adobe Caslon Pro"/>
          <w:sz w:val="22"/>
          <w:szCs w:val="22"/>
        </w:rPr>
      </w:pPr>
    </w:p>
    <w:p w:rsidR="00CF536D" w:rsidRPr="001C2987" w:rsidRDefault="00C916CB" w:rsidP="00F30731">
      <w:pPr>
        <w:spacing w:after="120"/>
        <w:jc w:val="both"/>
        <w:rPr>
          <w:rFonts w:ascii="Adobe Caslon Pro" w:hAnsi="Adobe Caslon Pro"/>
          <w:b/>
        </w:rPr>
      </w:pPr>
      <w:r>
        <w:rPr>
          <w:rFonts w:ascii="Adobe Caslon Pro" w:hAnsi="Adobe Caslon Pro"/>
          <w:b/>
        </w:rPr>
        <w:t>El D</w:t>
      </w:r>
      <w:r w:rsidR="000A71A3">
        <w:rPr>
          <w:rFonts w:ascii="Adobe Caslon Pro" w:hAnsi="Adobe Caslon Pro"/>
          <w:b/>
        </w:rPr>
        <w:t>iseño de la I</w:t>
      </w:r>
      <w:r w:rsidR="00CF536D" w:rsidRPr="001C2987">
        <w:rPr>
          <w:rFonts w:ascii="Adobe Caslon Pro" w:hAnsi="Adobe Caslon Pro"/>
          <w:b/>
        </w:rPr>
        <w:t>ntervención</w:t>
      </w:r>
    </w:p>
    <w:p w:rsidR="00CF536D" w:rsidRDefault="00CF536D" w:rsidP="00026506">
      <w:pPr>
        <w:spacing w:before="240"/>
        <w:jc w:val="both"/>
        <w:rPr>
          <w:rFonts w:ascii="Adobe Caslon Pro" w:hAnsi="Adobe Caslon Pro" w:cs="Arial"/>
          <w:bCs/>
          <w:color w:val="000000"/>
        </w:rPr>
      </w:pPr>
      <w:r w:rsidRPr="000907D3">
        <w:rPr>
          <w:rFonts w:ascii="Adobe Caslon Pro" w:hAnsi="Adobe Caslon Pro" w:cs="Arial"/>
          <w:bCs/>
        </w:rPr>
        <w:t>En el diagnóstico del PCS se identific</w:t>
      </w:r>
      <w:r w:rsidR="007F7FBA" w:rsidRPr="000907D3">
        <w:rPr>
          <w:rFonts w:ascii="Adobe Caslon Pro" w:hAnsi="Adobe Caslon Pro" w:cs="Arial"/>
          <w:bCs/>
        </w:rPr>
        <w:t>aron</w:t>
      </w:r>
      <w:r w:rsidRPr="000907D3">
        <w:rPr>
          <w:rFonts w:ascii="Adobe Caslon Pro" w:hAnsi="Adobe Caslon Pro" w:cs="Arial"/>
          <w:bCs/>
        </w:rPr>
        <w:t xml:space="preserve"> grandes rasgos </w:t>
      </w:r>
      <w:r w:rsidR="007F7FBA" w:rsidRPr="000907D3">
        <w:rPr>
          <w:rFonts w:ascii="Adobe Caslon Pro" w:hAnsi="Adobe Caslon Pro" w:cs="Arial"/>
          <w:bCs/>
        </w:rPr>
        <w:t xml:space="preserve">sobre las OSC, por lo </w:t>
      </w:r>
      <w:r w:rsidRPr="000907D3">
        <w:rPr>
          <w:rFonts w:ascii="Adobe Caslon Pro" w:hAnsi="Adobe Caslon Pro" w:cs="Arial"/>
          <w:bCs/>
        </w:rPr>
        <w:t xml:space="preserve">que el universo de OSC se puede caracterizar en dos grupos. Una minoría de OSC con desarrollo institucional sólido que al ser apoyadas con recursos públicos pueden ampliar sus acciones y cobertura para lograr objetivos de desarrollo social. En cambio, existe una gran mayoría, cuyo desarrollo institucional es incipiente y por tanto sus capacidades para lograr resultados se encuentran limitadas. </w:t>
      </w:r>
      <w:r w:rsidRPr="000907D3">
        <w:rPr>
          <w:rFonts w:ascii="Adobe Caslon Pro" w:hAnsi="Adobe Caslon Pro" w:cs="Arial"/>
          <w:bCs/>
          <w:color w:val="000000"/>
        </w:rPr>
        <w:t>Considerando que en la LFFA</w:t>
      </w:r>
      <w:r w:rsidR="007D675A">
        <w:rPr>
          <w:rFonts w:ascii="Adobe Caslon Pro" w:hAnsi="Adobe Caslon Pro" w:cs="Arial"/>
          <w:bCs/>
          <w:color w:val="000000"/>
        </w:rPr>
        <w:t>R</w:t>
      </w:r>
      <w:r w:rsidRPr="000907D3">
        <w:rPr>
          <w:rFonts w:ascii="Adobe Caslon Pro" w:hAnsi="Adobe Caslon Pro" w:cs="Arial"/>
          <w:bCs/>
          <w:color w:val="000000"/>
        </w:rPr>
        <w:t xml:space="preserve">OSC se ha determinado que las OSC son organizaciones de interés público, las acciones de fomento tendrían que </w:t>
      </w:r>
      <w:r w:rsidRPr="000907D3">
        <w:rPr>
          <w:rFonts w:ascii="Adobe Caslon Pro" w:hAnsi="Adobe Caslon Pro" w:cs="Arial"/>
          <w:bCs/>
          <w:color w:val="000000"/>
        </w:rPr>
        <w:lastRenderedPageBreak/>
        <w:t xml:space="preserve">dirigirse a todas las OSC que cumplan con criterios de elegibilidad, pero diferenciando los apoyos según </w:t>
      </w:r>
      <w:r w:rsidR="007F7FBA" w:rsidRPr="000907D3">
        <w:rPr>
          <w:rFonts w:ascii="Adobe Caslon Pro" w:hAnsi="Adobe Caslon Pro" w:cs="Arial"/>
          <w:bCs/>
          <w:color w:val="000000"/>
        </w:rPr>
        <w:t xml:space="preserve">su </w:t>
      </w:r>
      <w:r w:rsidRPr="000907D3">
        <w:rPr>
          <w:rFonts w:ascii="Adobe Caslon Pro" w:hAnsi="Adobe Caslon Pro" w:cs="Arial"/>
          <w:bCs/>
          <w:color w:val="000000"/>
        </w:rPr>
        <w:t xml:space="preserve">nivel de desarrollo institucional. </w:t>
      </w:r>
    </w:p>
    <w:p w:rsidR="00CF536D" w:rsidRPr="000907D3" w:rsidRDefault="00CF536D" w:rsidP="000A71A3">
      <w:pPr>
        <w:spacing w:after="120"/>
        <w:jc w:val="both"/>
        <w:rPr>
          <w:rFonts w:ascii="Adobe Caslon Pro" w:hAnsi="Adobe Caslon Pro" w:cs="Arial"/>
          <w:bCs/>
          <w:color w:val="000000"/>
        </w:rPr>
      </w:pPr>
      <w:r w:rsidRPr="000907D3">
        <w:rPr>
          <w:rFonts w:ascii="Adobe Caslon Pro" w:hAnsi="Adobe Caslon Pro" w:cs="Arial"/>
          <w:bCs/>
          <w:color w:val="000000"/>
        </w:rPr>
        <w:t>En efecto, se requiere tanto asegurar que se logren resultados en las condiciones de vida de la población en situación de vulnerabilidad atendidas por las OSC,</w:t>
      </w:r>
      <w:r w:rsidR="00BD3B86">
        <w:rPr>
          <w:rFonts w:ascii="Adobe Caslon Pro" w:hAnsi="Adobe Caslon Pro" w:cs="Arial"/>
          <w:bCs/>
          <w:color w:val="000000"/>
        </w:rPr>
        <w:t xml:space="preserve"> </w:t>
      </w:r>
      <w:r w:rsidRPr="000907D3">
        <w:rPr>
          <w:rFonts w:ascii="Adobe Caslon Pro" w:hAnsi="Adobe Caslon Pro" w:cs="Arial"/>
        </w:rPr>
        <w:t>como fomentar el trabajo de las OSC de acuerdo con lo establecido en la</w:t>
      </w:r>
      <w:r w:rsidR="00BD3B86">
        <w:rPr>
          <w:rFonts w:ascii="Adobe Caslon Pro" w:hAnsi="Adobe Caslon Pro" w:cs="Arial"/>
        </w:rPr>
        <w:t xml:space="preserve"> </w:t>
      </w:r>
      <w:r w:rsidR="007F7FBA" w:rsidRPr="000907D3">
        <w:rPr>
          <w:rFonts w:ascii="Adobe Caslon Pro" w:hAnsi="Adobe Caslon Pro" w:cs="Arial"/>
          <w:bCs/>
          <w:color w:val="000000"/>
        </w:rPr>
        <w:t>LFFA</w:t>
      </w:r>
      <w:r w:rsidR="00900FB3" w:rsidRPr="000907D3">
        <w:rPr>
          <w:rFonts w:ascii="Adobe Caslon Pro" w:hAnsi="Adobe Caslon Pro" w:cs="Arial"/>
          <w:bCs/>
          <w:color w:val="000000"/>
        </w:rPr>
        <w:t>R</w:t>
      </w:r>
      <w:r w:rsidR="007F7FBA" w:rsidRPr="000907D3">
        <w:rPr>
          <w:rFonts w:ascii="Adobe Caslon Pro" w:hAnsi="Adobe Caslon Pro" w:cs="Arial"/>
          <w:bCs/>
          <w:color w:val="000000"/>
        </w:rPr>
        <w:t>OSC</w:t>
      </w:r>
      <w:r w:rsidRPr="000907D3">
        <w:rPr>
          <w:rFonts w:ascii="Adobe Caslon Pro" w:hAnsi="Adobe Caslon Pro" w:cs="Arial"/>
        </w:rPr>
        <w:t xml:space="preserve">. Más precisamente, se requiere </w:t>
      </w:r>
      <w:r w:rsidR="00744935" w:rsidRPr="000907D3">
        <w:rPr>
          <w:rFonts w:ascii="Adobe Caslon Pro" w:hAnsi="Adobe Caslon Pro" w:cs="Arial"/>
        </w:rPr>
        <w:t>establecer un punto de llegada o una medida de “fortalecimiento”, como resultado directo del financiamiento,</w:t>
      </w:r>
      <w:r w:rsidR="00BD3B86">
        <w:rPr>
          <w:rFonts w:ascii="Adobe Caslon Pro" w:hAnsi="Adobe Caslon Pro" w:cs="Arial"/>
        </w:rPr>
        <w:t xml:space="preserve"> </w:t>
      </w:r>
      <w:r w:rsidRPr="000907D3">
        <w:rPr>
          <w:rFonts w:ascii="Adobe Caslon Pro" w:hAnsi="Adobe Caslon Pro" w:cs="Arial"/>
        </w:rPr>
        <w:t>para aquellas OSC que presentan un grado incipiente de desarrollo institucional</w:t>
      </w:r>
      <w:r w:rsidRPr="000907D3">
        <w:rPr>
          <w:rFonts w:ascii="Adobe Caslon Pro" w:hAnsi="Adobe Caslon Pro" w:cs="Arial"/>
          <w:bCs/>
          <w:color w:val="000000"/>
        </w:rPr>
        <w:t>. En cambio, con aquellas organizaciones con alto grado de desarrollo institucional, a las cuales únicamente se les aportan recursos monetarios complementarios, la coinversión debe comprometer como resultado un impacto en el desarrollo de la población que se atenderá en el marco del proyecto.</w:t>
      </w:r>
    </w:p>
    <w:p w:rsidR="0018237B" w:rsidRPr="000A71A3" w:rsidRDefault="0018237B" w:rsidP="000A71A3">
      <w:pPr>
        <w:pStyle w:val="Normal3"/>
        <w:spacing w:after="120"/>
        <w:rPr>
          <w:rFonts w:ascii="Adobe Caslon Pro" w:hAnsi="Adobe Caslon Pro"/>
          <w:b/>
          <w:sz w:val="22"/>
          <w:szCs w:val="22"/>
        </w:rPr>
      </w:pPr>
    </w:p>
    <w:p w:rsidR="00CF536D" w:rsidRPr="001C2987" w:rsidRDefault="00CF536D" w:rsidP="000A71A3">
      <w:pPr>
        <w:spacing w:after="120"/>
        <w:jc w:val="both"/>
        <w:rPr>
          <w:rFonts w:ascii="Adobe Caslon Pro" w:hAnsi="Adobe Caslon Pro"/>
          <w:b/>
        </w:rPr>
      </w:pPr>
      <w:r w:rsidRPr="001C2987">
        <w:rPr>
          <w:rFonts w:ascii="Adobe Caslon Pro" w:hAnsi="Adobe Caslon Pro"/>
          <w:b/>
        </w:rPr>
        <w:t>La Focalización de los Recursos</w:t>
      </w:r>
    </w:p>
    <w:p w:rsidR="00771B8E" w:rsidRDefault="00CF536D" w:rsidP="005965B8">
      <w:pPr>
        <w:spacing w:after="120"/>
        <w:jc w:val="both"/>
        <w:rPr>
          <w:rFonts w:ascii="Adobe Caslon Pro" w:hAnsi="Adobe Caslon Pro" w:cs="Arial"/>
          <w:bCs/>
          <w:color w:val="000000"/>
        </w:rPr>
      </w:pPr>
      <w:r w:rsidRPr="000907D3">
        <w:rPr>
          <w:rFonts w:ascii="Adobe Caslon Pro" w:hAnsi="Adobe Caslon Pro" w:cs="Arial"/>
          <w:bCs/>
          <w:color w:val="000000"/>
        </w:rPr>
        <w:t>El PCS se ha caracterizado por la diversidad de convocatorias y temáticas para las cuales pone rec</w:t>
      </w:r>
      <w:r w:rsidR="004F7EB2">
        <w:rPr>
          <w:rFonts w:ascii="Adobe Caslon Pro" w:hAnsi="Adobe Caslon Pro" w:cs="Arial"/>
          <w:bCs/>
          <w:color w:val="000000"/>
        </w:rPr>
        <w:t>ursos a disposición de las OSC, ya que a</w:t>
      </w:r>
      <w:r w:rsidRPr="000907D3">
        <w:rPr>
          <w:rFonts w:ascii="Adobe Caslon Pro" w:hAnsi="Adobe Caslon Pro" w:cs="Arial"/>
          <w:bCs/>
          <w:color w:val="000000"/>
        </w:rPr>
        <w:t xml:space="preserve">l ser un programa dirigido </w:t>
      </w:r>
      <w:r w:rsidRPr="00152883">
        <w:rPr>
          <w:rFonts w:ascii="Adobe Caslon Pro" w:hAnsi="Adobe Caslon Pro" w:cs="Arial"/>
          <w:bCs/>
          <w:color w:val="000000"/>
        </w:rPr>
        <w:t>a hacer operativas las actividades de la</w:t>
      </w:r>
      <w:r w:rsidR="00744935" w:rsidRPr="00152883">
        <w:rPr>
          <w:rFonts w:ascii="Adobe Caslon Pro" w:hAnsi="Adobe Caslon Pro" w:cs="Arial"/>
          <w:bCs/>
          <w:color w:val="000000"/>
        </w:rPr>
        <w:t xml:space="preserve"> LFFA</w:t>
      </w:r>
      <w:r w:rsidR="007D675A" w:rsidRPr="00152883">
        <w:rPr>
          <w:rFonts w:ascii="Adobe Caslon Pro" w:hAnsi="Adobe Caslon Pro" w:cs="Arial"/>
          <w:bCs/>
          <w:color w:val="000000"/>
        </w:rPr>
        <w:t>R</w:t>
      </w:r>
      <w:r w:rsidR="00744935" w:rsidRPr="00152883">
        <w:rPr>
          <w:rFonts w:ascii="Adobe Caslon Pro" w:hAnsi="Adobe Caslon Pro" w:cs="Arial"/>
          <w:bCs/>
          <w:color w:val="000000"/>
        </w:rPr>
        <w:t>OSC</w:t>
      </w:r>
      <w:r w:rsidR="007D675A" w:rsidRPr="00152883">
        <w:rPr>
          <w:rFonts w:ascii="Adobe Caslon Pro" w:hAnsi="Adobe Caslon Pro" w:cs="Arial"/>
          <w:bCs/>
          <w:color w:val="000000"/>
        </w:rPr>
        <w:t>,</w:t>
      </w:r>
      <w:r w:rsidRPr="00152883">
        <w:rPr>
          <w:rFonts w:ascii="Adobe Caslon Pro" w:hAnsi="Adobe Caslon Pro" w:cs="Arial"/>
          <w:bCs/>
          <w:color w:val="000000"/>
        </w:rPr>
        <w:t xml:space="preserve"> se ha buscado que todas las actividades de ésta última cuenten con recursos. </w:t>
      </w:r>
      <w:r w:rsidR="00CA550E" w:rsidRPr="00152883">
        <w:rPr>
          <w:rFonts w:ascii="Adobe Caslon Pro" w:hAnsi="Adobe Caslon Pro" w:cs="Arial"/>
          <w:bCs/>
          <w:color w:val="000000"/>
        </w:rPr>
        <w:t xml:space="preserve">A pesar de lo anterior, el PCS considera criterios de focalización que implican priorizar aquellas convocatorias orientadas hacia </w:t>
      </w:r>
      <w:r w:rsidR="004F7EB2" w:rsidRPr="00152883">
        <w:rPr>
          <w:rFonts w:ascii="Adobe Caslon Pro" w:hAnsi="Adobe Caslon Pro" w:cs="Arial"/>
          <w:bCs/>
          <w:color w:val="000000"/>
        </w:rPr>
        <w:t xml:space="preserve">las </w:t>
      </w:r>
      <w:r w:rsidR="00CA550E" w:rsidRPr="00152883">
        <w:rPr>
          <w:rFonts w:ascii="Adobe Caslon Pro" w:hAnsi="Adobe Caslon Pro" w:cs="Arial"/>
          <w:bCs/>
          <w:color w:val="000000"/>
        </w:rPr>
        <w:t xml:space="preserve">acciones sociales de </w:t>
      </w:r>
      <w:r w:rsidR="004F7EB2" w:rsidRPr="00152883">
        <w:rPr>
          <w:rFonts w:ascii="Adobe Caslon Pro" w:hAnsi="Adobe Caslon Pro" w:cs="Arial"/>
          <w:bCs/>
          <w:color w:val="000000"/>
        </w:rPr>
        <w:t xml:space="preserve">las </w:t>
      </w:r>
      <w:r w:rsidR="00CA550E" w:rsidRPr="00152883">
        <w:rPr>
          <w:rFonts w:ascii="Adobe Caslon Pro" w:hAnsi="Adobe Caslon Pro" w:cs="Arial"/>
          <w:bCs/>
          <w:color w:val="000000"/>
        </w:rPr>
        <w:t>OSC, lo cual deber</w:t>
      </w:r>
      <w:r w:rsidR="004F7EB2" w:rsidRPr="00152883">
        <w:rPr>
          <w:rFonts w:ascii="Adobe Caslon Pro" w:hAnsi="Adobe Caslon Pro" w:cs="Arial"/>
          <w:bCs/>
          <w:color w:val="000000"/>
        </w:rPr>
        <w:t xml:space="preserve">á reforzarse en próximas convocatorias a fin de </w:t>
      </w:r>
      <w:r w:rsidR="00CA550E" w:rsidRPr="00152883">
        <w:rPr>
          <w:rFonts w:ascii="Adobe Caslon Pro" w:hAnsi="Adobe Caslon Pro" w:cs="Arial"/>
          <w:bCs/>
          <w:color w:val="000000"/>
        </w:rPr>
        <w:t>contribuir al cumplimiento de los obje</w:t>
      </w:r>
      <w:r w:rsidR="00930E32">
        <w:rPr>
          <w:rFonts w:ascii="Adobe Caslon Pro" w:hAnsi="Adobe Caslon Pro" w:cs="Arial"/>
          <w:bCs/>
          <w:color w:val="000000"/>
        </w:rPr>
        <w:t>tivos establecidos en el P</w:t>
      </w:r>
      <w:r w:rsidR="002474B9">
        <w:rPr>
          <w:rFonts w:ascii="Adobe Caslon Pro" w:hAnsi="Adobe Caslon Pro" w:cs="Arial"/>
          <w:bCs/>
          <w:color w:val="000000"/>
        </w:rPr>
        <w:t>SDS</w:t>
      </w:r>
      <w:r w:rsidR="00CA550E" w:rsidRPr="00152883">
        <w:rPr>
          <w:rFonts w:ascii="Adobe Caslon Pro" w:hAnsi="Adobe Caslon Pro" w:cs="Arial"/>
          <w:bCs/>
          <w:color w:val="000000"/>
        </w:rPr>
        <w:t>.</w:t>
      </w:r>
      <w:r w:rsidR="00CA550E">
        <w:rPr>
          <w:rFonts w:ascii="Adobe Caslon Pro" w:hAnsi="Adobe Caslon Pro" w:cs="Arial"/>
          <w:bCs/>
          <w:color w:val="000000"/>
        </w:rPr>
        <w:t xml:space="preserve"> </w:t>
      </w:r>
    </w:p>
    <w:bookmarkEnd w:id="108"/>
    <w:p w:rsidR="0018237B" w:rsidRPr="002629DB" w:rsidRDefault="0018237B" w:rsidP="005965B8">
      <w:pPr>
        <w:pStyle w:val="Default"/>
        <w:spacing w:after="120" w:line="276" w:lineRule="auto"/>
        <w:jc w:val="both"/>
        <w:rPr>
          <w:rFonts w:ascii="Adobe Caslon Pro" w:hAnsi="Adobe Caslon Pro" w:cs="Arial"/>
          <w:b/>
          <w:sz w:val="22"/>
          <w:szCs w:val="22"/>
        </w:rPr>
      </w:pPr>
    </w:p>
    <w:p w:rsidR="00152883" w:rsidRPr="001C2987" w:rsidRDefault="00CF536D" w:rsidP="005965B8">
      <w:pPr>
        <w:spacing w:after="120"/>
        <w:jc w:val="both"/>
        <w:rPr>
          <w:rFonts w:ascii="Adobe Caslon Pro" w:hAnsi="Adobe Caslon Pro"/>
          <w:b/>
        </w:rPr>
      </w:pPr>
      <w:r w:rsidRPr="001C2987">
        <w:rPr>
          <w:rFonts w:ascii="Adobe Caslon Pro" w:hAnsi="Adobe Caslon Pro"/>
          <w:b/>
        </w:rPr>
        <w:t>Antecedentes</w:t>
      </w:r>
    </w:p>
    <w:p w:rsidR="00CF536D" w:rsidRPr="000907D3" w:rsidRDefault="00CF536D" w:rsidP="00026506">
      <w:pPr>
        <w:pStyle w:val="Default"/>
        <w:spacing w:before="240" w:after="240" w:line="276" w:lineRule="auto"/>
        <w:jc w:val="both"/>
        <w:rPr>
          <w:rFonts w:ascii="Adobe Caslon Pro" w:hAnsi="Adobe Caslon Pro" w:cs="Arial"/>
          <w:sz w:val="22"/>
          <w:szCs w:val="22"/>
        </w:rPr>
      </w:pPr>
      <w:r w:rsidRPr="000907D3">
        <w:rPr>
          <w:rFonts w:ascii="Adobe Caslon Pro" w:hAnsi="Adobe Caslon Pro" w:cs="Arial"/>
          <w:sz w:val="22"/>
          <w:szCs w:val="22"/>
        </w:rPr>
        <w:t>La LFFAROSC establece el marco legal para</w:t>
      </w:r>
      <w:r w:rsidR="00BD3B86">
        <w:rPr>
          <w:rFonts w:ascii="Adobe Caslon Pro" w:hAnsi="Adobe Caslon Pro" w:cs="Arial"/>
          <w:sz w:val="22"/>
          <w:szCs w:val="22"/>
        </w:rPr>
        <w:t xml:space="preserve"> </w:t>
      </w:r>
      <w:r w:rsidRPr="000907D3">
        <w:rPr>
          <w:rFonts w:ascii="Adobe Caslon Pro" w:hAnsi="Adobe Caslon Pro" w:cs="Arial"/>
          <w:sz w:val="22"/>
          <w:szCs w:val="22"/>
        </w:rPr>
        <w:t>normar la r</w:t>
      </w:r>
      <w:r w:rsidR="00B13B60">
        <w:rPr>
          <w:rFonts w:ascii="Adobe Caslon Pro" w:hAnsi="Adobe Caslon Pro" w:cs="Arial"/>
          <w:sz w:val="22"/>
          <w:szCs w:val="22"/>
        </w:rPr>
        <w:t>elación entre sociedad c</w:t>
      </w:r>
      <w:r w:rsidR="00BE60D4">
        <w:rPr>
          <w:rFonts w:ascii="Adobe Caslon Pro" w:hAnsi="Adobe Caslon Pro" w:cs="Arial"/>
          <w:sz w:val="22"/>
          <w:szCs w:val="22"/>
        </w:rPr>
        <w:t>ivil y g</w:t>
      </w:r>
      <w:r w:rsidRPr="000907D3">
        <w:rPr>
          <w:rFonts w:ascii="Adobe Caslon Pro" w:hAnsi="Adobe Caslon Pro" w:cs="Arial"/>
          <w:sz w:val="22"/>
          <w:szCs w:val="22"/>
        </w:rPr>
        <w:t xml:space="preserve">obierno. En ella, se plantea por un lado, el papel del gobierno federal en materia de promoción de las actividades de las OSC; por otro lado se definen los derechos y las obligaciones de las OSC, y los requisitos que deben cumplir para ser objeto de fomento de sus actividades. </w:t>
      </w:r>
    </w:p>
    <w:p w:rsidR="00CF536D" w:rsidRPr="000907D3" w:rsidRDefault="00CF536D" w:rsidP="00026506">
      <w:pPr>
        <w:pStyle w:val="Default"/>
        <w:spacing w:before="240" w:after="240" w:line="276" w:lineRule="auto"/>
        <w:jc w:val="both"/>
        <w:rPr>
          <w:rFonts w:ascii="Adobe Caslon Pro" w:hAnsi="Adobe Caslon Pro" w:cs="Arial"/>
          <w:sz w:val="22"/>
          <w:szCs w:val="22"/>
        </w:rPr>
      </w:pPr>
      <w:r w:rsidRPr="000907D3">
        <w:rPr>
          <w:rFonts w:ascii="Adobe Caslon Pro" w:hAnsi="Adobe Caslon Pro" w:cs="Arial"/>
          <w:sz w:val="22"/>
          <w:szCs w:val="22"/>
        </w:rPr>
        <w:t>Las OSC que son objeto de apoyo de acuerdo con la LFFAR</w:t>
      </w:r>
      <w:r w:rsidR="00374B18" w:rsidRPr="000907D3">
        <w:rPr>
          <w:rFonts w:ascii="Adobe Caslon Pro" w:hAnsi="Adobe Caslon Pro" w:cs="Arial"/>
          <w:sz w:val="22"/>
          <w:szCs w:val="22"/>
        </w:rPr>
        <w:t>O</w:t>
      </w:r>
      <w:r w:rsidRPr="000907D3">
        <w:rPr>
          <w:rFonts w:ascii="Adobe Caslon Pro" w:hAnsi="Adobe Caslon Pro" w:cs="Arial"/>
          <w:sz w:val="22"/>
          <w:szCs w:val="22"/>
        </w:rPr>
        <w:t xml:space="preserve">SC son aquellas que se dedican a las actividades objeto de dicha Ley y que cuentan con </w:t>
      </w:r>
      <w:r w:rsidR="002F714E">
        <w:rPr>
          <w:rFonts w:ascii="Adobe Caslon Pro" w:hAnsi="Adobe Caslon Pro" w:cs="Arial"/>
          <w:sz w:val="22"/>
          <w:szCs w:val="22"/>
        </w:rPr>
        <w:t>C</w:t>
      </w:r>
      <w:r w:rsidRPr="000907D3">
        <w:rPr>
          <w:rFonts w:ascii="Adobe Caslon Pro" w:hAnsi="Adobe Caslon Pro" w:cs="Arial"/>
          <w:sz w:val="22"/>
          <w:szCs w:val="22"/>
        </w:rPr>
        <w:t xml:space="preserve">LUNI dentro del </w:t>
      </w:r>
      <w:r w:rsidR="00940E10">
        <w:rPr>
          <w:rFonts w:ascii="Adobe Caslon Pro" w:hAnsi="Adobe Caslon Pro" w:cs="Arial"/>
          <w:sz w:val="22"/>
          <w:szCs w:val="22"/>
        </w:rPr>
        <w:t>RFOSC</w:t>
      </w:r>
      <w:r w:rsidR="00BD3B86">
        <w:rPr>
          <w:rFonts w:ascii="Adobe Caslon Pro" w:hAnsi="Adobe Caslon Pro" w:cs="Arial"/>
          <w:sz w:val="22"/>
          <w:szCs w:val="22"/>
        </w:rPr>
        <w:t xml:space="preserve"> </w:t>
      </w:r>
      <w:r w:rsidRPr="000907D3">
        <w:rPr>
          <w:rFonts w:ascii="Adobe Caslon Pro" w:hAnsi="Adobe Caslon Pro" w:cs="Arial"/>
          <w:sz w:val="22"/>
          <w:szCs w:val="22"/>
        </w:rPr>
        <w:t xml:space="preserve">a cargo del </w:t>
      </w:r>
      <w:r w:rsidR="002F714E">
        <w:rPr>
          <w:rFonts w:ascii="Adobe Caslon Pro" w:hAnsi="Adobe Caslon Pro" w:cs="Arial"/>
          <w:sz w:val="22"/>
          <w:szCs w:val="22"/>
        </w:rPr>
        <w:t>INDESOL</w:t>
      </w:r>
      <w:r w:rsidRPr="000907D3">
        <w:rPr>
          <w:rFonts w:ascii="Adobe Caslon Pro" w:hAnsi="Adobe Caslon Pro" w:cs="Arial"/>
          <w:sz w:val="22"/>
          <w:szCs w:val="22"/>
        </w:rPr>
        <w:t xml:space="preserve">. </w:t>
      </w:r>
    </w:p>
    <w:p w:rsidR="00CF536D" w:rsidRPr="000907D3" w:rsidRDefault="00CF536D" w:rsidP="00026506">
      <w:pPr>
        <w:pStyle w:val="Default"/>
        <w:spacing w:before="240" w:after="240" w:line="276" w:lineRule="auto"/>
        <w:jc w:val="both"/>
        <w:rPr>
          <w:rFonts w:ascii="Adobe Caslon Pro" w:hAnsi="Adobe Caslon Pro" w:cs="Arial"/>
          <w:b/>
          <w:bCs/>
          <w:sz w:val="22"/>
          <w:szCs w:val="22"/>
        </w:rPr>
      </w:pPr>
      <w:r w:rsidRPr="000907D3">
        <w:rPr>
          <w:rFonts w:ascii="Adobe Caslon Pro" w:hAnsi="Adobe Caslon Pro" w:cs="Arial"/>
          <w:sz w:val="22"/>
          <w:szCs w:val="22"/>
        </w:rPr>
        <w:lastRenderedPageBreak/>
        <w:t>Uno de los principales instrumentos para el fomento de las actividades de las OSC y el fomento de la participación de los actores sociales con que cuenta el gobierno federal, es el</w:t>
      </w:r>
      <w:r w:rsidR="00F24615">
        <w:rPr>
          <w:rFonts w:ascii="Adobe Caslon Pro" w:hAnsi="Adobe Caslon Pro" w:cs="Arial"/>
          <w:sz w:val="22"/>
          <w:szCs w:val="22"/>
        </w:rPr>
        <w:t xml:space="preserve"> PCS</w:t>
      </w:r>
      <w:r w:rsidRPr="000907D3">
        <w:rPr>
          <w:rFonts w:ascii="Adobe Caslon Pro" w:hAnsi="Adobe Caslon Pro" w:cs="Arial"/>
          <w:sz w:val="22"/>
          <w:szCs w:val="22"/>
        </w:rPr>
        <w:t xml:space="preserve"> a cargo del </w:t>
      </w:r>
      <w:r w:rsidR="002F714E">
        <w:rPr>
          <w:rFonts w:ascii="Adobe Caslon Pro" w:hAnsi="Adobe Caslon Pro" w:cs="Arial"/>
          <w:sz w:val="22"/>
          <w:szCs w:val="22"/>
        </w:rPr>
        <w:t>INDESOL</w:t>
      </w:r>
      <w:r w:rsidRPr="000907D3">
        <w:rPr>
          <w:rFonts w:ascii="Adobe Caslon Pro" w:hAnsi="Adobe Caslon Pro" w:cs="Arial"/>
          <w:sz w:val="22"/>
          <w:szCs w:val="22"/>
        </w:rPr>
        <w:t xml:space="preserve">. El PCS promueve y financia proyectos de coinversión entre el gobierno y las OSC, </w:t>
      </w:r>
      <w:r w:rsidR="00160981">
        <w:rPr>
          <w:rFonts w:ascii="Adobe Caslon Pro" w:hAnsi="Adobe Caslon Pro" w:cs="Arial"/>
          <w:sz w:val="22"/>
          <w:szCs w:val="22"/>
        </w:rPr>
        <w:t>IES</w:t>
      </w:r>
      <w:r w:rsidRPr="000907D3">
        <w:rPr>
          <w:rFonts w:ascii="Adobe Caslon Pro" w:hAnsi="Adobe Caslon Pro" w:cs="Arial"/>
          <w:sz w:val="22"/>
          <w:szCs w:val="22"/>
        </w:rPr>
        <w:t xml:space="preserve"> y </w:t>
      </w:r>
      <w:r w:rsidR="00160981">
        <w:rPr>
          <w:rFonts w:ascii="Adobe Caslon Pro" w:hAnsi="Adobe Caslon Pro" w:cs="Arial"/>
          <w:sz w:val="22"/>
          <w:szCs w:val="22"/>
        </w:rPr>
        <w:t>CI</w:t>
      </w:r>
      <w:r w:rsidRPr="000907D3">
        <w:rPr>
          <w:rFonts w:ascii="Adobe Caslon Pro" w:hAnsi="Adobe Caslon Pro" w:cs="Arial"/>
          <w:sz w:val="22"/>
          <w:szCs w:val="22"/>
        </w:rPr>
        <w:t>, que tengan como fin la atención de población en situación de pobreza, exclusión, marginación, discapacidad, desigualdad por género o vulnerabilidad.</w:t>
      </w:r>
    </w:p>
    <w:p w:rsidR="00CF536D" w:rsidRPr="000907D3" w:rsidRDefault="00CF536D" w:rsidP="00B13B60">
      <w:pPr>
        <w:pStyle w:val="Default"/>
        <w:spacing w:after="120" w:line="276" w:lineRule="auto"/>
        <w:jc w:val="both"/>
        <w:rPr>
          <w:rFonts w:ascii="Adobe Caslon Pro" w:hAnsi="Adobe Caslon Pro" w:cs="Arial"/>
          <w:sz w:val="22"/>
          <w:szCs w:val="22"/>
        </w:rPr>
      </w:pPr>
      <w:r w:rsidRPr="000907D3">
        <w:rPr>
          <w:rFonts w:ascii="Adobe Caslon Pro" w:hAnsi="Adobe Caslon Pro" w:cs="Arial"/>
          <w:sz w:val="22"/>
          <w:szCs w:val="22"/>
        </w:rPr>
        <w:t>Uno de los resultados en materia de diseño que arroja la Meta evaluación 2007-2012 del PCS es que “</w:t>
      </w:r>
      <w:r w:rsidR="00D220EE" w:rsidRPr="000907D3">
        <w:rPr>
          <w:rFonts w:ascii="Adobe Caslon Pro" w:hAnsi="Adobe Caslon Pro" w:cs="Arial"/>
          <w:sz w:val="22"/>
          <w:szCs w:val="22"/>
        </w:rPr>
        <w:t>e</w:t>
      </w:r>
      <w:r w:rsidRPr="000907D3">
        <w:rPr>
          <w:rFonts w:ascii="Adobe Caslon Pro" w:hAnsi="Adobe Caslon Pro" w:cs="Arial"/>
          <w:sz w:val="22"/>
          <w:szCs w:val="22"/>
        </w:rPr>
        <w:t>l problema focal y los objetivos del programa así como la población potencial y objetivo no están correctamente identificados y claramente definidos, pues subsisten algunas ambigüedades e inconsistencias importantes que se reflejan en las Reglas de Operación 2012, el Diagnóstico 2009 y la Nota sobre población poten</w:t>
      </w:r>
      <w:r w:rsidR="00E8446B">
        <w:rPr>
          <w:rFonts w:ascii="Adobe Caslon Pro" w:hAnsi="Adobe Caslon Pro" w:cs="Arial"/>
          <w:sz w:val="22"/>
          <w:szCs w:val="22"/>
        </w:rPr>
        <w:t>cial y población objetivo 2011”.</w:t>
      </w:r>
      <w:r w:rsidRPr="000907D3">
        <w:rPr>
          <w:rFonts w:ascii="Adobe Caslon Pro" w:hAnsi="Adobe Caslon Pro" w:cs="Arial"/>
          <w:sz w:val="22"/>
          <w:szCs w:val="22"/>
        </w:rPr>
        <w:t xml:space="preserve"> Así, se cuestiona en ella la relación entre el fortalecimiento y articulación de los actores sociales con la generación de capital social entre los grupos vulnerables. Ello da</w:t>
      </w:r>
      <w:r w:rsidR="00152883">
        <w:rPr>
          <w:rFonts w:ascii="Adobe Caslon Pro" w:hAnsi="Adobe Caslon Pro" w:cs="Arial"/>
          <w:sz w:val="22"/>
          <w:szCs w:val="22"/>
        </w:rPr>
        <w:t xml:space="preserve"> origen a la recomendación de “r</w:t>
      </w:r>
      <w:r w:rsidRPr="000907D3">
        <w:rPr>
          <w:rFonts w:ascii="Adobe Caslon Pro" w:hAnsi="Adobe Caslon Pro" w:cs="Arial"/>
          <w:sz w:val="22"/>
          <w:szCs w:val="22"/>
        </w:rPr>
        <w:t>edefinir y articular entre sí el problema focal, los objetivos general y específico así como las poblaciones potencial y objetivo del programa”.</w:t>
      </w:r>
    </w:p>
    <w:p w:rsidR="00CF536D" w:rsidRPr="000907D3" w:rsidRDefault="00CF536D" w:rsidP="00B13B60">
      <w:pPr>
        <w:pStyle w:val="Default"/>
        <w:spacing w:after="120" w:line="276" w:lineRule="auto"/>
        <w:jc w:val="both"/>
        <w:rPr>
          <w:rFonts w:ascii="Adobe Caslon Pro" w:hAnsi="Adobe Caslon Pro" w:cs="Arial"/>
          <w:b/>
          <w:bCs/>
          <w:sz w:val="22"/>
          <w:szCs w:val="22"/>
        </w:rPr>
      </w:pPr>
    </w:p>
    <w:p w:rsidR="00CF536D" w:rsidRPr="000907D3" w:rsidRDefault="00CF536D" w:rsidP="00B13B60">
      <w:pPr>
        <w:pStyle w:val="Default"/>
        <w:spacing w:after="120" w:line="276" w:lineRule="auto"/>
        <w:jc w:val="both"/>
        <w:rPr>
          <w:rFonts w:ascii="Adobe Caslon Pro" w:hAnsi="Adobe Caslon Pro" w:cs="Arial"/>
          <w:b/>
          <w:bCs/>
          <w:sz w:val="22"/>
          <w:szCs w:val="22"/>
        </w:rPr>
      </w:pPr>
      <w:r w:rsidRPr="000907D3">
        <w:rPr>
          <w:rFonts w:ascii="Adobe Caslon Pro" w:hAnsi="Adobe Caslon Pro" w:cs="Arial"/>
          <w:b/>
          <w:bCs/>
          <w:sz w:val="22"/>
          <w:szCs w:val="22"/>
        </w:rPr>
        <w:t xml:space="preserve">Objetivos </w:t>
      </w:r>
    </w:p>
    <w:p w:rsidR="00CF536D" w:rsidRPr="000907D3" w:rsidRDefault="00CF536D" w:rsidP="00B13B60">
      <w:pPr>
        <w:pStyle w:val="Default"/>
        <w:spacing w:after="120" w:line="276" w:lineRule="auto"/>
        <w:jc w:val="both"/>
        <w:rPr>
          <w:rFonts w:ascii="Adobe Caslon Pro" w:hAnsi="Adobe Caslon Pro" w:cs="Arial"/>
          <w:bCs/>
          <w:sz w:val="22"/>
          <w:szCs w:val="22"/>
        </w:rPr>
      </w:pPr>
      <w:r w:rsidRPr="000907D3">
        <w:rPr>
          <w:rFonts w:ascii="Adobe Caslon Pro" w:hAnsi="Adobe Caslon Pro" w:cs="Arial"/>
          <w:bCs/>
          <w:sz w:val="22"/>
          <w:szCs w:val="22"/>
        </w:rPr>
        <w:t>De conformidad con lo establecido en los Términos de Referencia</w:t>
      </w:r>
      <w:r w:rsidR="00426B36">
        <w:rPr>
          <w:rFonts w:ascii="Adobe Caslon Pro" w:hAnsi="Adobe Caslon Pro" w:cs="Arial"/>
          <w:bCs/>
          <w:sz w:val="22"/>
          <w:szCs w:val="22"/>
        </w:rPr>
        <w:t xml:space="preserve">, </w:t>
      </w:r>
      <w:r w:rsidRPr="000907D3">
        <w:rPr>
          <w:rFonts w:ascii="Adobe Caslon Pro" w:hAnsi="Adobe Caslon Pro" w:cs="Arial"/>
          <w:bCs/>
          <w:sz w:val="22"/>
          <w:szCs w:val="22"/>
        </w:rPr>
        <w:t xml:space="preserve"> los objetivos general y específicos del presente estudio son: </w:t>
      </w:r>
    </w:p>
    <w:p w:rsidR="00B13B60" w:rsidRDefault="00B13B60" w:rsidP="00B13B60">
      <w:pPr>
        <w:pStyle w:val="Default"/>
        <w:spacing w:after="120" w:line="276" w:lineRule="auto"/>
        <w:jc w:val="both"/>
        <w:rPr>
          <w:rFonts w:ascii="Adobe Caslon Pro" w:hAnsi="Adobe Caslon Pro" w:cs="Arial"/>
          <w:b/>
          <w:bCs/>
          <w:sz w:val="22"/>
          <w:szCs w:val="22"/>
        </w:rPr>
      </w:pPr>
    </w:p>
    <w:p w:rsidR="00CF536D" w:rsidRPr="000907D3" w:rsidRDefault="00CF536D" w:rsidP="00B13B60">
      <w:pPr>
        <w:pStyle w:val="Default"/>
        <w:spacing w:after="120" w:line="276" w:lineRule="auto"/>
        <w:jc w:val="both"/>
        <w:rPr>
          <w:rFonts w:ascii="Adobe Caslon Pro" w:hAnsi="Adobe Caslon Pro" w:cs="Arial"/>
          <w:b/>
          <w:bCs/>
          <w:sz w:val="22"/>
          <w:szCs w:val="22"/>
        </w:rPr>
      </w:pPr>
      <w:r w:rsidRPr="000907D3">
        <w:rPr>
          <w:rFonts w:ascii="Adobe Caslon Pro" w:hAnsi="Adobe Caslon Pro" w:cs="Arial"/>
          <w:b/>
          <w:bCs/>
          <w:sz w:val="22"/>
          <w:szCs w:val="22"/>
        </w:rPr>
        <w:t xml:space="preserve">Objetivo general </w:t>
      </w:r>
    </w:p>
    <w:p w:rsidR="00CF536D" w:rsidRPr="000907D3" w:rsidRDefault="00CF536D" w:rsidP="00B13B60">
      <w:pPr>
        <w:pStyle w:val="Default"/>
        <w:spacing w:before="120" w:after="120" w:line="276" w:lineRule="auto"/>
        <w:jc w:val="both"/>
        <w:rPr>
          <w:rFonts w:ascii="Adobe Caslon Pro" w:hAnsi="Adobe Caslon Pro" w:cs="Arial"/>
          <w:sz w:val="22"/>
          <w:szCs w:val="22"/>
        </w:rPr>
      </w:pPr>
      <w:r w:rsidRPr="000907D3">
        <w:rPr>
          <w:rFonts w:ascii="Adobe Caslon Pro" w:hAnsi="Adobe Caslon Pro" w:cs="Arial"/>
          <w:sz w:val="22"/>
          <w:szCs w:val="22"/>
        </w:rPr>
        <w:t>Elaborar una Propuesta de Atención en la que se analicen, valoren y seleccionen las estrategias y mecanismos de atención que resulten más adecuados para la atención de la problemática central que se busca resolver a través del</w:t>
      </w:r>
      <w:r w:rsidR="00F24615">
        <w:rPr>
          <w:rFonts w:ascii="Adobe Caslon Pro" w:hAnsi="Adobe Caslon Pro" w:cs="Arial"/>
          <w:sz w:val="22"/>
          <w:szCs w:val="22"/>
        </w:rPr>
        <w:t xml:space="preserve"> PCS</w:t>
      </w:r>
      <w:r w:rsidRPr="000907D3">
        <w:rPr>
          <w:rFonts w:ascii="Adobe Caslon Pro" w:hAnsi="Adobe Caslon Pro" w:cs="Arial"/>
          <w:sz w:val="22"/>
          <w:szCs w:val="22"/>
        </w:rPr>
        <w:t>.</w:t>
      </w:r>
    </w:p>
    <w:p w:rsidR="00B13B60" w:rsidRDefault="00B13B60" w:rsidP="00B13B60">
      <w:pPr>
        <w:pStyle w:val="Default"/>
        <w:spacing w:before="120" w:after="120" w:line="276" w:lineRule="auto"/>
        <w:jc w:val="both"/>
        <w:rPr>
          <w:rFonts w:ascii="Adobe Caslon Pro" w:hAnsi="Adobe Caslon Pro" w:cs="Arial"/>
          <w:b/>
          <w:bCs/>
          <w:sz w:val="22"/>
          <w:szCs w:val="22"/>
        </w:rPr>
      </w:pPr>
    </w:p>
    <w:p w:rsidR="00CF536D" w:rsidRPr="000907D3" w:rsidRDefault="00CF536D" w:rsidP="00B13B60">
      <w:pPr>
        <w:pStyle w:val="Default"/>
        <w:spacing w:before="120" w:after="120" w:line="276" w:lineRule="auto"/>
        <w:jc w:val="both"/>
        <w:rPr>
          <w:rFonts w:ascii="Adobe Caslon Pro" w:hAnsi="Adobe Caslon Pro" w:cs="Arial"/>
          <w:b/>
          <w:bCs/>
          <w:sz w:val="22"/>
          <w:szCs w:val="22"/>
        </w:rPr>
      </w:pPr>
      <w:r w:rsidRPr="000907D3">
        <w:rPr>
          <w:rFonts w:ascii="Adobe Caslon Pro" w:hAnsi="Adobe Caslon Pro" w:cs="Arial"/>
          <w:b/>
          <w:bCs/>
          <w:sz w:val="22"/>
          <w:szCs w:val="22"/>
        </w:rPr>
        <w:t xml:space="preserve">Objetivos específicos </w:t>
      </w:r>
    </w:p>
    <w:p w:rsidR="00CF536D" w:rsidRPr="000907D3" w:rsidRDefault="00CF536D" w:rsidP="00026506">
      <w:pPr>
        <w:pStyle w:val="Default"/>
        <w:numPr>
          <w:ilvl w:val="0"/>
          <w:numId w:val="27"/>
        </w:numPr>
        <w:spacing w:before="240" w:after="240" w:line="276" w:lineRule="auto"/>
        <w:jc w:val="both"/>
        <w:rPr>
          <w:rFonts w:ascii="Adobe Caslon Pro" w:hAnsi="Adobe Caslon Pro" w:cs="Arial"/>
          <w:sz w:val="22"/>
          <w:szCs w:val="22"/>
        </w:rPr>
      </w:pPr>
      <w:r w:rsidRPr="000907D3">
        <w:rPr>
          <w:rFonts w:ascii="Adobe Caslon Pro" w:hAnsi="Adobe Caslon Pro" w:cs="Arial"/>
          <w:sz w:val="22"/>
          <w:szCs w:val="22"/>
        </w:rPr>
        <w:t xml:space="preserve">Proponer una alternativa viable para la atención del problema identificado en el Diagnóstico, partiendo del análisis de diversos modelos de intervención que consideren particularmente las formas de organización y participación social como eje de la intervención. </w:t>
      </w:r>
    </w:p>
    <w:p w:rsidR="00CF536D" w:rsidRPr="000907D3" w:rsidRDefault="00CF536D" w:rsidP="00026506">
      <w:pPr>
        <w:pStyle w:val="Default"/>
        <w:numPr>
          <w:ilvl w:val="0"/>
          <w:numId w:val="27"/>
        </w:numPr>
        <w:spacing w:before="240" w:after="240" w:line="276" w:lineRule="auto"/>
        <w:jc w:val="both"/>
        <w:rPr>
          <w:rFonts w:ascii="Adobe Caslon Pro" w:hAnsi="Adobe Caslon Pro" w:cs="Arial"/>
          <w:sz w:val="22"/>
          <w:szCs w:val="22"/>
        </w:rPr>
      </w:pPr>
      <w:r w:rsidRPr="000907D3">
        <w:rPr>
          <w:rFonts w:ascii="Adobe Caslon Pro" w:hAnsi="Adobe Caslon Pro" w:cs="Arial"/>
          <w:sz w:val="22"/>
          <w:szCs w:val="22"/>
        </w:rPr>
        <w:lastRenderedPageBreak/>
        <w:t xml:space="preserve">Considerar que las alternativas de atención del problema identificado contengan un tratamiento diferenciado de acuerdo con las características de los actores sociales, a fin de que puedan lograr su objeto social relacionado con la atención de grupos en situación de vulnerabilidad como la población juvenil, población indígena, población de adultos mayores, población de niñas y niños, o en su caso todas aquellas que se consideren pertinentes. Asimismo, mantener ejes trasversales como la disminución de las brechas de género, acceso pleno a los derechos humanos y lo relativo a la no discriminación. </w:t>
      </w:r>
    </w:p>
    <w:p w:rsidR="00CF536D" w:rsidRPr="000907D3" w:rsidRDefault="00CF536D" w:rsidP="00026506">
      <w:pPr>
        <w:pStyle w:val="Default"/>
        <w:numPr>
          <w:ilvl w:val="0"/>
          <w:numId w:val="27"/>
        </w:numPr>
        <w:spacing w:before="240" w:after="240" w:line="276" w:lineRule="auto"/>
        <w:jc w:val="both"/>
        <w:rPr>
          <w:rFonts w:ascii="Adobe Caslon Pro" w:hAnsi="Adobe Caslon Pro" w:cs="Arial"/>
          <w:sz w:val="22"/>
          <w:szCs w:val="22"/>
        </w:rPr>
      </w:pPr>
      <w:r w:rsidRPr="000907D3">
        <w:rPr>
          <w:rFonts w:ascii="Adobe Caslon Pro" w:hAnsi="Adobe Caslon Pro" w:cs="Arial"/>
          <w:sz w:val="22"/>
          <w:szCs w:val="22"/>
        </w:rPr>
        <w:t>Proponer una alternativa para evaluar la estrategia de cobertura y</w:t>
      </w:r>
      <w:r w:rsidR="00082CB7">
        <w:rPr>
          <w:rFonts w:ascii="Adobe Caslon Pro" w:hAnsi="Adobe Caslon Pro" w:cs="Arial"/>
          <w:sz w:val="22"/>
          <w:szCs w:val="22"/>
        </w:rPr>
        <w:t xml:space="preserve"> los tipos de apoyo del PCS</w:t>
      </w:r>
      <w:r w:rsidRPr="000907D3">
        <w:rPr>
          <w:rFonts w:ascii="Adobe Caslon Pro" w:hAnsi="Adobe Caslon Pro" w:cs="Arial"/>
          <w:sz w:val="22"/>
          <w:szCs w:val="22"/>
        </w:rPr>
        <w:t xml:space="preserve"> en un horizonte de tiempo de mediano y largo plazos</w:t>
      </w:r>
      <w:r w:rsidR="00B56D4A" w:rsidRPr="000907D3">
        <w:rPr>
          <w:rFonts w:ascii="Adobe Caslon Pro" w:hAnsi="Adobe Caslon Pro" w:cs="Arial"/>
          <w:sz w:val="22"/>
          <w:szCs w:val="22"/>
        </w:rPr>
        <w:t>.</w:t>
      </w:r>
    </w:p>
    <w:p w:rsidR="00CF536D" w:rsidRPr="000907D3" w:rsidRDefault="00CF536D" w:rsidP="00082CB7">
      <w:pPr>
        <w:pStyle w:val="Default"/>
        <w:spacing w:after="120" w:line="276" w:lineRule="auto"/>
        <w:jc w:val="both"/>
        <w:rPr>
          <w:rFonts w:ascii="Adobe Caslon Pro" w:hAnsi="Adobe Caslon Pro" w:cs="Arial"/>
          <w:sz w:val="22"/>
          <w:szCs w:val="22"/>
        </w:rPr>
      </w:pPr>
      <w:r w:rsidRPr="000907D3">
        <w:rPr>
          <w:rFonts w:ascii="Adobe Caslon Pro" w:hAnsi="Adobe Caslon Pro" w:cs="Arial"/>
          <w:sz w:val="22"/>
          <w:szCs w:val="22"/>
        </w:rPr>
        <w:t>Con base en los elementos del diagnóstico, las experiencias exitosas y el marco normativo, a continuación se detalla una propuesta de atención a la problemática identificada a través del</w:t>
      </w:r>
      <w:r w:rsidR="00F24615">
        <w:rPr>
          <w:rFonts w:ascii="Adobe Caslon Pro" w:hAnsi="Adobe Caslon Pro" w:cs="Arial"/>
          <w:sz w:val="22"/>
          <w:szCs w:val="22"/>
        </w:rPr>
        <w:t xml:space="preserve"> PCS</w:t>
      </w:r>
      <w:r w:rsidRPr="000907D3">
        <w:rPr>
          <w:rFonts w:ascii="Adobe Caslon Pro" w:hAnsi="Adobe Caslon Pro" w:cs="Arial"/>
          <w:sz w:val="22"/>
          <w:szCs w:val="22"/>
        </w:rPr>
        <w:t xml:space="preserve">. </w:t>
      </w:r>
    </w:p>
    <w:p w:rsidR="00CF536D" w:rsidRPr="000907D3" w:rsidRDefault="00CF536D" w:rsidP="00082CB7">
      <w:pPr>
        <w:pStyle w:val="Default"/>
        <w:spacing w:after="120" w:line="276" w:lineRule="auto"/>
        <w:jc w:val="both"/>
        <w:rPr>
          <w:rFonts w:ascii="Adobe Caslon Pro" w:hAnsi="Adobe Caslon Pro" w:cs="Arial"/>
          <w:sz w:val="22"/>
          <w:szCs w:val="22"/>
        </w:rPr>
      </w:pPr>
    </w:p>
    <w:p w:rsidR="00CF536D" w:rsidRPr="002F315A" w:rsidRDefault="00CF536D" w:rsidP="00082CB7">
      <w:pPr>
        <w:spacing w:after="120"/>
        <w:jc w:val="both"/>
        <w:rPr>
          <w:rFonts w:ascii="Adobe Caslon Pro" w:eastAsia="Times New Roman" w:hAnsi="Adobe Caslon Pro" w:cs="PresidenciaFina"/>
          <w:b/>
          <w:color w:val="000000"/>
          <w:lang w:val="es-ES_tradnl" w:eastAsia="es-ES"/>
        </w:rPr>
      </w:pPr>
      <w:bookmarkStart w:id="113" w:name="_Toc380855719"/>
      <w:r w:rsidRPr="002F315A">
        <w:rPr>
          <w:rFonts w:ascii="Adobe Caslon Pro" w:eastAsia="Times New Roman" w:hAnsi="Adobe Caslon Pro" w:cs="PresidenciaFina"/>
          <w:b/>
          <w:color w:val="000000"/>
          <w:lang w:val="es-ES_tradnl" w:eastAsia="es-ES"/>
        </w:rPr>
        <w:t xml:space="preserve">Análisis teórico sobre la participación de la sociedad civil organizada en conjunto con el </w:t>
      </w:r>
      <w:r w:rsidR="00BE60D4">
        <w:rPr>
          <w:rFonts w:ascii="Adobe Caslon Pro" w:eastAsia="Times New Roman" w:hAnsi="Adobe Caslon Pro" w:cs="PresidenciaFina"/>
          <w:b/>
          <w:color w:val="000000"/>
          <w:lang w:val="es-ES_tradnl" w:eastAsia="es-ES"/>
        </w:rPr>
        <w:t>gobierno</w:t>
      </w:r>
      <w:r w:rsidRPr="002F315A">
        <w:rPr>
          <w:rFonts w:ascii="Adobe Caslon Pro" w:eastAsia="Times New Roman" w:hAnsi="Adobe Caslon Pro" w:cs="PresidenciaFina"/>
          <w:b/>
          <w:color w:val="000000"/>
          <w:lang w:val="es-ES_tradnl" w:eastAsia="es-ES"/>
        </w:rPr>
        <w:t>, para la atención de la población en situación de vulnerabilidad</w:t>
      </w:r>
      <w:bookmarkEnd w:id="113"/>
    </w:p>
    <w:p w:rsidR="00CF536D" w:rsidRDefault="00CF536D" w:rsidP="00AF6629">
      <w:pPr>
        <w:spacing w:after="120"/>
        <w:jc w:val="both"/>
        <w:rPr>
          <w:rFonts w:ascii="Adobe Caslon Pro" w:hAnsi="Adobe Caslon Pro" w:cs="Arial"/>
        </w:rPr>
      </w:pPr>
      <w:r w:rsidRPr="000907D3">
        <w:rPr>
          <w:rFonts w:ascii="Adobe Caslon Pro" w:hAnsi="Adobe Caslon Pro" w:cs="Arial"/>
        </w:rPr>
        <w:t>Teóricamente,</w:t>
      </w:r>
      <w:r w:rsidR="006844DC" w:rsidRPr="000907D3">
        <w:rPr>
          <w:rFonts w:ascii="Adobe Caslon Pro" w:hAnsi="Adobe Caslon Pro" w:cs="Arial"/>
        </w:rPr>
        <w:t xml:space="preserve"> la conformación del sector de </w:t>
      </w:r>
      <w:r w:rsidR="002F714E">
        <w:rPr>
          <w:rFonts w:ascii="Adobe Caslon Pro" w:hAnsi="Adobe Caslon Pro" w:cs="Arial"/>
        </w:rPr>
        <w:t>OSC</w:t>
      </w:r>
      <w:r w:rsidRPr="000907D3">
        <w:rPr>
          <w:rFonts w:ascii="Adobe Caslon Pro" w:hAnsi="Adobe Caslon Pro" w:cs="Arial"/>
        </w:rPr>
        <w:t xml:space="preserve"> surge a partir de crisis sociales generalizadas, motivadas, por ejemplo, por el rechazo a la corrupción, al abuso de poder, o para organizarse ante desastres naturales. En algunos casos, estos movimientos sociales evolucionan hasta la lucha por la defensa de derechos sociales y económicos o por la búsqueda de espacios públicos para la construcción ciudadana de procesos democráticos. En ese sentido, en el presente apartado se abordarán las ventajas que para una nación trae la participación social organizada de OSC para la atención de población en situación de vulnerabilidad, según la evidencia empírica</w:t>
      </w:r>
      <w:r w:rsidRPr="000907D3">
        <w:rPr>
          <w:rFonts w:ascii="Adobe Caslon Pro" w:hAnsi="Adobe Caslon Pro" w:cs="Arial"/>
          <w:vertAlign w:val="superscript"/>
        </w:rPr>
        <w:footnoteReference w:id="27"/>
      </w:r>
      <w:r w:rsidRPr="000907D3">
        <w:rPr>
          <w:rFonts w:ascii="Adobe Caslon Pro" w:hAnsi="Adobe Caslon Pro" w:cs="Arial"/>
        </w:rPr>
        <w:t xml:space="preserve">. En segundo lugar, se analizará el surgimiento y desarrollo de la participación social organizada en Latinoamérica, en particular las experiencias que dan cuenta de proyectos conjuntos con el </w:t>
      </w:r>
      <w:r w:rsidR="00BE60D4">
        <w:rPr>
          <w:rFonts w:ascii="Adobe Caslon Pro" w:hAnsi="Adobe Caslon Pro" w:cs="Arial"/>
        </w:rPr>
        <w:t>gobierno</w:t>
      </w:r>
      <w:r w:rsidRPr="000907D3">
        <w:rPr>
          <w:rFonts w:ascii="Adobe Caslon Pro" w:hAnsi="Adobe Caslon Pro" w:cs="Arial"/>
        </w:rPr>
        <w:t xml:space="preserve"> para atender a la población en situación de vulnerabilidad.</w:t>
      </w:r>
    </w:p>
    <w:p w:rsidR="0018237B" w:rsidRPr="000907D3" w:rsidRDefault="0018237B" w:rsidP="00AF6629">
      <w:pPr>
        <w:spacing w:after="120"/>
        <w:jc w:val="both"/>
        <w:rPr>
          <w:rFonts w:ascii="Adobe Caslon Pro" w:hAnsi="Adobe Caslon Pro" w:cs="Arial"/>
        </w:rPr>
      </w:pPr>
    </w:p>
    <w:p w:rsidR="00AF6629" w:rsidRDefault="00AF6629" w:rsidP="00AF6629">
      <w:pPr>
        <w:pStyle w:val="Texto"/>
        <w:spacing w:after="120" w:line="276" w:lineRule="auto"/>
        <w:jc w:val="both"/>
        <w:rPr>
          <w:rFonts w:ascii="Adobe Caslon Pro" w:hAnsi="Adobe Caslon Pro"/>
          <w:b/>
          <w:sz w:val="22"/>
          <w:szCs w:val="22"/>
        </w:rPr>
      </w:pPr>
      <w:bookmarkStart w:id="114" w:name="_Toc380855720"/>
      <w:bookmarkStart w:id="115" w:name="_Toc263896843"/>
    </w:p>
    <w:p w:rsidR="00CF536D" w:rsidRPr="00A037D2" w:rsidRDefault="00CF536D" w:rsidP="00AF6629">
      <w:pPr>
        <w:pStyle w:val="Texto"/>
        <w:spacing w:after="120" w:line="276" w:lineRule="auto"/>
        <w:jc w:val="both"/>
        <w:rPr>
          <w:rFonts w:ascii="Adobe Caslon Pro" w:hAnsi="Adobe Caslon Pro"/>
          <w:b/>
          <w:sz w:val="22"/>
          <w:szCs w:val="22"/>
        </w:rPr>
      </w:pPr>
      <w:r w:rsidRPr="00A037D2">
        <w:rPr>
          <w:rFonts w:ascii="Adobe Caslon Pro" w:hAnsi="Adobe Caslon Pro"/>
          <w:b/>
          <w:sz w:val="22"/>
          <w:szCs w:val="22"/>
        </w:rPr>
        <w:lastRenderedPageBreak/>
        <w:t>Fomento a la transparencia y la rendición de cuentas del gobierno</w:t>
      </w:r>
      <w:bookmarkEnd w:id="114"/>
      <w:bookmarkEnd w:id="115"/>
    </w:p>
    <w:p w:rsidR="00CF536D" w:rsidRPr="000907D3" w:rsidRDefault="00CF536D" w:rsidP="00026506">
      <w:pPr>
        <w:spacing w:before="240"/>
        <w:jc w:val="both"/>
        <w:rPr>
          <w:rFonts w:ascii="Adobe Caslon Pro" w:hAnsi="Adobe Caslon Pro" w:cs="Arial"/>
        </w:rPr>
      </w:pPr>
      <w:r w:rsidRPr="000907D3">
        <w:rPr>
          <w:rFonts w:ascii="Adobe Caslon Pro" w:hAnsi="Adobe Caslon Pro" w:cs="Arial"/>
        </w:rPr>
        <w:t>Existen OSC que fomentan y contribuyen a institucionalizar la transparencia y la rendición de cuentas, al vigilar el desempeño de los funcionarios públicos en el uso eficiente y apegado a derecho del gasto público. Las OSC pueden ser fuente de información independiente sobre el diseño y los resultados de las políticas públicas. Para cumplir con esta función de manera más sólida, las condiciones que las OSC deben cumplir son:</w:t>
      </w:r>
    </w:p>
    <w:p w:rsidR="00CF536D" w:rsidRPr="000907D3" w:rsidRDefault="00CF536D" w:rsidP="00026506">
      <w:pPr>
        <w:pStyle w:val="Prrafodelista"/>
        <w:numPr>
          <w:ilvl w:val="0"/>
          <w:numId w:val="21"/>
        </w:numPr>
        <w:autoSpaceDE w:val="0"/>
        <w:autoSpaceDN w:val="0"/>
        <w:adjustRightInd w:val="0"/>
        <w:spacing w:before="240"/>
        <w:jc w:val="both"/>
        <w:rPr>
          <w:rFonts w:ascii="Adobe Caslon Pro" w:hAnsi="Adobe Caslon Pro" w:cs="Arial"/>
        </w:rPr>
      </w:pPr>
      <w:r w:rsidRPr="000907D3">
        <w:rPr>
          <w:rFonts w:ascii="Adobe Caslon Pro" w:hAnsi="Adobe Caslon Pro" w:cs="Arial"/>
        </w:rPr>
        <w:t>Contar con un conocimiento preciso de la legislación, la regulación y los programas públicos, así como de los objetivos, indicadores del desempeño de las políticas y estrategias públicas;</w:t>
      </w:r>
    </w:p>
    <w:p w:rsidR="00CF536D" w:rsidRPr="000907D3" w:rsidRDefault="00AF6629" w:rsidP="00026506">
      <w:pPr>
        <w:pStyle w:val="Prrafodelista"/>
        <w:numPr>
          <w:ilvl w:val="0"/>
          <w:numId w:val="21"/>
        </w:numPr>
        <w:autoSpaceDE w:val="0"/>
        <w:autoSpaceDN w:val="0"/>
        <w:adjustRightInd w:val="0"/>
        <w:spacing w:before="240"/>
        <w:jc w:val="both"/>
        <w:rPr>
          <w:rFonts w:ascii="Adobe Caslon Pro" w:hAnsi="Adobe Caslon Pro" w:cs="Arial"/>
        </w:rPr>
      </w:pPr>
      <w:r>
        <w:rPr>
          <w:rFonts w:ascii="Adobe Caslon Pro" w:hAnsi="Adobe Caslon Pro" w:cs="Arial"/>
        </w:rPr>
        <w:t>I</w:t>
      </w:r>
      <w:r w:rsidR="00CF536D" w:rsidRPr="000907D3">
        <w:rPr>
          <w:rFonts w:ascii="Adobe Caslon Pro" w:hAnsi="Adobe Caslon Pro" w:cs="Arial"/>
        </w:rPr>
        <w:t xml:space="preserve">nvestigar y sistematizar evidencia sobre los resultados e impactos de las políticas públicas; </w:t>
      </w:r>
    </w:p>
    <w:p w:rsidR="00CF536D" w:rsidRPr="000907D3" w:rsidRDefault="00AF6629" w:rsidP="00026506">
      <w:pPr>
        <w:pStyle w:val="Prrafodelista"/>
        <w:numPr>
          <w:ilvl w:val="0"/>
          <w:numId w:val="21"/>
        </w:numPr>
        <w:autoSpaceDE w:val="0"/>
        <w:autoSpaceDN w:val="0"/>
        <w:adjustRightInd w:val="0"/>
        <w:spacing w:before="240"/>
        <w:jc w:val="both"/>
        <w:rPr>
          <w:rFonts w:ascii="Adobe Caslon Pro" w:hAnsi="Adobe Caslon Pro" w:cs="Arial"/>
        </w:rPr>
      </w:pPr>
      <w:r>
        <w:rPr>
          <w:rFonts w:ascii="Adobe Caslon Pro" w:hAnsi="Adobe Caslon Pro" w:cs="Arial"/>
        </w:rPr>
        <w:t>D</w:t>
      </w:r>
      <w:r w:rsidR="00CF536D" w:rsidRPr="000907D3">
        <w:rPr>
          <w:rFonts w:ascii="Adobe Caslon Pro" w:hAnsi="Adobe Caslon Pro" w:cs="Arial"/>
        </w:rPr>
        <w:t>ifundir la evidencia de resultados e impactos, identificando duplicidades, incompetencias, encubrimientos, contradicciones y desviaciones en</w:t>
      </w:r>
      <w:r>
        <w:rPr>
          <w:rFonts w:ascii="Adobe Caslon Pro" w:hAnsi="Adobe Caslon Pro" w:cs="Arial"/>
        </w:rPr>
        <w:t>tre los estándares prescritos en</w:t>
      </w:r>
      <w:r w:rsidR="00CF536D" w:rsidRPr="000907D3">
        <w:rPr>
          <w:rFonts w:ascii="Adobe Caslon Pro" w:hAnsi="Adobe Caslon Pro" w:cs="Arial"/>
        </w:rPr>
        <w:t xml:space="preserve"> la ley o política pública y lo que realmente sucede en la práctica.</w:t>
      </w:r>
    </w:p>
    <w:p w:rsidR="00CF536D" w:rsidRPr="000907D3" w:rsidRDefault="00CF536D" w:rsidP="00AF1C41">
      <w:pPr>
        <w:autoSpaceDE w:val="0"/>
        <w:autoSpaceDN w:val="0"/>
        <w:adjustRightInd w:val="0"/>
        <w:spacing w:after="120"/>
        <w:jc w:val="both"/>
        <w:rPr>
          <w:rFonts w:ascii="Adobe Caslon Pro" w:hAnsi="Adobe Caslon Pro" w:cs="Arial"/>
        </w:rPr>
      </w:pPr>
      <w:r w:rsidRPr="000907D3">
        <w:rPr>
          <w:rFonts w:ascii="Adobe Caslon Pro" w:hAnsi="Adobe Caslon Pro" w:cs="Arial"/>
        </w:rPr>
        <w:t xml:space="preserve">Si un gobierno democrático considera estratégico contar con una contraloría social y participativa informada que genere una atmósfera de rendición de cuentas y que inhiba la corrupción e impunidad, debe invertir lo suficiente para que las OSC cuenten con las tres capacidades descritas. </w:t>
      </w:r>
    </w:p>
    <w:p w:rsidR="00CF536D" w:rsidRPr="000907D3" w:rsidRDefault="00CF536D" w:rsidP="00AF1C41">
      <w:pPr>
        <w:autoSpaceDE w:val="0"/>
        <w:autoSpaceDN w:val="0"/>
        <w:adjustRightInd w:val="0"/>
        <w:spacing w:after="120"/>
        <w:jc w:val="both"/>
        <w:rPr>
          <w:rFonts w:ascii="Adobe Caslon Pro" w:hAnsi="Adobe Caslon Pro" w:cs="Arial"/>
        </w:rPr>
      </w:pPr>
    </w:p>
    <w:p w:rsidR="00CF536D" w:rsidRPr="00A037D2" w:rsidRDefault="00CF536D" w:rsidP="00AF1C41">
      <w:pPr>
        <w:spacing w:after="120"/>
        <w:jc w:val="both"/>
        <w:rPr>
          <w:rFonts w:ascii="Adobe Caslon Pro" w:hAnsi="Adobe Caslon Pro" w:cs="Arial"/>
          <w:b/>
        </w:rPr>
      </w:pPr>
      <w:bookmarkStart w:id="116" w:name="_Toc380855721"/>
      <w:bookmarkStart w:id="117" w:name="_Toc263896844"/>
      <w:r w:rsidRPr="00A037D2">
        <w:rPr>
          <w:rFonts w:ascii="Adobe Caslon Pro" w:hAnsi="Adobe Caslon Pro" w:cs="Arial"/>
          <w:b/>
        </w:rPr>
        <w:t>Promoción y defens</w:t>
      </w:r>
      <w:r w:rsidR="00DA11FA" w:rsidRPr="00A037D2">
        <w:rPr>
          <w:rFonts w:ascii="Adobe Caslon Pro" w:hAnsi="Adobe Caslon Pro" w:cs="Arial"/>
          <w:b/>
        </w:rPr>
        <w:t>a de los derechos humanos y el estado de d</w:t>
      </w:r>
      <w:r w:rsidRPr="00A037D2">
        <w:rPr>
          <w:rFonts w:ascii="Adobe Caslon Pro" w:hAnsi="Adobe Caslon Pro" w:cs="Arial"/>
          <w:b/>
        </w:rPr>
        <w:t>erecho</w:t>
      </w:r>
      <w:bookmarkEnd w:id="116"/>
      <w:bookmarkEnd w:id="117"/>
    </w:p>
    <w:p w:rsidR="00CF536D" w:rsidRPr="000907D3" w:rsidRDefault="00CF536D" w:rsidP="00026506">
      <w:pPr>
        <w:spacing w:before="240"/>
        <w:jc w:val="both"/>
        <w:rPr>
          <w:rFonts w:ascii="Adobe Caslon Pro" w:hAnsi="Adobe Caslon Pro" w:cs="Arial"/>
        </w:rPr>
      </w:pPr>
      <w:r w:rsidRPr="000907D3">
        <w:rPr>
          <w:rFonts w:ascii="Adobe Caslon Pro" w:hAnsi="Adobe Caslon Pro" w:cs="Arial"/>
        </w:rPr>
        <w:t>Las OSC típicamente encabezan la agenda de defensa y promoción de los derechos humanos. De hecho, algunas organizaciones ofrecen defensa legal de individuos, grupos o casos para influir, por medio de sentencias, política pública, presencia en medios, redes sociales y a través de jurisprudencia que ayude a una mejor defensa de grupos vulnerables como mujeres, niños y personas de escasos recursos. En este grupo, las OSC se caracterizan por intervenir en la defensa legal, llevar a cabo programas integrales de combate a la violencia, que contienen metodologías preventivas y otras que inciden en el fortalecimiento del tejido social.</w:t>
      </w:r>
    </w:p>
    <w:p w:rsidR="00CF536D" w:rsidRDefault="00CF536D" w:rsidP="00026506">
      <w:pPr>
        <w:spacing w:before="240"/>
        <w:jc w:val="both"/>
        <w:rPr>
          <w:rFonts w:ascii="Adobe Caslon Pro" w:hAnsi="Adobe Caslon Pro" w:cs="Arial"/>
        </w:rPr>
      </w:pPr>
      <w:r w:rsidRPr="000907D3">
        <w:rPr>
          <w:rFonts w:ascii="Adobe Caslon Pro" w:hAnsi="Adobe Caslon Pro" w:cs="Arial"/>
        </w:rPr>
        <w:t xml:space="preserve">En los últimos años, la creciente relevancia de las redes sociales, da a las OSC una oportunidad y fortaleza sin precedentes para generar un contrapeso ante las probables violaciones de derechos humanos, sociales o económicos. Es un fenómeno que multiplica en forma viral la voz de quienes se sienten identificados con la defensa de esas causas. De tal manera que en algunos casos, han tenido suficiente fuerza para hacer visibles </w:t>
      </w:r>
      <w:r w:rsidRPr="000907D3">
        <w:rPr>
          <w:rFonts w:ascii="Adobe Caslon Pro" w:hAnsi="Adobe Caslon Pro" w:cs="Arial"/>
        </w:rPr>
        <w:lastRenderedPageBreak/>
        <w:t xml:space="preserve">casos de violación de derechos, que </w:t>
      </w:r>
      <w:r w:rsidR="007D662B">
        <w:rPr>
          <w:rFonts w:ascii="Adobe Caslon Pro" w:hAnsi="Adobe Caslon Pro" w:cs="Arial"/>
        </w:rPr>
        <w:t xml:space="preserve">se </w:t>
      </w:r>
      <w:r w:rsidRPr="000907D3">
        <w:rPr>
          <w:rFonts w:ascii="Adobe Caslon Pro" w:hAnsi="Adobe Caslon Pro" w:cs="Arial"/>
        </w:rPr>
        <w:t>hace muy costoso ignorar o no atender por parte de autoridades, infractores o poderes fácticos.</w:t>
      </w:r>
    </w:p>
    <w:p w:rsidR="00CF536D" w:rsidRDefault="00CF536D" w:rsidP="003A1016">
      <w:pPr>
        <w:spacing w:after="120"/>
        <w:jc w:val="both"/>
        <w:rPr>
          <w:rFonts w:ascii="Adobe Caslon Pro" w:hAnsi="Adobe Caslon Pro" w:cs="Arial"/>
        </w:rPr>
      </w:pPr>
      <w:r w:rsidRPr="000907D3">
        <w:rPr>
          <w:rFonts w:ascii="Adobe Caslon Pro" w:hAnsi="Adobe Caslon Pro" w:cs="Arial"/>
        </w:rPr>
        <w:t>Por otro lado, mediante la vigilancia de los derechos humanos y la denuncia de violaciones, las OSC presionan para que se cumplan las leyes existentes y se garantice el debido proceso. Mediante ejercicios de monitoreo, las OSC establecen límites al abuso de poder, garantizan el estado de derecho de un régimen democrático e inciden en la elaboración de políticas públicas que garanticen el cumplimiento de los derechos humanos.</w:t>
      </w:r>
    </w:p>
    <w:p w:rsidR="0018237B" w:rsidRPr="000907D3" w:rsidRDefault="0018237B" w:rsidP="003A1016">
      <w:pPr>
        <w:spacing w:after="120"/>
        <w:jc w:val="both"/>
        <w:rPr>
          <w:rFonts w:ascii="Adobe Caslon Pro" w:hAnsi="Adobe Caslon Pro" w:cs="Arial"/>
        </w:rPr>
      </w:pPr>
    </w:p>
    <w:p w:rsidR="00CF536D" w:rsidRPr="00A037D2" w:rsidRDefault="00CF536D" w:rsidP="003A1016">
      <w:pPr>
        <w:pStyle w:val="Texto"/>
        <w:spacing w:after="120" w:line="276" w:lineRule="auto"/>
        <w:jc w:val="both"/>
        <w:rPr>
          <w:rFonts w:ascii="Adobe Caslon Pro" w:eastAsia="Calibri" w:hAnsi="Adobe Caslon Pro" w:cs="Arial"/>
          <w:b/>
          <w:color w:val="auto"/>
          <w:sz w:val="22"/>
          <w:szCs w:val="22"/>
          <w:lang w:val="es-MX" w:eastAsia="en-US"/>
        </w:rPr>
      </w:pPr>
      <w:bookmarkStart w:id="118" w:name="_Toc380855722"/>
      <w:bookmarkStart w:id="119" w:name="_Toc263896845"/>
      <w:r w:rsidRPr="00A037D2">
        <w:rPr>
          <w:rFonts w:ascii="Adobe Caslon Pro" w:eastAsia="Calibri" w:hAnsi="Adobe Caslon Pro" w:cs="Arial"/>
          <w:b/>
          <w:color w:val="auto"/>
          <w:sz w:val="22"/>
          <w:szCs w:val="22"/>
          <w:lang w:val="es-MX" w:eastAsia="en-US"/>
        </w:rPr>
        <w:t>Contribución a la formulación, financiamiento y prestación de servicios públicos</w:t>
      </w:r>
      <w:bookmarkEnd w:id="118"/>
      <w:bookmarkEnd w:id="119"/>
    </w:p>
    <w:p w:rsidR="00CF536D" w:rsidRDefault="00CF536D" w:rsidP="00026506">
      <w:pPr>
        <w:spacing w:before="240"/>
        <w:jc w:val="both"/>
        <w:rPr>
          <w:rFonts w:ascii="Adobe Caslon Pro" w:hAnsi="Adobe Caslon Pro" w:cs="Arial"/>
        </w:rPr>
      </w:pPr>
      <w:r w:rsidRPr="000907D3">
        <w:rPr>
          <w:rFonts w:ascii="Adobe Caslon Pro" w:hAnsi="Adobe Caslon Pro" w:cs="Arial"/>
        </w:rPr>
        <w:t xml:space="preserve">Una parte sustantiva del quehacer de las OSC es aportar a la formulación, financiamiento y prestación directa de servicios públicos, ante la insatisfacción creciente de la provisión de servicios por parte del gobierno. La prestación directa de servicios públicos, a cargo de OSC, se puede instrumentar de manera independiente o paralela a los programas gubernamentales. Estados modernos y progresistas han sabido sacar partido de las ventajas de la colaboración </w:t>
      </w:r>
      <w:r w:rsidR="00BE60D4">
        <w:rPr>
          <w:rFonts w:ascii="Adobe Caslon Pro" w:hAnsi="Adobe Caslon Pro" w:cs="Arial"/>
        </w:rPr>
        <w:t>gobierno</w:t>
      </w:r>
      <w:r w:rsidR="003A1016">
        <w:rPr>
          <w:rFonts w:ascii="Adobe Caslon Pro" w:hAnsi="Adobe Caslon Pro" w:cs="Arial"/>
        </w:rPr>
        <w:t>-sociedad c</w:t>
      </w:r>
      <w:r w:rsidRPr="000907D3">
        <w:rPr>
          <w:rFonts w:ascii="Adobe Caslon Pro" w:hAnsi="Adobe Caslon Pro" w:cs="Arial"/>
        </w:rPr>
        <w:t xml:space="preserve">ivil organizada para potenciar los resultados de las políticas públicas y han generado normas e instrumentos para establecer con ellas mecanismos de colaboración. </w:t>
      </w:r>
    </w:p>
    <w:p w:rsidR="00CF536D" w:rsidRDefault="00CF536D" w:rsidP="00026506">
      <w:pPr>
        <w:spacing w:before="240"/>
        <w:jc w:val="both"/>
        <w:rPr>
          <w:rFonts w:ascii="Adobe Caslon Pro" w:hAnsi="Adobe Caslon Pro" w:cs="Arial"/>
        </w:rPr>
      </w:pPr>
      <w:r w:rsidRPr="000907D3">
        <w:rPr>
          <w:rFonts w:ascii="Adobe Caslon Pro" w:hAnsi="Adobe Caslon Pro" w:cs="Arial"/>
        </w:rPr>
        <w:t>Debido al acercamiento que tienen las OSC con la población, a su flexibilidad gerencial y</w:t>
      </w:r>
      <w:r w:rsidR="00EE1BFC">
        <w:rPr>
          <w:rFonts w:ascii="Adobe Caslon Pro" w:hAnsi="Adobe Caslon Pro" w:cs="Arial"/>
        </w:rPr>
        <w:t xml:space="preserve"> </w:t>
      </w:r>
      <w:r w:rsidRPr="000907D3">
        <w:rPr>
          <w:rFonts w:ascii="Adobe Caslon Pro" w:hAnsi="Adobe Caslon Pro" w:cs="Arial"/>
        </w:rPr>
        <w:t>mayor capacidad de respuesta, pueden llegar a prestar servicios públicos con mayor eficacia, y calidad que el gobierno, pero naturalmente a menor escala. Adicionalmente, las OSC utilizan enfoques que vinculan los derechos universales con el reconocimiento de una diversidad de necesidades en la provisión de servicios sociales; aumentando las posibilidades de que el Estado se comprometa con la garantía de los derechos sociales, de modo mucho más participativo y permeable al control social (Morales, 1998, p. 133).</w:t>
      </w:r>
    </w:p>
    <w:p w:rsidR="00CF536D" w:rsidRPr="000907D3" w:rsidRDefault="00CF536D" w:rsidP="00026506">
      <w:pPr>
        <w:spacing w:before="240"/>
        <w:jc w:val="both"/>
        <w:rPr>
          <w:rFonts w:ascii="Adobe Caslon Pro" w:hAnsi="Adobe Caslon Pro" w:cs="Arial"/>
        </w:rPr>
      </w:pPr>
      <w:r w:rsidRPr="000907D3">
        <w:rPr>
          <w:rFonts w:ascii="Adobe Caslon Pro" w:hAnsi="Adobe Caslon Pro" w:cs="Arial"/>
        </w:rPr>
        <w:t xml:space="preserve">Los costos de la prestación de servicios sociales, frecuentemente son menores en las OSC que en el </w:t>
      </w:r>
      <w:r w:rsidR="00BE60D4">
        <w:rPr>
          <w:rFonts w:ascii="Adobe Caslon Pro" w:hAnsi="Adobe Caslon Pro" w:cs="Arial"/>
        </w:rPr>
        <w:t>gobierno</w:t>
      </w:r>
      <w:r w:rsidRPr="000907D3">
        <w:rPr>
          <w:rFonts w:ascii="Adobe Caslon Pro" w:hAnsi="Adobe Caslon Pro" w:cs="Arial"/>
        </w:rPr>
        <w:t>, por al menos tres factores:</w:t>
      </w:r>
    </w:p>
    <w:p w:rsidR="00CF536D" w:rsidRPr="000907D3" w:rsidRDefault="00CF536D" w:rsidP="00026506">
      <w:pPr>
        <w:pStyle w:val="Prrafodelista"/>
        <w:numPr>
          <w:ilvl w:val="0"/>
          <w:numId w:val="22"/>
        </w:numPr>
        <w:autoSpaceDE w:val="0"/>
        <w:autoSpaceDN w:val="0"/>
        <w:adjustRightInd w:val="0"/>
        <w:spacing w:before="240"/>
        <w:jc w:val="both"/>
        <w:rPr>
          <w:rFonts w:ascii="Adobe Caslon Pro" w:hAnsi="Adobe Caslon Pro" w:cs="Arial"/>
        </w:rPr>
      </w:pPr>
      <w:r w:rsidRPr="000907D3">
        <w:rPr>
          <w:rFonts w:ascii="Adobe Caslon Pro" w:hAnsi="Adobe Caslon Pro" w:cs="Arial"/>
        </w:rPr>
        <w:t>Lo más común es que su personal cuente con una ética o motivación social, con disponibilidad de trabajar más horas, en lugares más lejanos, por un menor salario o, porque incorporan el trabajo voluntario de personas que dedican tiempo y energía sin recibir remuneración.</w:t>
      </w:r>
    </w:p>
    <w:p w:rsidR="00CF536D" w:rsidRPr="000907D3" w:rsidRDefault="00CF536D" w:rsidP="00026506">
      <w:pPr>
        <w:pStyle w:val="Prrafodelista"/>
        <w:numPr>
          <w:ilvl w:val="0"/>
          <w:numId w:val="22"/>
        </w:numPr>
        <w:autoSpaceDE w:val="0"/>
        <w:autoSpaceDN w:val="0"/>
        <w:adjustRightInd w:val="0"/>
        <w:spacing w:before="240"/>
        <w:jc w:val="both"/>
        <w:rPr>
          <w:rFonts w:ascii="Adobe Caslon Pro" w:hAnsi="Adobe Caslon Pro" w:cs="Arial"/>
        </w:rPr>
      </w:pPr>
      <w:r w:rsidRPr="000907D3">
        <w:rPr>
          <w:rFonts w:ascii="Adobe Caslon Pro" w:hAnsi="Adobe Caslon Pro" w:cs="Arial"/>
        </w:rPr>
        <w:t xml:space="preserve">Son más flexibles y diseñan paquetes “a la medida” del problema identificado. </w:t>
      </w:r>
    </w:p>
    <w:p w:rsidR="00CF536D" w:rsidRPr="000907D3" w:rsidRDefault="00CF536D" w:rsidP="00437E95">
      <w:pPr>
        <w:pStyle w:val="Prrafodelista"/>
        <w:numPr>
          <w:ilvl w:val="0"/>
          <w:numId w:val="22"/>
        </w:numPr>
        <w:autoSpaceDE w:val="0"/>
        <w:autoSpaceDN w:val="0"/>
        <w:adjustRightInd w:val="0"/>
        <w:spacing w:after="120"/>
        <w:jc w:val="both"/>
        <w:rPr>
          <w:rFonts w:ascii="Adobe Caslon Pro" w:eastAsiaTheme="majorEastAsia" w:hAnsi="Adobe Caslon Pro" w:cs="Arial"/>
          <w:b/>
          <w:bCs/>
          <w:color w:val="000000" w:themeColor="text1"/>
        </w:rPr>
      </w:pPr>
      <w:r w:rsidRPr="000907D3">
        <w:rPr>
          <w:rFonts w:ascii="Adobe Caslon Pro" w:hAnsi="Adobe Caslon Pro" w:cs="Arial"/>
        </w:rPr>
        <w:lastRenderedPageBreak/>
        <w:t>Generalmente existe una competencia entre organizaciones por financiamientos, donaciones y contratos que asegura</w:t>
      </w:r>
      <w:r w:rsidR="000220C3" w:rsidRPr="000907D3">
        <w:rPr>
          <w:rFonts w:ascii="Adobe Caslon Pro" w:hAnsi="Adobe Caslon Pro" w:cs="Arial"/>
        </w:rPr>
        <w:t>n</w:t>
      </w:r>
      <w:r w:rsidRPr="000907D3">
        <w:rPr>
          <w:rFonts w:ascii="Adobe Caslon Pro" w:hAnsi="Adobe Caslon Pro" w:cs="Arial"/>
        </w:rPr>
        <w:t xml:space="preserve"> mejores proyectos y menores costos.</w:t>
      </w:r>
    </w:p>
    <w:p w:rsidR="00437E95" w:rsidRDefault="00437E95" w:rsidP="00437E95">
      <w:pPr>
        <w:pStyle w:val="Texto"/>
        <w:spacing w:after="120" w:line="276" w:lineRule="auto"/>
        <w:jc w:val="both"/>
        <w:rPr>
          <w:rFonts w:ascii="Adobe Caslon Pro" w:eastAsia="Calibri" w:hAnsi="Adobe Caslon Pro" w:cs="Arial"/>
          <w:b/>
          <w:color w:val="auto"/>
          <w:sz w:val="22"/>
          <w:szCs w:val="22"/>
          <w:lang w:val="es-MX" w:eastAsia="en-US"/>
        </w:rPr>
      </w:pPr>
      <w:bookmarkStart w:id="120" w:name="_Toc380855723"/>
      <w:bookmarkStart w:id="121" w:name="_Toc263896846"/>
    </w:p>
    <w:p w:rsidR="00CF536D" w:rsidRPr="00A037D2" w:rsidRDefault="00CF536D" w:rsidP="00437E95">
      <w:pPr>
        <w:pStyle w:val="Texto"/>
        <w:spacing w:after="120" w:line="276" w:lineRule="auto"/>
        <w:jc w:val="both"/>
        <w:rPr>
          <w:rFonts w:ascii="Adobe Caslon Pro" w:eastAsia="Calibri" w:hAnsi="Adobe Caslon Pro" w:cs="Arial"/>
          <w:b/>
          <w:color w:val="auto"/>
          <w:sz w:val="22"/>
          <w:szCs w:val="22"/>
          <w:lang w:val="es-MX" w:eastAsia="en-US"/>
        </w:rPr>
      </w:pPr>
      <w:r w:rsidRPr="00A037D2">
        <w:rPr>
          <w:rFonts w:ascii="Adobe Caslon Pro" w:eastAsia="Calibri" w:hAnsi="Adobe Caslon Pro" w:cs="Arial"/>
          <w:b/>
          <w:color w:val="auto"/>
          <w:sz w:val="22"/>
          <w:szCs w:val="22"/>
          <w:lang w:val="es-MX" w:eastAsia="en-US"/>
        </w:rPr>
        <w:t>Promoción de la participación de los sectores más pobres y excluidos en las políticas públicas y la toma de decisiones</w:t>
      </w:r>
      <w:bookmarkEnd w:id="120"/>
      <w:bookmarkEnd w:id="121"/>
    </w:p>
    <w:p w:rsidR="00CF536D" w:rsidRPr="000907D3" w:rsidRDefault="00CF536D" w:rsidP="00026506">
      <w:pPr>
        <w:autoSpaceDE w:val="0"/>
        <w:autoSpaceDN w:val="0"/>
        <w:adjustRightInd w:val="0"/>
        <w:spacing w:before="240"/>
        <w:jc w:val="both"/>
        <w:rPr>
          <w:rFonts w:ascii="Adobe Caslon Pro" w:hAnsi="Adobe Caslon Pro" w:cs="Arial"/>
        </w:rPr>
      </w:pPr>
      <w:r w:rsidRPr="000907D3">
        <w:rPr>
          <w:rFonts w:ascii="Adobe Caslon Pro" w:hAnsi="Adobe Caslon Pro" w:cs="Arial"/>
        </w:rPr>
        <w:t xml:space="preserve">Es frecuente que algunas OSC orienten su esfuerzo a fortalecer la organización de los sectores marginados, para construir una fuerza colectiva que modifique las condiciones de desigualdad y vulnerabilidad en que viven las personas que </w:t>
      </w:r>
      <w:r w:rsidR="00C70474" w:rsidRPr="000907D3">
        <w:rPr>
          <w:rFonts w:ascii="Adobe Caslon Pro" w:hAnsi="Adobe Caslon Pro" w:cs="Arial"/>
        </w:rPr>
        <w:t xml:space="preserve">se encuentran </w:t>
      </w:r>
      <w:r w:rsidRPr="000907D3">
        <w:rPr>
          <w:rFonts w:ascii="Adobe Caslon Pro" w:hAnsi="Adobe Caslon Pro" w:cs="Arial"/>
        </w:rPr>
        <w:t>en zonas marginadas. En su papel de agentes externos, las organizaciones promueven procesos de concientización entre los más pobres y marginados para que se organicen, articulen sus demandas, manejen los dilemas de la acción colectiva y fortalezcan su capital social.</w:t>
      </w:r>
    </w:p>
    <w:p w:rsidR="00CF536D" w:rsidRPr="000907D3" w:rsidRDefault="00CF536D" w:rsidP="00026506">
      <w:pPr>
        <w:autoSpaceDE w:val="0"/>
        <w:autoSpaceDN w:val="0"/>
        <w:adjustRightInd w:val="0"/>
        <w:spacing w:before="240"/>
        <w:jc w:val="both"/>
        <w:rPr>
          <w:rFonts w:ascii="Adobe Caslon Pro" w:hAnsi="Adobe Caslon Pro" w:cs="Arial"/>
        </w:rPr>
      </w:pPr>
      <w:r w:rsidRPr="000907D3">
        <w:rPr>
          <w:rFonts w:ascii="Adobe Caslon Pro" w:hAnsi="Adobe Caslon Pro" w:cs="Arial"/>
        </w:rPr>
        <w:t>Con su intervención, las OSC buscan promover visiones alternativas de desarrollo y fomentar la pluralidad. Las OSC proveen apoyo invaluable para establecer procesos y reglas para la discusión y toma de decisiones colectivas, el manejo interno de conflictos, la formación de un liderazgo que rinda cuentas y responda a los miembros de la organización y el establecimiento de límites a la corrupción y a prácticas como el compadrazgo y/o el nepotismo.</w:t>
      </w:r>
    </w:p>
    <w:p w:rsidR="00CF536D" w:rsidRPr="000907D3" w:rsidRDefault="00CF536D" w:rsidP="00026506">
      <w:pPr>
        <w:autoSpaceDE w:val="0"/>
        <w:autoSpaceDN w:val="0"/>
        <w:adjustRightInd w:val="0"/>
        <w:spacing w:before="240"/>
        <w:jc w:val="both"/>
        <w:rPr>
          <w:rFonts w:ascii="Adobe Caslon Pro" w:hAnsi="Adobe Caslon Pro" w:cs="Arial"/>
        </w:rPr>
      </w:pPr>
      <w:r w:rsidRPr="000907D3">
        <w:rPr>
          <w:rFonts w:ascii="Adobe Caslon Pro" w:hAnsi="Adobe Caslon Pro" w:cs="Arial"/>
        </w:rPr>
        <w:t>Con el objeto de promover la eficacia y sostenibilidad de las iniciativas de desarrollo, las OSC buscan fortalecer redes e instituciones sociales, reconstruir el tejido social y fortalecer el capital social en las organizaciones y comunidades con las que trabajan. Estos ingredientes son indispensables en políticas sociales de combate a la pobreza o basadas en el desarrollo de esquemas de economía social.</w:t>
      </w:r>
    </w:p>
    <w:p w:rsidR="00CF536D" w:rsidRDefault="00CF536D" w:rsidP="001B0FEB">
      <w:pPr>
        <w:spacing w:after="120"/>
        <w:jc w:val="both"/>
        <w:rPr>
          <w:rFonts w:ascii="Adobe Caslon Pro" w:hAnsi="Adobe Caslon Pro" w:cs="Arial"/>
        </w:rPr>
      </w:pPr>
      <w:r w:rsidRPr="000907D3">
        <w:rPr>
          <w:rFonts w:ascii="Adobe Caslon Pro" w:hAnsi="Adobe Caslon Pro" w:cs="Arial"/>
        </w:rPr>
        <w:t xml:space="preserve">La utilización de estos recursos puede contribuir a una estrategia de desarrollo efectiva y, particularmente, la promoción del capital social se ha relacionado con un mayor éxito en la agenda de combate a la pobreza. Además de la representación de demandas de los grupos más pobres ante el gobierno, los procesos de auto-organización son imprescindibles para contrarrestar las estructuras de poder locales, ya sean políticas, comerciales o culturales que representan obstáculos para el desarrollo de las personas en situación de vulnerabilidad. En zonas rurales, estas organizaciones de productores ayudan a crear economías de escala para la comercialización colectiva de sus productos, fortaleciendo a los productores para evitar el intermediarismo o dejar de depender de los préstamos y el poder del cacique. Las OSC, en esta dirección llamada de economía </w:t>
      </w:r>
      <w:r w:rsidRPr="000907D3">
        <w:rPr>
          <w:rFonts w:ascii="Adobe Caslon Pro" w:hAnsi="Adobe Caslon Pro" w:cs="Arial"/>
        </w:rPr>
        <w:lastRenderedPageBreak/>
        <w:t>solidaria, han apoyado a estas organizaciones sociales con la identificación de alternativas de valor agregado a su producción, esquemas e infraestructura para la comercialización y opciones de mercado vinculadas al comercio justo y orgánico.</w:t>
      </w:r>
    </w:p>
    <w:p w:rsidR="0018237B" w:rsidRPr="000907D3" w:rsidRDefault="0018237B" w:rsidP="001B0FEB">
      <w:pPr>
        <w:spacing w:after="120"/>
        <w:jc w:val="both"/>
        <w:rPr>
          <w:rFonts w:ascii="Adobe Caslon Pro" w:hAnsi="Adobe Caslon Pro" w:cs="Arial"/>
        </w:rPr>
      </w:pPr>
    </w:p>
    <w:p w:rsidR="00CF536D" w:rsidRPr="00A037D2" w:rsidRDefault="00CF536D" w:rsidP="001B0FEB">
      <w:pPr>
        <w:pStyle w:val="Texto"/>
        <w:spacing w:after="120" w:line="276" w:lineRule="auto"/>
        <w:jc w:val="both"/>
        <w:rPr>
          <w:rFonts w:ascii="Adobe Caslon Pro" w:hAnsi="Adobe Caslon Pro"/>
          <w:b/>
          <w:sz w:val="22"/>
          <w:szCs w:val="22"/>
        </w:rPr>
      </w:pPr>
      <w:bookmarkStart w:id="122" w:name="_Toc380855724"/>
      <w:bookmarkStart w:id="123" w:name="_Toc263896847"/>
      <w:r w:rsidRPr="00A037D2">
        <w:rPr>
          <w:rFonts w:ascii="Adobe Caslon Pro" w:hAnsi="Adobe Caslon Pro"/>
          <w:b/>
          <w:sz w:val="22"/>
          <w:szCs w:val="22"/>
        </w:rPr>
        <w:t>Incorporación de más actores privados a la esfera pública</w:t>
      </w:r>
      <w:bookmarkEnd w:id="122"/>
      <w:bookmarkEnd w:id="123"/>
    </w:p>
    <w:p w:rsidR="00CF536D" w:rsidRPr="000907D3" w:rsidRDefault="00CF536D" w:rsidP="00026506">
      <w:pPr>
        <w:autoSpaceDE w:val="0"/>
        <w:autoSpaceDN w:val="0"/>
        <w:adjustRightInd w:val="0"/>
        <w:spacing w:before="240"/>
        <w:jc w:val="both"/>
        <w:rPr>
          <w:rFonts w:ascii="Adobe Caslon Pro" w:hAnsi="Adobe Caslon Pro" w:cs="Arial"/>
        </w:rPr>
      </w:pPr>
      <w:r w:rsidRPr="000907D3">
        <w:rPr>
          <w:rFonts w:ascii="Adobe Caslon Pro" w:hAnsi="Adobe Caslon Pro" w:cs="Arial"/>
        </w:rPr>
        <w:t>Las OSC incorporan a más actores privados a la arena pública, principalmente fomentando las donaciones privadas y el trabajo voluntario en la promoción del desarrollo social. Las actividades caritativas ante las necesidades sociales, de parte de las organizaciones religiosas o de particulares, han sido importantes en la trayectoria del sector de OSC en varios países.</w:t>
      </w:r>
    </w:p>
    <w:p w:rsidR="00CF536D" w:rsidRPr="000907D3" w:rsidRDefault="00CF536D" w:rsidP="00026506">
      <w:pPr>
        <w:autoSpaceDE w:val="0"/>
        <w:autoSpaceDN w:val="0"/>
        <w:adjustRightInd w:val="0"/>
        <w:spacing w:before="240"/>
        <w:jc w:val="both"/>
        <w:rPr>
          <w:rFonts w:ascii="Adobe Caslon Pro" w:hAnsi="Adobe Caslon Pro" w:cs="Arial"/>
        </w:rPr>
      </w:pPr>
      <w:r w:rsidRPr="000907D3">
        <w:rPr>
          <w:rFonts w:ascii="Adobe Caslon Pro" w:hAnsi="Adobe Caslon Pro" w:cs="Arial"/>
        </w:rPr>
        <w:t>Otra forma en que las OSC incluyen más actores en la escena pública es promoviendo el trabajo voluntario, ya que involucran a más personas en la solución de problemas públicos, fomentando al mismo tiempo un conjunto de valores cívicos y de responsabilidad social. Adicionalmente, las organizaciones diseñan y promueven campañas de educación entre la sociedad en general, sensibilizándola sobre ciertas causas públicas, como la protección del medio ambiente, la ética y la participación cívica o la reivindicación de los derechos humanos. Es frecuente que estos temas sean poco tratados en la educación formal o que una vez que las personas salen del sistema escolarizado no sean expuestos a estos asuntos.</w:t>
      </w:r>
      <w:r w:rsidRPr="000907D3">
        <w:rPr>
          <w:rStyle w:val="Refdenotaalpie"/>
          <w:rFonts w:ascii="Adobe Caslon Pro" w:hAnsi="Adobe Caslon Pro" w:cs="Arial"/>
        </w:rPr>
        <w:footnoteReference w:id="28"/>
      </w:r>
    </w:p>
    <w:p w:rsidR="00CF536D" w:rsidRPr="000907D3" w:rsidRDefault="00CF536D" w:rsidP="00C023BC">
      <w:pPr>
        <w:spacing w:after="120"/>
        <w:jc w:val="both"/>
        <w:rPr>
          <w:rFonts w:ascii="Adobe Caslon Pro" w:hAnsi="Adobe Caslon Pro" w:cs="Arial"/>
        </w:rPr>
      </w:pPr>
      <w:r w:rsidRPr="000907D3">
        <w:rPr>
          <w:rFonts w:ascii="Adobe Caslon Pro" w:hAnsi="Adobe Caslon Pro" w:cs="Arial"/>
        </w:rPr>
        <w:t>Adicionalmente, el tamaño y la flexibilidad de las OSC permiten atender de manera más expedita, necesidades particulares de algunos grupos sociales a los que las OSC se encuentran cercanas. En la atención de estrategias generales y enfocadas a atender a sectores amplios de la población, la intervención gubernamental es muy efectiva, pero para atender condiciones parciales de los problemas de desarrollo social, focalizados en grupos de menor dimensión, la intervención de la sociedad civil organizada es más eficaz si cuentan con las condiciones operativas y recursos suficientes para realizar su objetivo (Verduzco et al., 2009).</w:t>
      </w:r>
    </w:p>
    <w:p w:rsidR="00C023BC" w:rsidRDefault="00C023BC" w:rsidP="00C023BC">
      <w:pPr>
        <w:pStyle w:val="Texto"/>
        <w:spacing w:after="120" w:line="276" w:lineRule="auto"/>
        <w:jc w:val="both"/>
        <w:rPr>
          <w:rFonts w:ascii="Adobe Caslon Pro" w:hAnsi="Adobe Caslon Pro"/>
          <w:b/>
          <w:sz w:val="22"/>
          <w:szCs w:val="22"/>
        </w:rPr>
      </w:pPr>
      <w:bookmarkStart w:id="124" w:name="_Toc380855725"/>
      <w:bookmarkStart w:id="125" w:name="_Toc263896848"/>
    </w:p>
    <w:p w:rsidR="00A26178" w:rsidRDefault="00A26178" w:rsidP="00C023BC">
      <w:pPr>
        <w:pStyle w:val="Texto"/>
        <w:spacing w:after="120" w:line="276" w:lineRule="auto"/>
        <w:jc w:val="both"/>
        <w:rPr>
          <w:rFonts w:ascii="Adobe Caslon Pro" w:hAnsi="Adobe Caslon Pro"/>
          <w:b/>
          <w:sz w:val="22"/>
          <w:szCs w:val="22"/>
        </w:rPr>
      </w:pPr>
    </w:p>
    <w:p w:rsidR="00A26178" w:rsidRDefault="00A26178" w:rsidP="00C023BC">
      <w:pPr>
        <w:pStyle w:val="Texto"/>
        <w:spacing w:after="120" w:line="276" w:lineRule="auto"/>
        <w:jc w:val="both"/>
        <w:rPr>
          <w:rFonts w:ascii="Adobe Caslon Pro" w:hAnsi="Adobe Caslon Pro"/>
          <w:b/>
          <w:sz w:val="22"/>
          <w:szCs w:val="22"/>
        </w:rPr>
      </w:pPr>
    </w:p>
    <w:p w:rsidR="00CF536D" w:rsidRPr="00A037D2" w:rsidRDefault="00CF536D" w:rsidP="00C023BC">
      <w:pPr>
        <w:pStyle w:val="Texto"/>
        <w:spacing w:after="120" w:line="276" w:lineRule="auto"/>
        <w:jc w:val="both"/>
        <w:rPr>
          <w:rFonts w:ascii="Adobe Caslon Pro" w:hAnsi="Adobe Caslon Pro"/>
          <w:b/>
          <w:sz w:val="22"/>
          <w:szCs w:val="22"/>
        </w:rPr>
      </w:pPr>
      <w:r w:rsidRPr="00A037D2">
        <w:rPr>
          <w:rFonts w:ascii="Adobe Caslon Pro" w:hAnsi="Adobe Caslon Pro"/>
          <w:b/>
          <w:sz w:val="22"/>
          <w:szCs w:val="22"/>
        </w:rPr>
        <w:lastRenderedPageBreak/>
        <w:t xml:space="preserve">Surgimiento y desarrollo de la participación social organizada en proyectos conjuntos con el </w:t>
      </w:r>
      <w:r w:rsidR="00BE60D4">
        <w:rPr>
          <w:rFonts w:ascii="Adobe Caslon Pro" w:hAnsi="Adobe Caslon Pro"/>
          <w:b/>
          <w:sz w:val="22"/>
          <w:szCs w:val="22"/>
        </w:rPr>
        <w:t>gobierno</w:t>
      </w:r>
      <w:r w:rsidRPr="00A037D2">
        <w:rPr>
          <w:rFonts w:ascii="Adobe Caslon Pro" w:hAnsi="Adobe Caslon Pro"/>
          <w:b/>
          <w:sz w:val="22"/>
          <w:szCs w:val="22"/>
        </w:rPr>
        <w:t xml:space="preserve"> para atender a la población en situación de vulnerabilidad</w:t>
      </w:r>
      <w:bookmarkEnd w:id="124"/>
      <w:bookmarkEnd w:id="125"/>
    </w:p>
    <w:p w:rsidR="00CF536D" w:rsidRPr="000907D3" w:rsidRDefault="00CF536D" w:rsidP="00026506">
      <w:pPr>
        <w:autoSpaceDE w:val="0"/>
        <w:autoSpaceDN w:val="0"/>
        <w:adjustRightInd w:val="0"/>
        <w:spacing w:before="240"/>
        <w:jc w:val="both"/>
        <w:rPr>
          <w:rFonts w:ascii="Adobe Caslon Pro" w:hAnsi="Adobe Caslon Pro" w:cs="Arial"/>
        </w:rPr>
      </w:pPr>
      <w:r w:rsidRPr="000907D3">
        <w:rPr>
          <w:rFonts w:ascii="Adobe Caslon Pro" w:hAnsi="Adobe Caslon Pro" w:cs="Arial"/>
        </w:rPr>
        <w:t xml:space="preserve">En Latinoamérica la relación entre OSC y el </w:t>
      </w:r>
      <w:r w:rsidR="00BE60D4">
        <w:rPr>
          <w:rFonts w:ascii="Adobe Caslon Pro" w:hAnsi="Adobe Caslon Pro" w:cs="Arial"/>
        </w:rPr>
        <w:t>gobierno</w:t>
      </w:r>
      <w:r w:rsidRPr="000907D3">
        <w:rPr>
          <w:rFonts w:ascii="Adobe Caslon Pro" w:hAnsi="Adobe Caslon Pro" w:cs="Arial"/>
        </w:rPr>
        <w:t xml:space="preserve"> se desarrolla principalmente a partir de la crisis del modelo de Estado de Bienestar, a finales de los setenta y durante los ochenta. El Estado de Bienestar estaba sustentado en acuerdos socio-políticos entre las cúpulas sindicales, empresariales y el </w:t>
      </w:r>
      <w:r w:rsidR="00BE60D4">
        <w:rPr>
          <w:rFonts w:ascii="Adobe Caslon Pro" w:hAnsi="Adobe Caslon Pro" w:cs="Arial"/>
        </w:rPr>
        <w:t>gobierno</w:t>
      </w:r>
      <w:r w:rsidRPr="000907D3">
        <w:rPr>
          <w:rFonts w:ascii="Adobe Caslon Pro" w:hAnsi="Adobe Caslon Pro" w:cs="Arial"/>
        </w:rPr>
        <w:t xml:space="preserve">, en el cual se adoptan políticas de pleno empleo basadas en la moderación salarial, destinadas a garantizar una rentabilidad competitiva al capital, y una política de bienestar social garantizada por el Estado (Muñoz, 2001). La introducción de políticas liberales en los gobiernos de la región, basados en la reducción sustantiva del gasto y servicios públicos, debilitó la respuesta institucional </w:t>
      </w:r>
      <w:r w:rsidR="00C03A47" w:rsidRPr="000907D3">
        <w:rPr>
          <w:rFonts w:ascii="Adobe Caslon Pro" w:hAnsi="Adobe Caslon Pro" w:cs="Arial"/>
        </w:rPr>
        <w:t xml:space="preserve">frente a los </w:t>
      </w:r>
      <w:r w:rsidRPr="000907D3">
        <w:rPr>
          <w:rFonts w:ascii="Adobe Caslon Pro" w:hAnsi="Adobe Caslon Pro" w:cs="Arial"/>
        </w:rPr>
        <w:t>problemas básicos de desarrollo de los países latinoamericanos, en particular, de las políticas sociales de superación de la pobreza.</w:t>
      </w:r>
    </w:p>
    <w:p w:rsidR="00CF536D" w:rsidRPr="000907D3" w:rsidRDefault="00CF536D" w:rsidP="00026506">
      <w:pPr>
        <w:autoSpaceDE w:val="0"/>
        <w:autoSpaceDN w:val="0"/>
        <w:adjustRightInd w:val="0"/>
        <w:spacing w:before="240"/>
        <w:jc w:val="both"/>
        <w:rPr>
          <w:rFonts w:ascii="Adobe Caslon Pro" w:hAnsi="Adobe Caslon Pro" w:cs="Arial"/>
        </w:rPr>
      </w:pPr>
      <w:r w:rsidRPr="000907D3">
        <w:rPr>
          <w:rFonts w:ascii="Adobe Caslon Pro" w:hAnsi="Adobe Caslon Pro" w:cs="Arial"/>
        </w:rPr>
        <w:t>Durante este período histórico, con diferencias propias de cada país, las OSC entran a jugar un rol de mayor importancia en la búsqueda de soluciones para la superación de la pobreza de gran parte de la población de América Latina. Esto fun</w:t>
      </w:r>
      <w:r w:rsidR="00A26178">
        <w:rPr>
          <w:rFonts w:ascii="Adobe Caslon Pro" w:hAnsi="Adobe Caslon Pro" w:cs="Arial"/>
        </w:rPr>
        <w:t xml:space="preserve">damentalmente por dos razones. </w:t>
      </w:r>
    </w:p>
    <w:p w:rsidR="00CF536D" w:rsidRPr="000907D3" w:rsidRDefault="00CF536D" w:rsidP="00026506">
      <w:pPr>
        <w:pStyle w:val="Prrafodelista"/>
        <w:numPr>
          <w:ilvl w:val="0"/>
          <w:numId w:val="24"/>
        </w:numPr>
        <w:autoSpaceDE w:val="0"/>
        <w:autoSpaceDN w:val="0"/>
        <w:adjustRightInd w:val="0"/>
        <w:spacing w:before="240"/>
        <w:jc w:val="both"/>
        <w:rPr>
          <w:rFonts w:ascii="Adobe Caslon Pro" w:hAnsi="Adobe Caslon Pro" w:cs="Arial"/>
        </w:rPr>
      </w:pPr>
      <w:r w:rsidRPr="000907D3">
        <w:rPr>
          <w:rFonts w:ascii="Adobe Caslon Pro" w:hAnsi="Adobe Caslon Pro" w:cs="Arial"/>
        </w:rPr>
        <w:t xml:space="preserve">Por razones de carácter político–social. Grupos de profesionales, con apoyo internacional, se organizan con el fin de cubrir áreas de intervención propias de las políticas sociales, que estaban siendo claramente no abordadas por el Estado Neoliberal. </w:t>
      </w:r>
    </w:p>
    <w:p w:rsidR="00CF536D" w:rsidRPr="000907D3" w:rsidRDefault="00CF536D" w:rsidP="00026506">
      <w:pPr>
        <w:pStyle w:val="Prrafodelista"/>
        <w:numPr>
          <w:ilvl w:val="0"/>
          <w:numId w:val="24"/>
        </w:numPr>
        <w:autoSpaceDE w:val="0"/>
        <w:autoSpaceDN w:val="0"/>
        <w:adjustRightInd w:val="0"/>
        <w:spacing w:before="240"/>
        <w:jc w:val="both"/>
        <w:rPr>
          <w:rFonts w:ascii="Adobe Caslon Pro" w:hAnsi="Adobe Caslon Pro" w:cs="Arial"/>
        </w:rPr>
      </w:pPr>
      <w:r w:rsidRPr="000907D3">
        <w:rPr>
          <w:rFonts w:ascii="Adobe Caslon Pro" w:hAnsi="Adobe Caslon Pro" w:cs="Arial"/>
        </w:rPr>
        <w:t>Por razones ideológicas, que se desprenden del debate sobre la relación estructural entre Estado–Sociedad–Mercado, la cual plantea que la reducción del papel de las instituciones públicas no deviene en uno que fundamenta la ampliación del espacio político a favor de la sociedad.</w:t>
      </w:r>
    </w:p>
    <w:p w:rsidR="00CF536D" w:rsidRPr="000907D3" w:rsidRDefault="00CF536D" w:rsidP="00026506">
      <w:pPr>
        <w:autoSpaceDE w:val="0"/>
        <w:autoSpaceDN w:val="0"/>
        <w:adjustRightInd w:val="0"/>
        <w:spacing w:before="240"/>
        <w:jc w:val="both"/>
        <w:rPr>
          <w:rFonts w:ascii="Adobe Caslon Pro" w:hAnsi="Adobe Caslon Pro" w:cs="Arial"/>
        </w:rPr>
      </w:pPr>
      <w:r w:rsidRPr="000907D3">
        <w:rPr>
          <w:rFonts w:ascii="Adobe Caslon Pro" w:hAnsi="Adobe Caslon Pro" w:cs="Arial"/>
        </w:rPr>
        <w:t xml:space="preserve">En el mismo sentido, las OSC utilizan, en general, dos tipos de mecanismos para incidir en el </w:t>
      </w:r>
      <w:r w:rsidR="00BE60D4">
        <w:rPr>
          <w:rFonts w:ascii="Adobe Caslon Pro" w:hAnsi="Adobe Caslon Pro" w:cs="Arial"/>
        </w:rPr>
        <w:t>gobierno</w:t>
      </w:r>
      <w:r w:rsidRPr="000907D3">
        <w:rPr>
          <w:rFonts w:ascii="Adobe Caslon Pro" w:hAnsi="Adobe Caslon Pro" w:cs="Arial"/>
        </w:rPr>
        <w:t xml:space="preserve"> y ubicar sus acciones en el escenario político:</w:t>
      </w:r>
    </w:p>
    <w:p w:rsidR="00CF536D" w:rsidRPr="000907D3" w:rsidRDefault="00CF536D" w:rsidP="00026506">
      <w:pPr>
        <w:pStyle w:val="Prrafodelista"/>
        <w:numPr>
          <w:ilvl w:val="0"/>
          <w:numId w:val="28"/>
        </w:numPr>
        <w:autoSpaceDE w:val="0"/>
        <w:autoSpaceDN w:val="0"/>
        <w:adjustRightInd w:val="0"/>
        <w:spacing w:before="240"/>
        <w:jc w:val="both"/>
        <w:rPr>
          <w:rFonts w:ascii="Adobe Caslon Pro" w:hAnsi="Adobe Caslon Pro" w:cs="Arial"/>
        </w:rPr>
      </w:pPr>
      <w:r w:rsidRPr="000907D3">
        <w:rPr>
          <w:rFonts w:ascii="Adobe Caslon Pro" w:hAnsi="Adobe Caslon Pro" w:cs="Arial"/>
        </w:rPr>
        <w:t xml:space="preserve">La participación directa en instancias convocadas por el propio </w:t>
      </w:r>
      <w:r w:rsidR="00BE60D4">
        <w:rPr>
          <w:rFonts w:ascii="Adobe Caslon Pro" w:hAnsi="Adobe Caslon Pro" w:cs="Arial"/>
        </w:rPr>
        <w:t>gobierno</w:t>
      </w:r>
      <w:r w:rsidRPr="000907D3">
        <w:rPr>
          <w:rFonts w:ascii="Adobe Caslon Pro" w:hAnsi="Adobe Caslon Pro" w:cs="Arial"/>
        </w:rPr>
        <w:t>, donde se diseña, ejecuta, evalúa y proponen políticas públicas. Gran parte de las</w:t>
      </w:r>
      <w:r w:rsidR="00A520A1">
        <w:rPr>
          <w:rFonts w:ascii="Adobe Caslon Pro" w:hAnsi="Adobe Caslon Pro" w:cs="Arial"/>
        </w:rPr>
        <w:t xml:space="preserve"> OSC mencionan especialmente la </w:t>
      </w:r>
      <w:r w:rsidRPr="000907D3">
        <w:rPr>
          <w:rFonts w:ascii="Adobe Caslon Pro" w:hAnsi="Adobe Caslon Pro" w:cs="Arial"/>
        </w:rPr>
        <w:t>co-ejecución con el Estado de programas o proyectos.</w:t>
      </w:r>
    </w:p>
    <w:p w:rsidR="00CF536D" w:rsidRPr="000907D3" w:rsidRDefault="00CF536D" w:rsidP="00026506">
      <w:pPr>
        <w:pStyle w:val="Prrafodelista"/>
        <w:numPr>
          <w:ilvl w:val="0"/>
          <w:numId w:val="28"/>
        </w:numPr>
        <w:autoSpaceDE w:val="0"/>
        <w:autoSpaceDN w:val="0"/>
        <w:adjustRightInd w:val="0"/>
        <w:spacing w:before="240"/>
        <w:jc w:val="both"/>
        <w:rPr>
          <w:rFonts w:ascii="Adobe Caslon Pro" w:hAnsi="Adobe Caslon Pro" w:cs="Arial"/>
        </w:rPr>
      </w:pPr>
      <w:r w:rsidRPr="000907D3">
        <w:rPr>
          <w:rFonts w:ascii="Adobe Caslon Pro" w:hAnsi="Adobe Caslon Pro" w:cs="Arial"/>
        </w:rPr>
        <w:t>La generación o articulación de redes con otras organizaciones sociales u OSC, para la difusión pública del problema de la pobreza y su inclusión en la agenda pública.</w:t>
      </w:r>
    </w:p>
    <w:p w:rsidR="00CF536D" w:rsidRPr="000907D3" w:rsidRDefault="00CF536D" w:rsidP="00026506">
      <w:pPr>
        <w:autoSpaceDE w:val="0"/>
        <w:autoSpaceDN w:val="0"/>
        <w:adjustRightInd w:val="0"/>
        <w:spacing w:before="240"/>
        <w:jc w:val="both"/>
        <w:rPr>
          <w:rFonts w:ascii="Adobe Caslon Pro" w:hAnsi="Adobe Caslon Pro" w:cs="Arial"/>
        </w:rPr>
      </w:pPr>
      <w:r w:rsidRPr="000907D3">
        <w:rPr>
          <w:rFonts w:ascii="Adobe Caslon Pro" w:hAnsi="Adobe Caslon Pro" w:cs="Arial"/>
        </w:rPr>
        <w:lastRenderedPageBreak/>
        <w:t>Las OSC tienen en general tres forma</w:t>
      </w:r>
      <w:r w:rsidR="00C03A47" w:rsidRPr="000907D3">
        <w:rPr>
          <w:rFonts w:ascii="Adobe Caslon Pro" w:hAnsi="Adobe Caslon Pro" w:cs="Arial"/>
        </w:rPr>
        <w:t>s</w:t>
      </w:r>
      <w:r w:rsidRPr="000907D3">
        <w:rPr>
          <w:rFonts w:ascii="Adobe Caslon Pro" w:hAnsi="Adobe Caslon Pro" w:cs="Arial"/>
        </w:rPr>
        <w:t xml:space="preserve"> de participación conjunta con el </w:t>
      </w:r>
      <w:r w:rsidR="00BE60D4">
        <w:rPr>
          <w:rFonts w:ascii="Adobe Caslon Pro" w:hAnsi="Adobe Caslon Pro" w:cs="Arial"/>
        </w:rPr>
        <w:t>gobierno</w:t>
      </w:r>
      <w:r w:rsidRPr="000907D3">
        <w:rPr>
          <w:rFonts w:ascii="Adobe Caslon Pro" w:hAnsi="Adobe Caslon Pro" w:cs="Arial"/>
        </w:rPr>
        <w:t xml:space="preserve">. Una primera alternativa es trabajar en forma mancomunada con el </w:t>
      </w:r>
      <w:r w:rsidR="00BE60D4">
        <w:rPr>
          <w:rFonts w:ascii="Adobe Caslon Pro" w:hAnsi="Adobe Caslon Pro" w:cs="Arial"/>
        </w:rPr>
        <w:t>gobierno</w:t>
      </w:r>
      <w:r w:rsidRPr="000907D3">
        <w:rPr>
          <w:rFonts w:ascii="Adobe Caslon Pro" w:hAnsi="Adobe Caslon Pro" w:cs="Arial"/>
        </w:rPr>
        <w:t>, coordinando las acciones y trabajando conjuntamente. Este tipo incluye la participación de las OSC en licitaciones del Estado para ejecutar determinados programas o proyectos. Un riesgo desde la perspectiva de las OSC, es que se puede construir una relación de subordinación a programas pre-establecidos, y debilitar la autonomía de las OSC, que a la postre es un</w:t>
      </w:r>
      <w:r w:rsidR="00C03A47" w:rsidRPr="000907D3">
        <w:rPr>
          <w:rFonts w:ascii="Adobe Caslon Pro" w:hAnsi="Adobe Caslon Pro" w:cs="Arial"/>
        </w:rPr>
        <w:t>o</w:t>
      </w:r>
      <w:r w:rsidRPr="000907D3">
        <w:rPr>
          <w:rFonts w:ascii="Adobe Caslon Pro" w:hAnsi="Adobe Caslon Pro" w:cs="Arial"/>
        </w:rPr>
        <w:t xml:space="preserve"> de sus principales activos.</w:t>
      </w:r>
    </w:p>
    <w:p w:rsidR="00CF536D" w:rsidRPr="000907D3" w:rsidRDefault="00CF536D" w:rsidP="00026506">
      <w:pPr>
        <w:autoSpaceDE w:val="0"/>
        <w:autoSpaceDN w:val="0"/>
        <w:adjustRightInd w:val="0"/>
        <w:spacing w:before="240"/>
        <w:jc w:val="both"/>
        <w:rPr>
          <w:rFonts w:ascii="Adobe Caslon Pro" w:hAnsi="Adobe Caslon Pro" w:cs="Arial"/>
        </w:rPr>
      </w:pPr>
      <w:r w:rsidRPr="000907D3">
        <w:rPr>
          <w:rFonts w:ascii="Adobe Caslon Pro" w:hAnsi="Adobe Caslon Pro" w:cs="Arial"/>
        </w:rPr>
        <w:t xml:space="preserve">La segunda alternativa es totalmente opuesta a la anterior y consiste en terminar, o no realizar, programas en ámbitos donde el Estado interviene directamente o ha comenzado a intervenir. Desde esta perspectiva, esto se entiende como "colaboración honesta con el Estado", en la cual se define desde un inicio que la OSC no considera aceptable los términos de colaboración con el </w:t>
      </w:r>
      <w:r w:rsidR="00BE60D4">
        <w:rPr>
          <w:rFonts w:ascii="Adobe Caslon Pro" w:hAnsi="Adobe Caslon Pro" w:cs="Arial"/>
        </w:rPr>
        <w:t>gobierno</w:t>
      </w:r>
      <w:r w:rsidRPr="000907D3">
        <w:rPr>
          <w:rFonts w:ascii="Adobe Caslon Pro" w:hAnsi="Adobe Caslon Pro" w:cs="Arial"/>
        </w:rPr>
        <w:t xml:space="preserve"> y que su vocación es justamente brindar servicios públicos y protección de derechos civiles, económicos y sociales, justamente donde la falta de presencia del </w:t>
      </w:r>
      <w:r w:rsidR="00BE60D4">
        <w:rPr>
          <w:rFonts w:ascii="Adobe Caslon Pro" w:hAnsi="Adobe Caslon Pro" w:cs="Arial"/>
        </w:rPr>
        <w:t>gobierno</w:t>
      </w:r>
      <w:r w:rsidRPr="000907D3">
        <w:rPr>
          <w:rFonts w:ascii="Adobe Caslon Pro" w:hAnsi="Adobe Caslon Pro" w:cs="Arial"/>
        </w:rPr>
        <w:t xml:space="preserve"> hace más vulnerables a las personas y las regiones que carecen de la presencia institucional</w:t>
      </w:r>
    </w:p>
    <w:p w:rsidR="00DA11FA" w:rsidRPr="00DA11FA" w:rsidRDefault="00CF536D" w:rsidP="001F78C3">
      <w:pPr>
        <w:autoSpaceDE w:val="0"/>
        <w:autoSpaceDN w:val="0"/>
        <w:adjustRightInd w:val="0"/>
        <w:spacing w:after="120"/>
        <w:jc w:val="both"/>
        <w:rPr>
          <w:rFonts w:ascii="Adobe Caslon Pro" w:hAnsi="Adobe Caslon Pro" w:cs="Arial"/>
        </w:rPr>
      </w:pPr>
      <w:r w:rsidRPr="000907D3">
        <w:rPr>
          <w:rFonts w:ascii="Adobe Caslon Pro" w:hAnsi="Adobe Caslon Pro" w:cs="Arial"/>
        </w:rPr>
        <w:t xml:space="preserve">Por último, una tercera alternativa se sitúa en un punto intermedio de los dos anteriores. Este tipo de OSC, no reconoce interés en trabajar conjuntamente con el </w:t>
      </w:r>
      <w:r w:rsidR="00BE60D4">
        <w:rPr>
          <w:rFonts w:ascii="Adobe Caslon Pro" w:hAnsi="Adobe Caslon Pro" w:cs="Arial"/>
        </w:rPr>
        <w:t>gobierno</w:t>
      </w:r>
      <w:r w:rsidRPr="000907D3">
        <w:rPr>
          <w:rFonts w:ascii="Adobe Caslon Pro" w:hAnsi="Adobe Caslon Pro" w:cs="Arial"/>
        </w:rPr>
        <w:t xml:space="preserve">, ni tampoco se interesa en diferenciarse de éste. Más bien, la definición de sus planes de trabajo se centra en un análisis del contexto y en la detección de las necesidades de la población, considerando el marco jurídico o institucional definido por el </w:t>
      </w:r>
      <w:r w:rsidR="00BE60D4">
        <w:rPr>
          <w:rFonts w:ascii="Adobe Caslon Pro" w:hAnsi="Adobe Caslon Pro" w:cs="Arial"/>
        </w:rPr>
        <w:t>gobierno</w:t>
      </w:r>
      <w:r w:rsidRPr="000907D3">
        <w:rPr>
          <w:rFonts w:ascii="Adobe Caslon Pro" w:hAnsi="Adobe Caslon Pro" w:cs="Arial"/>
        </w:rPr>
        <w:t xml:space="preserve">. Esto puede implicar o no trabajo conjunto o coordinado con éste. Es importante mencionar que generalmente este tipo de OSC está compuesto principalmente por organizaciones internacionales las que, al contar con recursos propios, no necesitan los recursos del </w:t>
      </w:r>
      <w:r w:rsidR="00BE60D4">
        <w:rPr>
          <w:rFonts w:ascii="Adobe Caslon Pro" w:hAnsi="Adobe Caslon Pro" w:cs="Arial"/>
        </w:rPr>
        <w:t>gobierno</w:t>
      </w:r>
      <w:r w:rsidRPr="000907D3">
        <w:rPr>
          <w:rFonts w:ascii="Adobe Caslon Pro" w:hAnsi="Adobe Caslon Pro" w:cs="Arial"/>
        </w:rPr>
        <w:t xml:space="preserve"> sino más bien actuar respetando la legalidad en el país en que trabajan.</w:t>
      </w:r>
      <w:bookmarkStart w:id="126" w:name="_Toc374381008"/>
      <w:bookmarkStart w:id="127" w:name="_Toc380855726"/>
    </w:p>
    <w:p w:rsidR="00DA11FA" w:rsidRDefault="00DA11FA" w:rsidP="001F78C3">
      <w:pPr>
        <w:pStyle w:val="Subttulo"/>
        <w:spacing w:after="120"/>
        <w:jc w:val="both"/>
        <w:outlineLvl w:val="0"/>
        <w:rPr>
          <w:rFonts w:ascii="Adobe Caslon Pro" w:eastAsiaTheme="minorHAnsi" w:hAnsi="Adobe Caslon Pro" w:cs="Arial"/>
          <w:b/>
          <w:i w:val="0"/>
          <w:iCs w:val="0"/>
          <w:color w:val="000000"/>
          <w:spacing w:val="0"/>
          <w:sz w:val="22"/>
          <w:szCs w:val="22"/>
        </w:rPr>
      </w:pPr>
    </w:p>
    <w:p w:rsidR="00CF536D" w:rsidRPr="000907D3" w:rsidRDefault="009A7A25" w:rsidP="001F78C3">
      <w:pPr>
        <w:pStyle w:val="Ttulo2"/>
        <w:spacing w:before="0" w:after="120"/>
        <w:jc w:val="both"/>
        <w:rPr>
          <w:rFonts w:eastAsiaTheme="minorHAnsi"/>
        </w:rPr>
      </w:pPr>
      <w:bookmarkStart w:id="128" w:name="_Toc391925226"/>
      <w:r>
        <w:rPr>
          <w:rFonts w:eastAsiaTheme="minorHAnsi"/>
        </w:rPr>
        <w:t xml:space="preserve">3.1 </w:t>
      </w:r>
      <w:r w:rsidR="00620C08">
        <w:rPr>
          <w:rFonts w:eastAsiaTheme="minorHAnsi"/>
        </w:rPr>
        <w:t>Análisis del m</w:t>
      </w:r>
      <w:r w:rsidR="00CF536D" w:rsidRPr="000907D3">
        <w:rPr>
          <w:rFonts w:eastAsiaTheme="minorHAnsi"/>
        </w:rPr>
        <w:t xml:space="preserve">arco </w:t>
      </w:r>
      <w:bookmarkEnd w:id="126"/>
      <w:bookmarkEnd w:id="127"/>
      <w:r w:rsidR="00A037D2">
        <w:rPr>
          <w:rFonts w:eastAsiaTheme="minorHAnsi"/>
        </w:rPr>
        <w:t>normativo</w:t>
      </w:r>
      <w:bookmarkEnd w:id="128"/>
    </w:p>
    <w:p w:rsidR="00CF536D" w:rsidRPr="000907D3" w:rsidRDefault="00CF536D" w:rsidP="00026506">
      <w:pPr>
        <w:pStyle w:val="Normal3"/>
        <w:spacing w:before="240"/>
        <w:rPr>
          <w:rFonts w:ascii="Adobe Caslon Pro" w:hAnsi="Adobe Caslon Pro"/>
          <w:sz w:val="22"/>
          <w:szCs w:val="22"/>
        </w:rPr>
      </w:pPr>
      <w:r w:rsidRPr="000907D3">
        <w:rPr>
          <w:rFonts w:ascii="Adobe Caslon Pro" w:hAnsi="Adobe Caslon Pro"/>
          <w:sz w:val="22"/>
          <w:szCs w:val="22"/>
        </w:rPr>
        <w:t xml:space="preserve">Las leyes federales relacionadas directamente con el Fomento de las OSC son tres: </w:t>
      </w:r>
    </w:p>
    <w:p w:rsidR="00CF536D" w:rsidRPr="000907D3" w:rsidRDefault="00CF536D" w:rsidP="00026506">
      <w:pPr>
        <w:pStyle w:val="Normal3"/>
        <w:numPr>
          <w:ilvl w:val="0"/>
          <w:numId w:val="20"/>
        </w:numPr>
        <w:spacing w:before="240"/>
        <w:rPr>
          <w:rFonts w:ascii="Adobe Caslon Pro" w:hAnsi="Adobe Caslon Pro"/>
          <w:sz w:val="22"/>
          <w:szCs w:val="22"/>
        </w:rPr>
      </w:pPr>
      <w:r w:rsidRPr="000907D3">
        <w:rPr>
          <w:rFonts w:ascii="Adobe Caslon Pro" w:hAnsi="Adobe Caslon Pro"/>
          <w:sz w:val="22"/>
          <w:szCs w:val="22"/>
        </w:rPr>
        <w:t xml:space="preserve">La </w:t>
      </w:r>
      <w:r w:rsidR="00A711AD">
        <w:rPr>
          <w:rFonts w:ascii="Adobe Caslon Pro" w:hAnsi="Adobe Caslon Pro"/>
          <w:sz w:val="22"/>
          <w:szCs w:val="22"/>
        </w:rPr>
        <w:t>LFFAROSC</w:t>
      </w:r>
    </w:p>
    <w:p w:rsidR="00CF536D" w:rsidRPr="000907D3" w:rsidRDefault="00CF536D" w:rsidP="00026506">
      <w:pPr>
        <w:pStyle w:val="Normal3"/>
        <w:numPr>
          <w:ilvl w:val="0"/>
          <w:numId w:val="20"/>
        </w:numPr>
        <w:spacing w:before="240"/>
        <w:rPr>
          <w:rFonts w:ascii="Adobe Caslon Pro" w:hAnsi="Adobe Caslon Pro"/>
          <w:sz w:val="22"/>
          <w:szCs w:val="22"/>
        </w:rPr>
      </w:pPr>
      <w:r w:rsidRPr="000907D3">
        <w:rPr>
          <w:rFonts w:ascii="Adobe Caslon Pro" w:hAnsi="Adobe Caslon Pro"/>
          <w:sz w:val="22"/>
          <w:szCs w:val="22"/>
        </w:rPr>
        <w:t xml:space="preserve">La </w:t>
      </w:r>
      <w:r w:rsidR="00A711AD">
        <w:rPr>
          <w:rFonts w:ascii="Adobe Caslon Pro" w:hAnsi="Adobe Caslon Pro"/>
          <w:sz w:val="22"/>
          <w:szCs w:val="22"/>
        </w:rPr>
        <w:t>LISR</w:t>
      </w:r>
      <w:r w:rsidRPr="000907D3">
        <w:rPr>
          <w:rFonts w:ascii="Adobe Caslon Pro" w:hAnsi="Adobe Caslon Pro"/>
          <w:sz w:val="22"/>
          <w:szCs w:val="22"/>
        </w:rPr>
        <w:t>, y</w:t>
      </w:r>
    </w:p>
    <w:p w:rsidR="00CF536D" w:rsidRPr="000907D3" w:rsidRDefault="00CF536D" w:rsidP="00026506">
      <w:pPr>
        <w:pStyle w:val="Normal3"/>
        <w:numPr>
          <w:ilvl w:val="0"/>
          <w:numId w:val="20"/>
        </w:numPr>
        <w:spacing w:before="240"/>
        <w:rPr>
          <w:rFonts w:ascii="Adobe Caslon Pro" w:hAnsi="Adobe Caslon Pro"/>
          <w:sz w:val="22"/>
          <w:szCs w:val="22"/>
        </w:rPr>
      </w:pPr>
      <w:r w:rsidRPr="000907D3">
        <w:rPr>
          <w:rFonts w:ascii="Adobe Caslon Pro" w:hAnsi="Adobe Caslon Pro"/>
          <w:sz w:val="22"/>
          <w:szCs w:val="22"/>
        </w:rPr>
        <w:lastRenderedPageBreak/>
        <w:t>La Ley de Asistencia Social.</w:t>
      </w:r>
    </w:p>
    <w:p w:rsidR="00CF536D" w:rsidRPr="000907D3" w:rsidRDefault="00CF536D" w:rsidP="00026506">
      <w:pPr>
        <w:pStyle w:val="Normal3"/>
        <w:spacing w:before="240"/>
        <w:rPr>
          <w:rFonts w:ascii="Adobe Caslon Pro" w:hAnsi="Adobe Caslon Pro"/>
          <w:sz w:val="22"/>
          <w:szCs w:val="22"/>
        </w:rPr>
      </w:pPr>
      <w:r w:rsidRPr="000907D3">
        <w:rPr>
          <w:rFonts w:ascii="Adobe Caslon Pro" w:hAnsi="Adobe Caslon Pro"/>
          <w:sz w:val="22"/>
          <w:szCs w:val="22"/>
        </w:rPr>
        <w:t xml:space="preserve">Indirectamente, otras leyes mencionan a las OSC, como la </w:t>
      </w:r>
      <w:r w:rsidR="00A711AD">
        <w:rPr>
          <w:rFonts w:ascii="Adobe Caslon Pro" w:hAnsi="Adobe Caslon Pro"/>
          <w:sz w:val="22"/>
          <w:szCs w:val="22"/>
        </w:rPr>
        <w:t>LGDS</w:t>
      </w:r>
      <w:r w:rsidRPr="000907D3">
        <w:rPr>
          <w:rFonts w:ascii="Adobe Caslon Pro" w:hAnsi="Adobe Caslon Pro"/>
          <w:sz w:val="22"/>
          <w:szCs w:val="22"/>
        </w:rPr>
        <w:t xml:space="preserve"> que las define como “agrupaciones civiles y sociales, legalmente constituidas, en las que participan personas o grupos sociales con el propósito de realizar actividades relacionadas con el desarrollo social”.</w:t>
      </w:r>
    </w:p>
    <w:p w:rsidR="00CF536D" w:rsidRPr="000907D3" w:rsidRDefault="00CF536D" w:rsidP="00026506">
      <w:pPr>
        <w:pStyle w:val="Normal3"/>
        <w:spacing w:before="240"/>
        <w:rPr>
          <w:rFonts w:ascii="Adobe Caslon Pro" w:hAnsi="Adobe Caslon Pro"/>
          <w:sz w:val="22"/>
          <w:szCs w:val="22"/>
        </w:rPr>
      </w:pPr>
      <w:r w:rsidRPr="000907D3">
        <w:rPr>
          <w:rFonts w:ascii="Adobe Caslon Pro" w:hAnsi="Adobe Caslon Pro"/>
          <w:sz w:val="22"/>
          <w:szCs w:val="22"/>
        </w:rPr>
        <w:t xml:space="preserve">La LFFAROSC fue publicada el 9 de febrero de 2004, consta de sólo 32 artículos y 5 capítulos, </w:t>
      </w:r>
      <w:r w:rsidR="000A0807" w:rsidRPr="000907D3">
        <w:rPr>
          <w:rFonts w:ascii="Adobe Caslon Pro" w:hAnsi="Adobe Caslon Pro"/>
          <w:sz w:val="22"/>
          <w:szCs w:val="22"/>
        </w:rPr>
        <w:t>y de</w:t>
      </w:r>
      <w:r w:rsidRPr="000907D3">
        <w:rPr>
          <w:rFonts w:ascii="Adobe Caslon Pro" w:hAnsi="Adobe Caslon Pro"/>
          <w:sz w:val="22"/>
          <w:szCs w:val="22"/>
        </w:rPr>
        <w:t>forma general tiene por objeto:</w:t>
      </w:r>
    </w:p>
    <w:p w:rsidR="00CF536D" w:rsidRPr="000907D3" w:rsidRDefault="00CF536D" w:rsidP="00026506">
      <w:pPr>
        <w:pStyle w:val="Normal3"/>
        <w:numPr>
          <w:ilvl w:val="1"/>
          <w:numId w:val="32"/>
        </w:numPr>
        <w:spacing w:before="240"/>
        <w:rPr>
          <w:rFonts w:ascii="Adobe Caslon Pro" w:hAnsi="Adobe Caslon Pro"/>
          <w:sz w:val="22"/>
          <w:szCs w:val="22"/>
        </w:rPr>
      </w:pPr>
      <w:r w:rsidRPr="000907D3">
        <w:rPr>
          <w:rFonts w:ascii="Adobe Caslon Pro" w:hAnsi="Adobe Caslon Pro"/>
          <w:sz w:val="22"/>
          <w:szCs w:val="22"/>
        </w:rPr>
        <w:t xml:space="preserve">Establecer las actividades que realizan las </w:t>
      </w:r>
      <w:r w:rsidR="002F714E">
        <w:rPr>
          <w:rFonts w:ascii="Adobe Caslon Pro" w:hAnsi="Adobe Caslon Pro"/>
          <w:sz w:val="22"/>
          <w:szCs w:val="22"/>
        </w:rPr>
        <w:t>OSC</w:t>
      </w:r>
      <w:r w:rsidRPr="000907D3">
        <w:rPr>
          <w:rFonts w:ascii="Adobe Caslon Pro" w:hAnsi="Adobe Caslon Pro"/>
          <w:sz w:val="22"/>
          <w:szCs w:val="22"/>
        </w:rPr>
        <w:t xml:space="preserve"> susceptibles de ser fomentadas.</w:t>
      </w:r>
    </w:p>
    <w:p w:rsidR="00CF536D" w:rsidRPr="000907D3" w:rsidRDefault="00CF536D" w:rsidP="00026506">
      <w:pPr>
        <w:pStyle w:val="Normal3"/>
        <w:numPr>
          <w:ilvl w:val="1"/>
          <w:numId w:val="32"/>
        </w:numPr>
        <w:spacing w:before="240"/>
        <w:rPr>
          <w:rFonts w:ascii="Adobe Caslon Pro" w:hAnsi="Adobe Caslon Pro"/>
          <w:sz w:val="22"/>
          <w:szCs w:val="22"/>
        </w:rPr>
      </w:pPr>
      <w:r w:rsidRPr="000907D3">
        <w:rPr>
          <w:rFonts w:ascii="Adobe Caslon Pro" w:hAnsi="Adobe Caslon Pro"/>
          <w:sz w:val="22"/>
          <w:szCs w:val="22"/>
        </w:rPr>
        <w:t xml:space="preserve">Establecer las facultades de las autoridades y órganos que participaran en el </w:t>
      </w:r>
      <w:r w:rsidR="000A0807" w:rsidRPr="000907D3">
        <w:rPr>
          <w:rFonts w:ascii="Adobe Caslon Pro" w:hAnsi="Adobe Caslon Pro"/>
          <w:sz w:val="22"/>
          <w:szCs w:val="22"/>
        </w:rPr>
        <w:t>f</w:t>
      </w:r>
      <w:r w:rsidRPr="000907D3">
        <w:rPr>
          <w:rFonts w:ascii="Adobe Caslon Pro" w:hAnsi="Adobe Caslon Pro"/>
          <w:sz w:val="22"/>
          <w:szCs w:val="22"/>
        </w:rPr>
        <w:t>omento.</w:t>
      </w:r>
    </w:p>
    <w:p w:rsidR="00CF536D" w:rsidRPr="000907D3" w:rsidRDefault="00CF536D" w:rsidP="00026506">
      <w:pPr>
        <w:pStyle w:val="Normal3"/>
        <w:numPr>
          <w:ilvl w:val="1"/>
          <w:numId w:val="32"/>
        </w:numPr>
        <w:spacing w:before="240"/>
        <w:rPr>
          <w:rFonts w:ascii="Adobe Caslon Pro" w:hAnsi="Adobe Caslon Pro"/>
          <w:sz w:val="22"/>
          <w:szCs w:val="22"/>
        </w:rPr>
      </w:pPr>
      <w:r w:rsidRPr="000907D3">
        <w:rPr>
          <w:rFonts w:ascii="Adobe Caslon Pro" w:hAnsi="Adobe Caslon Pro"/>
          <w:sz w:val="22"/>
          <w:szCs w:val="22"/>
        </w:rPr>
        <w:t xml:space="preserve">Establecer los derechos y las obligaciones de las </w:t>
      </w:r>
      <w:r w:rsidR="002F714E">
        <w:rPr>
          <w:rFonts w:ascii="Adobe Caslon Pro" w:hAnsi="Adobe Caslon Pro"/>
          <w:sz w:val="22"/>
          <w:szCs w:val="22"/>
        </w:rPr>
        <w:t>OSC</w:t>
      </w:r>
      <w:r w:rsidRPr="000907D3">
        <w:rPr>
          <w:rFonts w:ascii="Adobe Caslon Pro" w:hAnsi="Adobe Caslon Pro"/>
          <w:sz w:val="22"/>
          <w:szCs w:val="22"/>
        </w:rPr>
        <w:t xml:space="preserve">, </w:t>
      </w:r>
      <w:r w:rsidR="00E129DF" w:rsidRPr="000907D3">
        <w:rPr>
          <w:rFonts w:ascii="Adobe Caslon Pro" w:hAnsi="Adobe Caslon Pro"/>
          <w:sz w:val="22"/>
          <w:szCs w:val="22"/>
        </w:rPr>
        <w:t xml:space="preserve">que son </w:t>
      </w:r>
      <w:r w:rsidRPr="000907D3">
        <w:rPr>
          <w:rFonts w:ascii="Adobe Caslon Pro" w:hAnsi="Adobe Caslon Pro"/>
          <w:sz w:val="22"/>
          <w:szCs w:val="22"/>
        </w:rPr>
        <w:t>básicamente las formas de acceder a recursos públicos y privados y el de registrar los cambios en la constitución y manejo de recursos y en las actividades realizadas por la OSC</w:t>
      </w:r>
      <w:r w:rsidR="00E129DF" w:rsidRPr="000907D3">
        <w:rPr>
          <w:rFonts w:ascii="Adobe Caslon Pro" w:hAnsi="Adobe Caslon Pro"/>
          <w:sz w:val="22"/>
          <w:szCs w:val="22"/>
        </w:rPr>
        <w:t>.</w:t>
      </w:r>
    </w:p>
    <w:p w:rsidR="00CF536D" w:rsidRPr="000907D3" w:rsidRDefault="00CF536D" w:rsidP="00026506">
      <w:pPr>
        <w:pStyle w:val="Normal3"/>
        <w:numPr>
          <w:ilvl w:val="1"/>
          <w:numId w:val="32"/>
        </w:numPr>
        <w:spacing w:before="240"/>
        <w:rPr>
          <w:rFonts w:ascii="Adobe Caslon Pro" w:hAnsi="Adobe Caslon Pro"/>
          <w:sz w:val="22"/>
          <w:szCs w:val="22"/>
        </w:rPr>
      </w:pPr>
      <w:r w:rsidRPr="000907D3">
        <w:rPr>
          <w:rFonts w:ascii="Adobe Caslon Pro" w:hAnsi="Adobe Caslon Pro"/>
          <w:sz w:val="22"/>
          <w:szCs w:val="22"/>
        </w:rPr>
        <w:t xml:space="preserve">Establecer una base mínima de instancias de coordinación entre las dependencias y entidades del </w:t>
      </w:r>
      <w:r w:rsidR="00BE60D4">
        <w:rPr>
          <w:rFonts w:ascii="Adobe Caslon Pro" w:hAnsi="Adobe Caslon Pro"/>
          <w:sz w:val="22"/>
          <w:szCs w:val="22"/>
        </w:rPr>
        <w:t>gobierno</w:t>
      </w:r>
      <w:r w:rsidRPr="000907D3">
        <w:rPr>
          <w:rFonts w:ascii="Adobe Caslon Pro" w:hAnsi="Adobe Caslon Pro"/>
          <w:sz w:val="22"/>
          <w:szCs w:val="22"/>
        </w:rPr>
        <w:t xml:space="preserve"> federal y las </w:t>
      </w:r>
      <w:r w:rsidR="002F714E">
        <w:rPr>
          <w:rFonts w:ascii="Adobe Caslon Pro" w:hAnsi="Adobe Caslon Pro"/>
          <w:sz w:val="22"/>
          <w:szCs w:val="22"/>
        </w:rPr>
        <w:t>OSC</w:t>
      </w:r>
      <w:r w:rsidR="00874EC3">
        <w:rPr>
          <w:rFonts w:ascii="Adobe Caslon Pro" w:hAnsi="Adobe Caslon Pro"/>
          <w:sz w:val="22"/>
          <w:szCs w:val="22"/>
        </w:rPr>
        <w:t xml:space="preserve"> </w:t>
      </w:r>
      <w:r w:rsidRPr="000907D3">
        <w:rPr>
          <w:rFonts w:ascii="Adobe Caslon Pro" w:hAnsi="Adobe Caslon Pro"/>
          <w:sz w:val="22"/>
          <w:szCs w:val="22"/>
        </w:rPr>
        <w:t xml:space="preserve">beneficiarias. </w:t>
      </w:r>
    </w:p>
    <w:p w:rsidR="00CF536D" w:rsidRDefault="00CF536D" w:rsidP="00186604">
      <w:pPr>
        <w:pStyle w:val="Normal3"/>
        <w:spacing w:after="120"/>
        <w:rPr>
          <w:rFonts w:ascii="Adobe Caslon Pro" w:hAnsi="Adobe Caslon Pro"/>
          <w:sz w:val="22"/>
          <w:szCs w:val="22"/>
        </w:rPr>
      </w:pPr>
      <w:r w:rsidRPr="000907D3">
        <w:rPr>
          <w:rFonts w:ascii="Adobe Caslon Pro" w:hAnsi="Adobe Caslon Pro"/>
          <w:sz w:val="22"/>
          <w:szCs w:val="22"/>
        </w:rPr>
        <w:t xml:space="preserve">Se considera que al analizar las actividades y el registro </w:t>
      </w:r>
      <w:r w:rsidR="00E67A76" w:rsidRPr="000907D3">
        <w:rPr>
          <w:rFonts w:ascii="Adobe Caslon Pro" w:hAnsi="Adobe Caslon Pro"/>
          <w:sz w:val="22"/>
          <w:szCs w:val="22"/>
        </w:rPr>
        <w:t>de las OSC establecidas en la LFFAROSC, así como al realizar un</w:t>
      </w:r>
      <w:r w:rsidR="00874EC3">
        <w:rPr>
          <w:rFonts w:ascii="Adobe Caslon Pro" w:hAnsi="Adobe Caslon Pro"/>
          <w:sz w:val="22"/>
          <w:szCs w:val="22"/>
        </w:rPr>
        <w:t xml:space="preserve"> </w:t>
      </w:r>
      <w:r w:rsidRPr="000907D3">
        <w:rPr>
          <w:rFonts w:ascii="Adobe Caslon Pro" w:hAnsi="Adobe Caslon Pro"/>
          <w:sz w:val="22"/>
          <w:szCs w:val="22"/>
        </w:rPr>
        <w:t xml:space="preserve">análisis de </w:t>
      </w:r>
      <w:r w:rsidR="00326E32" w:rsidRPr="000907D3">
        <w:rPr>
          <w:rFonts w:ascii="Adobe Caslon Pro" w:hAnsi="Adobe Caslon Pro"/>
          <w:sz w:val="22"/>
          <w:szCs w:val="22"/>
        </w:rPr>
        <w:t>las</w:t>
      </w:r>
      <w:r w:rsidR="00874EC3">
        <w:rPr>
          <w:rFonts w:ascii="Adobe Caslon Pro" w:hAnsi="Adobe Caslon Pro"/>
          <w:sz w:val="22"/>
          <w:szCs w:val="22"/>
        </w:rPr>
        <w:t xml:space="preserve"> </w:t>
      </w:r>
      <w:r w:rsidRPr="000907D3">
        <w:rPr>
          <w:rFonts w:ascii="Adobe Caslon Pro" w:hAnsi="Adobe Caslon Pro"/>
          <w:sz w:val="22"/>
          <w:szCs w:val="22"/>
        </w:rPr>
        <w:t xml:space="preserve">debilidades y fortalezas de la </w:t>
      </w:r>
      <w:r w:rsidR="00912AAA" w:rsidRPr="000907D3">
        <w:rPr>
          <w:rFonts w:ascii="Adobe Caslon Pro" w:hAnsi="Adobe Caslon Pro"/>
          <w:sz w:val="22"/>
          <w:szCs w:val="22"/>
        </w:rPr>
        <w:t xml:space="preserve">propia </w:t>
      </w:r>
      <w:r w:rsidRPr="000907D3">
        <w:rPr>
          <w:rFonts w:ascii="Adobe Caslon Pro" w:hAnsi="Adobe Caslon Pro"/>
          <w:sz w:val="22"/>
          <w:szCs w:val="22"/>
        </w:rPr>
        <w:t>LFFA</w:t>
      </w:r>
      <w:r w:rsidR="00E67A76" w:rsidRPr="000907D3">
        <w:rPr>
          <w:rFonts w:ascii="Adobe Caslon Pro" w:hAnsi="Adobe Caslon Pro"/>
          <w:sz w:val="22"/>
          <w:szCs w:val="22"/>
        </w:rPr>
        <w:t>R</w:t>
      </w:r>
      <w:r w:rsidRPr="000907D3">
        <w:rPr>
          <w:rFonts w:ascii="Adobe Caslon Pro" w:hAnsi="Adobe Caslon Pro"/>
          <w:sz w:val="22"/>
          <w:szCs w:val="22"/>
        </w:rPr>
        <w:t>OSC</w:t>
      </w:r>
      <w:r w:rsidR="00326E32" w:rsidRPr="000907D3">
        <w:rPr>
          <w:rFonts w:ascii="Adobe Caslon Pro" w:hAnsi="Adobe Caslon Pro"/>
          <w:sz w:val="22"/>
          <w:szCs w:val="22"/>
        </w:rPr>
        <w:t xml:space="preserve">, </w:t>
      </w:r>
      <w:r w:rsidRPr="000907D3">
        <w:rPr>
          <w:rFonts w:ascii="Adobe Caslon Pro" w:hAnsi="Adobe Caslon Pro"/>
          <w:sz w:val="22"/>
          <w:szCs w:val="22"/>
        </w:rPr>
        <w:t xml:space="preserve">se pueden aclarar los elementos más importantes que explican el alcance actual de la política pública de </w:t>
      </w:r>
      <w:r w:rsidR="00E67A76" w:rsidRPr="000907D3">
        <w:rPr>
          <w:rFonts w:ascii="Adobe Caslon Pro" w:hAnsi="Adobe Caslon Pro"/>
          <w:sz w:val="22"/>
          <w:szCs w:val="22"/>
        </w:rPr>
        <w:t>f</w:t>
      </w:r>
      <w:r w:rsidRPr="000907D3">
        <w:rPr>
          <w:rFonts w:ascii="Adobe Caslon Pro" w:hAnsi="Adobe Caslon Pro"/>
          <w:sz w:val="22"/>
          <w:szCs w:val="22"/>
        </w:rPr>
        <w:t xml:space="preserve">omento a las actividades de las OSC. </w:t>
      </w:r>
    </w:p>
    <w:p w:rsidR="0018237B" w:rsidRPr="000907D3" w:rsidRDefault="0018237B" w:rsidP="00186604">
      <w:pPr>
        <w:pStyle w:val="Normal3"/>
        <w:spacing w:after="120"/>
        <w:rPr>
          <w:rFonts w:ascii="Adobe Caslon Pro" w:hAnsi="Adobe Caslon Pro"/>
          <w:sz w:val="22"/>
          <w:szCs w:val="22"/>
        </w:rPr>
      </w:pPr>
    </w:p>
    <w:p w:rsidR="00CF536D" w:rsidRPr="00A037D2" w:rsidRDefault="00CF536D" w:rsidP="00186604">
      <w:pPr>
        <w:pStyle w:val="Texto"/>
        <w:spacing w:after="120" w:line="276" w:lineRule="auto"/>
        <w:jc w:val="both"/>
        <w:rPr>
          <w:rFonts w:ascii="Adobe Caslon Pro" w:hAnsi="Adobe Caslon Pro"/>
          <w:b/>
          <w:sz w:val="22"/>
          <w:szCs w:val="22"/>
        </w:rPr>
      </w:pPr>
      <w:r w:rsidRPr="00A037D2">
        <w:rPr>
          <w:rFonts w:ascii="Adobe Caslon Pro" w:hAnsi="Adobe Caslon Pro"/>
          <w:b/>
          <w:sz w:val="22"/>
          <w:szCs w:val="22"/>
        </w:rPr>
        <w:t>Actividades objeto de fomento</w:t>
      </w:r>
    </w:p>
    <w:p w:rsidR="0018237B" w:rsidRDefault="00CF536D" w:rsidP="00026506">
      <w:pPr>
        <w:pStyle w:val="Normal3"/>
        <w:spacing w:before="240"/>
        <w:rPr>
          <w:rFonts w:ascii="Adobe Caslon Pro" w:hAnsi="Adobe Caslon Pro"/>
          <w:strike/>
          <w:sz w:val="22"/>
          <w:szCs w:val="22"/>
        </w:rPr>
      </w:pPr>
      <w:r w:rsidRPr="000907D3">
        <w:rPr>
          <w:rFonts w:ascii="Adobe Caslon Pro" w:hAnsi="Adobe Caslon Pro"/>
          <w:sz w:val="22"/>
          <w:szCs w:val="22"/>
        </w:rPr>
        <w:t xml:space="preserve">La definición de </w:t>
      </w:r>
      <w:r w:rsidRPr="000907D3">
        <w:rPr>
          <w:rFonts w:ascii="Adobe Caslon Pro" w:hAnsi="Adobe Caslon Pro"/>
          <w:i/>
          <w:iCs/>
          <w:sz w:val="22"/>
          <w:szCs w:val="22"/>
        </w:rPr>
        <w:t xml:space="preserve">actividades </w:t>
      </w:r>
      <w:r w:rsidRPr="000907D3">
        <w:rPr>
          <w:rFonts w:ascii="Adobe Caslon Pro" w:hAnsi="Adobe Caslon Pro"/>
          <w:sz w:val="22"/>
          <w:szCs w:val="22"/>
        </w:rPr>
        <w:t xml:space="preserve">abre o cierra la posibilidad de apoyo para las OSC. La LFFAROSC determina, en su artículo 5, las 19 actividades que cubren las principales áreas de intervención de las organizaciones. No obstante, en la práctica, se trata de uno de los artículos que requiere modificación ya que confunde actividades con atención a la población y enfoques o perspectivas específicas, como la de género. </w:t>
      </w:r>
    </w:p>
    <w:p w:rsidR="009A08BD" w:rsidRPr="000907D3" w:rsidRDefault="009A08BD" w:rsidP="00026506">
      <w:pPr>
        <w:pStyle w:val="Normal3"/>
        <w:spacing w:before="240"/>
        <w:rPr>
          <w:rFonts w:ascii="Adobe Caslon Pro" w:hAnsi="Adobe Caslon Pro"/>
          <w:sz w:val="22"/>
          <w:szCs w:val="22"/>
        </w:rPr>
      </w:pPr>
    </w:p>
    <w:p w:rsidR="00CF536D" w:rsidRDefault="00CF536D" w:rsidP="00026506">
      <w:pPr>
        <w:pStyle w:val="Normal3"/>
        <w:spacing w:before="240"/>
        <w:rPr>
          <w:rFonts w:ascii="Adobe Caslon Pro" w:hAnsi="Adobe Caslon Pro"/>
          <w:sz w:val="22"/>
          <w:szCs w:val="22"/>
        </w:rPr>
      </w:pPr>
      <w:r w:rsidRPr="000907D3">
        <w:rPr>
          <w:rFonts w:ascii="Adobe Caslon Pro" w:hAnsi="Adobe Caslon Pro"/>
          <w:sz w:val="22"/>
          <w:szCs w:val="22"/>
        </w:rPr>
        <w:lastRenderedPageBreak/>
        <w:t xml:space="preserve">La generalidad de las actividades diluye, igualmente, la responsabilidad de las diversas secretarías y dependencias de </w:t>
      </w:r>
      <w:r w:rsidR="00BE60D4">
        <w:rPr>
          <w:rFonts w:ascii="Adobe Caslon Pro" w:hAnsi="Adobe Caslon Pro"/>
          <w:sz w:val="22"/>
          <w:szCs w:val="22"/>
        </w:rPr>
        <w:t>gobierno</w:t>
      </w:r>
      <w:r w:rsidRPr="000907D3">
        <w:rPr>
          <w:rFonts w:ascii="Adobe Caslon Pro" w:hAnsi="Adobe Caslon Pro"/>
          <w:sz w:val="22"/>
          <w:szCs w:val="22"/>
        </w:rPr>
        <w:t xml:space="preserve"> respecto al cumplimiento de sus obligaciones con la sociedad civil, así como en la designación de programas, proyectos y presupuesto para el fomento de las actividades de las OSC. Sería pertinente que en la redacción del artículo se busque relacionar las actividades con las </w:t>
      </w:r>
      <w:r w:rsidR="00110975" w:rsidRPr="000907D3">
        <w:rPr>
          <w:rFonts w:ascii="Adobe Caslon Pro" w:hAnsi="Adobe Caslon Pro"/>
          <w:sz w:val="22"/>
          <w:szCs w:val="22"/>
        </w:rPr>
        <w:t xml:space="preserve">atribuciones de las </w:t>
      </w:r>
      <w:r w:rsidRPr="000907D3">
        <w:rPr>
          <w:rFonts w:ascii="Adobe Caslon Pro" w:hAnsi="Adobe Caslon Pro"/>
          <w:sz w:val="22"/>
          <w:szCs w:val="22"/>
        </w:rPr>
        <w:t xml:space="preserve">dependencias de la </w:t>
      </w:r>
      <w:r w:rsidR="00F75775">
        <w:rPr>
          <w:rFonts w:ascii="Adobe Caslon Pro" w:hAnsi="Adobe Caslon Pro"/>
          <w:sz w:val="22"/>
          <w:szCs w:val="22"/>
        </w:rPr>
        <w:t>APF</w:t>
      </w:r>
      <w:r w:rsidRPr="000907D3">
        <w:rPr>
          <w:rFonts w:ascii="Adobe Caslon Pro" w:hAnsi="Adobe Caslon Pro"/>
          <w:sz w:val="22"/>
          <w:szCs w:val="22"/>
        </w:rPr>
        <w:t xml:space="preserve"> y que pueda revisarse si efectivamente existen recursos y políticas de fomento a las actividades de las OSC.</w:t>
      </w:r>
    </w:p>
    <w:p w:rsidR="00CF536D" w:rsidRDefault="00CF536D" w:rsidP="00026506">
      <w:pPr>
        <w:pStyle w:val="Normal3"/>
        <w:spacing w:before="240"/>
        <w:rPr>
          <w:rFonts w:ascii="Adobe Caslon Pro" w:hAnsi="Adobe Caslon Pro"/>
          <w:sz w:val="22"/>
          <w:szCs w:val="22"/>
        </w:rPr>
      </w:pPr>
      <w:r w:rsidRPr="000907D3">
        <w:rPr>
          <w:rFonts w:ascii="Adobe Caslon Pro" w:hAnsi="Adobe Caslon Pro"/>
          <w:sz w:val="22"/>
          <w:szCs w:val="22"/>
        </w:rPr>
        <w:t xml:space="preserve">En el mismo sentido, en las leyes estatales no se cubren todas las actividades que establece la </w:t>
      </w:r>
      <w:r w:rsidR="0039496C">
        <w:rPr>
          <w:rFonts w:ascii="Adobe Caslon Pro" w:hAnsi="Adobe Caslon Pro"/>
          <w:sz w:val="22"/>
          <w:szCs w:val="22"/>
        </w:rPr>
        <w:t>LFFAROSC</w:t>
      </w:r>
      <w:r w:rsidRPr="000907D3">
        <w:rPr>
          <w:rFonts w:ascii="Adobe Caslon Pro" w:hAnsi="Adobe Caslon Pro"/>
          <w:sz w:val="22"/>
          <w:szCs w:val="22"/>
        </w:rPr>
        <w:t>, siendo Tlaxcala el estado con menor número de actividades y Morelos la entidad que cubre todas las planteadas en la</w:t>
      </w:r>
      <w:r w:rsidR="00E370D8" w:rsidRPr="000907D3">
        <w:rPr>
          <w:rFonts w:ascii="Adobe Caslon Pro" w:hAnsi="Adobe Caslon Pro"/>
          <w:sz w:val="22"/>
          <w:szCs w:val="22"/>
        </w:rPr>
        <w:t xml:space="preserve"> LFFAROSC</w:t>
      </w:r>
      <w:r w:rsidRPr="000907D3">
        <w:rPr>
          <w:rFonts w:ascii="Adobe Caslon Pro" w:hAnsi="Adobe Caslon Pro"/>
          <w:sz w:val="22"/>
          <w:szCs w:val="22"/>
        </w:rPr>
        <w:t>.</w:t>
      </w:r>
    </w:p>
    <w:p w:rsidR="00F0748E" w:rsidRPr="00D059D9" w:rsidRDefault="00CF536D" w:rsidP="00D458FF">
      <w:pPr>
        <w:pStyle w:val="Epgrafe"/>
        <w:spacing w:before="240" w:after="240" w:line="276" w:lineRule="auto"/>
        <w:jc w:val="center"/>
        <w:rPr>
          <w:rFonts w:ascii="Adobe Caslon Pro" w:hAnsi="Adobe Caslon Pro" w:cs="Arial"/>
          <w:color w:val="000000" w:themeColor="text1"/>
          <w:sz w:val="20"/>
          <w:szCs w:val="20"/>
        </w:rPr>
      </w:pPr>
      <w:bookmarkStart w:id="129" w:name="_Toc380855760"/>
      <w:r w:rsidRPr="00D059D9">
        <w:rPr>
          <w:rFonts w:ascii="Adobe Caslon Pro" w:hAnsi="Adobe Caslon Pro" w:cs="Arial"/>
          <w:color w:val="000000" w:themeColor="text1"/>
          <w:sz w:val="20"/>
          <w:szCs w:val="20"/>
        </w:rPr>
        <w:t xml:space="preserve">Cuadro </w:t>
      </w:r>
      <w:r w:rsidR="001E24D5" w:rsidRPr="00D059D9">
        <w:rPr>
          <w:rFonts w:ascii="Adobe Caslon Pro" w:hAnsi="Adobe Caslon Pro" w:cs="Arial"/>
          <w:color w:val="000000" w:themeColor="text1"/>
          <w:sz w:val="20"/>
          <w:szCs w:val="20"/>
        </w:rPr>
        <w:t>9</w:t>
      </w:r>
      <w:r w:rsidRPr="00D059D9">
        <w:rPr>
          <w:rFonts w:ascii="Adobe Caslon Pro" w:hAnsi="Adobe Caslon Pro" w:cs="Arial"/>
          <w:color w:val="000000" w:themeColor="text1"/>
          <w:sz w:val="20"/>
          <w:szCs w:val="20"/>
        </w:rPr>
        <w:t>. Principales actividades objeto de fomento</w:t>
      </w:r>
      <w:bookmarkEnd w:id="129"/>
    </w:p>
    <w:tbl>
      <w:tblPr>
        <w:tblW w:w="9717" w:type="dxa"/>
        <w:jc w:val="center"/>
        <w:tblInd w:w="55" w:type="dxa"/>
        <w:tblCellMar>
          <w:left w:w="70" w:type="dxa"/>
          <w:right w:w="70" w:type="dxa"/>
        </w:tblCellMar>
        <w:tblLook w:val="04A0" w:firstRow="1" w:lastRow="0" w:firstColumn="1" w:lastColumn="0" w:noHBand="0" w:noVBand="1"/>
      </w:tblPr>
      <w:tblGrid>
        <w:gridCol w:w="469"/>
        <w:gridCol w:w="3304"/>
        <w:gridCol w:w="743"/>
        <w:gridCol w:w="743"/>
        <w:gridCol w:w="743"/>
        <w:gridCol w:w="743"/>
        <w:gridCol w:w="743"/>
        <w:gridCol w:w="743"/>
        <w:gridCol w:w="743"/>
        <w:gridCol w:w="743"/>
      </w:tblGrid>
      <w:tr w:rsidR="006E796E" w:rsidRPr="006E796E" w:rsidTr="00D458FF">
        <w:trPr>
          <w:trHeight w:val="751"/>
          <w:jc w:val="center"/>
        </w:trPr>
        <w:tc>
          <w:tcPr>
            <w:tcW w:w="3773" w:type="dxa"/>
            <w:gridSpan w:val="2"/>
            <w:vMerge w:val="restart"/>
            <w:tcBorders>
              <w:top w:val="nil"/>
              <w:left w:val="nil"/>
              <w:bottom w:val="double" w:sz="6" w:space="0" w:color="000000"/>
              <w:right w:val="nil"/>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b/>
                <w:bCs/>
                <w:color w:val="000000"/>
                <w:sz w:val="20"/>
                <w:szCs w:val="20"/>
                <w:lang w:eastAsia="es-MX"/>
              </w:rPr>
            </w:pPr>
            <w:r w:rsidRPr="006E796E">
              <w:rPr>
                <w:rFonts w:ascii="Adobe Caslon Pro" w:eastAsia="Times New Roman" w:hAnsi="Adobe Caslon Pro"/>
                <w:b/>
                <w:bCs/>
                <w:color w:val="000000"/>
                <w:sz w:val="20"/>
                <w:szCs w:val="20"/>
                <w:lang w:eastAsia="es-MX"/>
              </w:rPr>
              <w:t>Actividad</w:t>
            </w:r>
          </w:p>
        </w:tc>
        <w:tc>
          <w:tcPr>
            <w:tcW w:w="743" w:type="dxa"/>
            <w:vMerge w:val="restart"/>
            <w:tcBorders>
              <w:top w:val="nil"/>
              <w:left w:val="nil"/>
              <w:bottom w:val="double" w:sz="6" w:space="0" w:color="000000"/>
              <w:right w:val="nil"/>
            </w:tcBorders>
            <w:shd w:val="clear" w:color="auto" w:fill="auto"/>
            <w:noWrap/>
            <w:textDirection w:val="btLr"/>
            <w:vAlign w:val="bottom"/>
            <w:hideMark/>
          </w:tcPr>
          <w:p w:rsidR="006E796E" w:rsidRPr="006E796E" w:rsidRDefault="006E796E" w:rsidP="00271526">
            <w:pPr>
              <w:spacing w:after="0"/>
              <w:contextualSpacing/>
              <w:jc w:val="both"/>
              <w:rPr>
                <w:rFonts w:ascii="Adobe Caslon Pro" w:eastAsia="Times New Roman" w:hAnsi="Adobe Caslon Pro"/>
                <w:b/>
                <w:bCs/>
                <w:color w:val="000000"/>
                <w:sz w:val="20"/>
                <w:szCs w:val="20"/>
                <w:lang w:eastAsia="es-MX"/>
              </w:rPr>
            </w:pPr>
            <w:r w:rsidRPr="006E796E">
              <w:rPr>
                <w:rFonts w:ascii="Adobe Caslon Pro" w:eastAsia="Times New Roman" w:hAnsi="Adobe Caslon Pro"/>
                <w:b/>
                <w:bCs/>
                <w:color w:val="000000"/>
                <w:sz w:val="20"/>
                <w:szCs w:val="20"/>
                <w:lang w:eastAsia="es-MX"/>
              </w:rPr>
              <w:t>Baja California</w:t>
            </w:r>
          </w:p>
        </w:tc>
        <w:tc>
          <w:tcPr>
            <w:tcW w:w="743" w:type="dxa"/>
            <w:vMerge w:val="restart"/>
            <w:tcBorders>
              <w:top w:val="nil"/>
              <w:left w:val="nil"/>
              <w:bottom w:val="double" w:sz="6" w:space="0" w:color="000000"/>
              <w:right w:val="nil"/>
            </w:tcBorders>
            <w:shd w:val="clear" w:color="auto" w:fill="auto"/>
            <w:noWrap/>
            <w:textDirection w:val="btLr"/>
            <w:vAlign w:val="bottom"/>
            <w:hideMark/>
          </w:tcPr>
          <w:p w:rsidR="006E796E" w:rsidRPr="006E796E" w:rsidRDefault="006E796E" w:rsidP="00271526">
            <w:pPr>
              <w:spacing w:after="0"/>
              <w:contextualSpacing/>
              <w:jc w:val="both"/>
              <w:rPr>
                <w:rFonts w:ascii="Adobe Caslon Pro" w:eastAsia="Times New Roman" w:hAnsi="Adobe Caslon Pro"/>
                <w:b/>
                <w:bCs/>
                <w:color w:val="000000"/>
                <w:sz w:val="20"/>
                <w:szCs w:val="20"/>
                <w:lang w:eastAsia="es-MX"/>
              </w:rPr>
            </w:pPr>
            <w:r w:rsidRPr="006E796E">
              <w:rPr>
                <w:rFonts w:ascii="Adobe Caslon Pro" w:eastAsia="Times New Roman" w:hAnsi="Adobe Caslon Pro"/>
                <w:b/>
                <w:bCs/>
                <w:color w:val="000000"/>
                <w:sz w:val="20"/>
                <w:szCs w:val="20"/>
                <w:lang w:eastAsia="es-MX"/>
              </w:rPr>
              <w:t>Distrito Federal</w:t>
            </w:r>
          </w:p>
        </w:tc>
        <w:tc>
          <w:tcPr>
            <w:tcW w:w="743" w:type="dxa"/>
            <w:vMerge w:val="restart"/>
            <w:tcBorders>
              <w:top w:val="nil"/>
              <w:left w:val="nil"/>
              <w:bottom w:val="double" w:sz="6" w:space="0" w:color="000000"/>
              <w:right w:val="nil"/>
            </w:tcBorders>
            <w:shd w:val="clear" w:color="auto" w:fill="auto"/>
            <w:noWrap/>
            <w:textDirection w:val="btLr"/>
            <w:vAlign w:val="bottom"/>
            <w:hideMark/>
          </w:tcPr>
          <w:p w:rsidR="006E796E" w:rsidRPr="006E796E" w:rsidRDefault="006E796E" w:rsidP="00271526">
            <w:pPr>
              <w:spacing w:after="0"/>
              <w:contextualSpacing/>
              <w:jc w:val="both"/>
              <w:rPr>
                <w:rFonts w:ascii="Adobe Caslon Pro" w:eastAsia="Times New Roman" w:hAnsi="Adobe Caslon Pro"/>
                <w:b/>
                <w:bCs/>
                <w:color w:val="000000"/>
                <w:sz w:val="20"/>
                <w:szCs w:val="20"/>
                <w:lang w:eastAsia="es-MX"/>
              </w:rPr>
            </w:pPr>
            <w:r w:rsidRPr="006E796E">
              <w:rPr>
                <w:rFonts w:ascii="Adobe Caslon Pro" w:eastAsia="Times New Roman" w:hAnsi="Adobe Caslon Pro"/>
                <w:b/>
                <w:bCs/>
                <w:color w:val="000000"/>
                <w:sz w:val="20"/>
                <w:szCs w:val="20"/>
                <w:lang w:eastAsia="es-MX"/>
              </w:rPr>
              <w:t>Morelos</w:t>
            </w:r>
          </w:p>
        </w:tc>
        <w:tc>
          <w:tcPr>
            <w:tcW w:w="743" w:type="dxa"/>
            <w:vMerge w:val="restart"/>
            <w:tcBorders>
              <w:top w:val="nil"/>
              <w:left w:val="nil"/>
              <w:bottom w:val="double" w:sz="6" w:space="0" w:color="000000"/>
              <w:right w:val="nil"/>
            </w:tcBorders>
            <w:shd w:val="clear" w:color="auto" w:fill="auto"/>
            <w:noWrap/>
            <w:textDirection w:val="btLr"/>
            <w:vAlign w:val="bottom"/>
            <w:hideMark/>
          </w:tcPr>
          <w:p w:rsidR="006E796E" w:rsidRPr="006E796E" w:rsidRDefault="006E796E" w:rsidP="00271526">
            <w:pPr>
              <w:spacing w:after="0"/>
              <w:contextualSpacing/>
              <w:jc w:val="both"/>
              <w:rPr>
                <w:rFonts w:ascii="Adobe Caslon Pro" w:eastAsia="Times New Roman" w:hAnsi="Adobe Caslon Pro"/>
                <w:b/>
                <w:bCs/>
                <w:color w:val="000000"/>
                <w:sz w:val="20"/>
                <w:szCs w:val="20"/>
                <w:lang w:eastAsia="es-MX"/>
              </w:rPr>
            </w:pPr>
            <w:r w:rsidRPr="006E796E">
              <w:rPr>
                <w:rFonts w:ascii="Adobe Caslon Pro" w:eastAsia="Times New Roman" w:hAnsi="Adobe Caslon Pro"/>
                <w:b/>
                <w:bCs/>
                <w:color w:val="000000"/>
                <w:sz w:val="20"/>
                <w:szCs w:val="20"/>
                <w:lang w:eastAsia="es-MX"/>
              </w:rPr>
              <w:t>Tamaulipas</w:t>
            </w:r>
          </w:p>
        </w:tc>
        <w:tc>
          <w:tcPr>
            <w:tcW w:w="743" w:type="dxa"/>
            <w:vMerge w:val="restart"/>
            <w:tcBorders>
              <w:top w:val="nil"/>
              <w:left w:val="nil"/>
              <w:bottom w:val="double" w:sz="6" w:space="0" w:color="000000"/>
              <w:right w:val="nil"/>
            </w:tcBorders>
            <w:shd w:val="clear" w:color="auto" w:fill="auto"/>
            <w:noWrap/>
            <w:textDirection w:val="btLr"/>
            <w:vAlign w:val="bottom"/>
            <w:hideMark/>
          </w:tcPr>
          <w:p w:rsidR="006E796E" w:rsidRPr="006E796E" w:rsidRDefault="006E796E" w:rsidP="00271526">
            <w:pPr>
              <w:spacing w:after="0"/>
              <w:contextualSpacing/>
              <w:jc w:val="both"/>
              <w:rPr>
                <w:rFonts w:ascii="Adobe Caslon Pro" w:eastAsia="Times New Roman" w:hAnsi="Adobe Caslon Pro"/>
                <w:b/>
                <w:bCs/>
                <w:color w:val="000000"/>
                <w:sz w:val="20"/>
                <w:szCs w:val="20"/>
                <w:lang w:eastAsia="es-MX"/>
              </w:rPr>
            </w:pPr>
            <w:r w:rsidRPr="006E796E">
              <w:rPr>
                <w:rFonts w:ascii="Adobe Caslon Pro" w:eastAsia="Times New Roman" w:hAnsi="Adobe Caslon Pro"/>
                <w:b/>
                <w:bCs/>
                <w:color w:val="000000"/>
                <w:sz w:val="20"/>
                <w:szCs w:val="20"/>
                <w:lang w:eastAsia="es-MX"/>
              </w:rPr>
              <w:t>Tlaxcala</w:t>
            </w:r>
          </w:p>
        </w:tc>
        <w:tc>
          <w:tcPr>
            <w:tcW w:w="743" w:type="dxa"/>
            <w:vMerge w:val="restart"/>
            <w:tcBorders>
              <w:top w:val="nil"/>
              <w:left w:val="nil"/>
              <w:bottom w:val="double" w:sz="6" w:space="0" w:color="000000"/>
              <w:right w:val="nil"/>
            </w:tcBorders>
            <w:shd w:val="clear" w:color="auto" w:fill="auto"/>
            <w:noWrap/>
            <w:textDirection w:val="btLr"/>
            <w:vAlign w:val="bottom"/>
            <w:hideMark/>
          </w:tcPr>
          <w:p w:rsidR="006E796E" w:rsidRPr="006E796E" w:rsidRDefault="006E796E" w:rsidP="00271526">
            <w:pPr>
              <w:spacing w:after="0"/>
              <w:contextualSpacing/>
              <w:jc w:val="both"/>
              <w:rPr>
                <w:rFonts w:ascii="Adobe Caslon Pro" w:eastAsia="Times New Roman" w:hAnsi="Adobe Caslon Pro"/>
                <w:b/>
                <w:bCs/>
                <w:color w:val="000000"/>
                <w:sz w:val="20"/>
                <w:szCs w:val="20"/>
                <w:lang w:eastAsia="es-MX"/>
              </w:rPr>
            </w:pPr>
            <w:r w:rsidRPr="006E796E">
              <w:rPr>
                <w:rFonts w:ascii="Adobe Caslon Pro" w:eastAsia="Times New Roman" w:hAnsi="Adobe Caslon Pro"/>
                <w:b/>
                <w:bCs/>
                <w:color w:val="000000"/>
                <w:sz w:val="20"/>
                <w:szCs w:val="20"/>
                <w:lang w:eastAsia="es-MX"/>
              </w:rPr>
              <w:t>Veracruz</w:t>
            </w:r>
          </w:p>
        </w:tc>
        <w:tc>
          <w:tcPr>
            <w:tcW w:w="743" w:type="dxa"/>
            <w:vMerge w:val="restart"/>
            <w:tcBorders>
              <w:top w:val="nil"/>
              <w:left w:val="nil"/>
              <w:bottom w:val="double" w:sz="6" w:space="0" w:color="000000"/>
              <w:right w:val="nil"/>
            </w:tcBorders>
            <w:shd w:val="clear" w:color="auto" w:fill="auto"/>
            <w:noWrap/>
            <w:textDirection w:val="btLr"/>
            <w:vAlign w:val="bottom"/>
            <w:hideMark/>
          </w:tcPr>
          <w:p w:rsidR="006E796E" w:rsidRPr="006E796E" w:rsidRDefault="006E796E" w:rsidP="00271526">
            <w:pPr>
              <w:spacing w:after="0"/>
              <w:contextualSpacing/>
              <w:jc w:val="both"/>
              <w:rPr>
                <w:rFonts w:ascii="Adobe Caslon Pro" w:eastAsia="Times New Roman" w:hAnsi="Adobe Caslon Pro"/>
                <w:b/>
                <w:bCs/>
                <w:color w:val="000000"/>
                <w:sz w:val="20"/>
                <w:szCs w:val="20"/>
                <w:lang w:eastAsia="es-MX"/>
              </w:rPr>
            </w:pPr>
            <w:r w:rsidRPr="006E796E">
              <w:rPr>
                <w:rFonts w:ascii="Adobe Caslon Pro" w:eastAsia="Times New Roman" w:hAnsi="Adobe Caslon Pro"/>
                <w:b/>
                <w:bCs/>
                <w:color w:val="000000"/>
                <w:sz w:val="20"/>
                <w:szCs w:val="20"/>
                <w:lang w:eastAsia="es-MX"/>
              </w:rPr>
              <w:t>Zacatecas</w:t>
            </w:r>
          </w:p>
        </w:tc>
        <w:tc>
          <w:tcPr>
            <w:tcW w:w="743" w:type="dxa"/>
            <w:vMerge w:val="restart"/>
            <w:tcBorders>
              <w:top w:val="nil"/>
              <w:left w:val="nil"/>
              <w:bottom w:val="double" w:sz="6" w:space="0" w:color="000000"/>
              <w:right w:val="nil"/>
            </w:tcBorders>
            <w:shd w:val="clear" w:color="auto" w:fill="auto"/>
            <w:noWrap/>
            <w:textDirection w:val="btLr"/>
            <w:vAlign w:val="bottom"/>
            <w:hideMark/>
          </w:tcPr>
          <w:p w:rsidR="006E796E" w:rsidRPr="006E796E" w:rsidRDefault="006E796E" w:rsidP="005769B2">
            <w:pPr>
              <w:spacing w:after="0"/>
              <w:jc w:val="both"/>
              <w:rPr>
                <w:rFonts w:ascii="Adobe Caslon Pro" w:eastAsia="Times New Roman" w:hAnsi="Adobe Caslon Pro"/>
                <w:b/>
                <w:bCs/>
                <w:color w:val="000000"/>
                <w:sz w:val="20"/>
                <w:szCs w:val="20"/>
                <w:lang w:eastAsia="es-MX"/>
              </w:rPr>
            </w:pPr>
            <w:r w:rsidRPr="006E796E">
              <w:rPr>
                <w:rFonts w:ascii="Adobe Caslon Pro" w:eastAsia="Times New Roman" w:hAnsi="Adobe Caslon Pro"/>
                <w:b/>
                <w:bCs/>
                <w:color w:val="000000"/>
                <w:sz w:val="20"/>
                <w:szCs w:val="20"/>
                <w:lang w:eastAsia="es-MX"/>
              </w:rPr>
              <w:t>Total</w:t>
            </w:r>
          </w:p>
        </w:tc>
      </w:tr>
      <w:tr w:rsidR="006E796E" w:rsidRPr="006E796E" w:rsidTr="00D458FF">
        <w:trPr>
          <w:trHeight w:val="1155"/>
          <w:jc w:val="center"/>
        </w:trPr>
        <w:tc>
          <w:tcPr>
            <w:tcW w:w="3773" w:type="dxa"/>
            <w:gridSpan w:val="2"/>
            <w:vMerge/>
            <w:tcBorders>
              <w:top w:val="nil"/>
              <w:left w:val="nil"/>
              <w:bottom w:val="double" w:sz="6" w:space="0" w:color="000000"/>
              <w:right w:val="nil"/>
            </w:tcBorders>
            <w:vAlign w:val="center"/>
            <w:hideMark/>
          </w:tcPr>
          <w:p w:rsidR="006E796E" w:rsidRPr="006E796E" w:rsidRDefault="006E796E" w:rsidP="00271526">
            <w:pPr>
              <w:spacing w:after="0"/>
              <w:contextualSpacing/>
              <w:jc w:val="both"/>
              <w:rPr>
                <w:rFonts w:ascii="Adobe Caslon Pro" w:eastAsia="Times New Roman" w:hAnsi="Adobe Caslon Pro"/>
                <w:b/>
                <w:bCs/>
                <w:color w:val="000000"/>
                <w:sz w:val="20"/>
                <w:szCs w:val="20"/>
                <w:lang w:eastAsia="es-MX"/>
              </w:rPr>
            </w:pPr>
          </w:p>
        </w:tc>
        <w:tc>
          <w:tcPr>
            <w:tcW w:w="743" w:type="dxa"/>
            <w:vMerge/>
            <w:tcBorders>
              <w:top w:val="nil"/>
              <w:left w:val="nil"/>
              <w:bottom w:val="double" w:sz="6" w:space="0" w:color="000000"/>
              <w:right w:val="nil"/>
            </w:tcBorders>
            <w:vAlign w:val="center"/>
            <w:hideMark/>
          </w:tcPr>
          <w:p w:rsidR="006E796E" w:rsidRPr="006E796E" w:rsidRDefault="006E796E" w:rsidP="00271526">
            <w:pPr>
              <w:spacing w:after="0"/>
              <w:contextualSpacing/>
              <w:jc w:val="both"/>
              <w:rPr>
                <w:rFonts w:ascii="Adobe Caslon Pro" w:eastAsia="Times New Roman" w:hAnsi="Adobe Caslon Pro"/>
                <w:b/>
                <w:bCs/>
                <w:color w:val="000000"/>
                <w:sz w:val="20"/>
                <w:szCs w:val="20"/>
                <w:lang w:eastAsia="es-MX"/>
              </w:rPr>
            </w:pPr>
          </w:p>
        </w:tc>
        <w:tc>
          <w:tcPr>
            <w:tcW w:w="743" w:type="dxa"/>
            <w:vMerge/>
            <w:tcBorders>
              <w:top w:val="nil"/>
              <w:left w:val="nil"/>
              <w:bottom w:val="double" w:sz="6" w:space="0" w:color="000000"/>
              <w:right w:val="nil"/>
            </w:tcBorders>
            <w:vAlign w:val="center"/>
            <w:hideMark/>
          </w:tcPr>
          <w:p w:rsidR="006E796E" w:rsidRPr="006E796E" w:rsidRDefault="006E796E" w:rsidP="00271526">
            <w:pPr>
              <w:spacing w:after="0"/>
              <w:contextualSpacing/>
              <w:jc w:val="both"/>
              <w:rPr>
                <w:rFonts w:ascii="Adobe Caslon Pro" w:eastAsia="Times New Roman" w:hAnsi="Adobe Caslon Pro"/>
                <w:b/>
                <w:bCs/>
                <w:color w:val="000000"/>
                <w:sz w:val="20"/>
                <w:szCs w:val="20"/>
                <w:lang w:eastAsia="es-MX"/>
              </w:rPr>
            </w:pPr>
          </w:p>
        </w:tc>
        <w:tc>
          <w:tcPr>
            <w:tcW w:w="743" w:type="dxa"/>
            <w:vMerge/>
            <w:tcBorders>
              <w:top w:val="nil"/>
              <w:left w:val="nil"/>
              <w:bottom w:val="double" w:sz="6" w:space="0" w:color="000000"/>
              <w:right w:val="nil"/>
            </w:tcBorders>
            <w:vAlign w:val="center"/>
            <w:hideMark/>
          </w:tcPr>
          <w:p w:rsidR="006E796E" w:rsidRPr="006E796E" w:rsidRDefault="006E796E" w:rsidP="00271526">
            <w:pPr>
              <w:spacing w:after="0"/>
              <w:contextualSpacing/>
              <w:jc w:val="both"/>
              <w:rPr>
                <w:rFonts w:ascii="Adobe Caslon Pro" w:eastAsia="Times New Roman" w:hAnsi="Adobe Caslon Pro"/>
                <w:b/>
                <w:bCs/>
                <w:color w:val="000000"/>
                <w:sz w:val="20"/>
                <w:szCs w:val="20"/>
                <w:lang w:eastAsia="es-MX"/>
              </w:rPr>
            </w:pPr>
          </w:p>
        </w:tc>
        <w:tc>
          <w:tcPr>
            <w:tcW w:w="743" w:type="dxa"/>
            <w:vMerge/>
            <w:tcBorders>
              <w:top w:val="nil"/>
              <w:left w:val="nil"/>
              <w:bottom w:val="double" w:sz="6" w:space="0" w:color="000000"/>
              <w:right w:val="nil"/>
            </w:tcBorders>
            <w:vAlign w:val="center"/>
            <w:hideMark/>
          </w:tcPr>
          <w:p w:rsidR="006E796E" w:rsidRPr="006E796E" w:rsidRDefault="006E796E" w:rsidP="00271526">
            <w:pPr>
              <w:spacing w:after="0"/>
              <w:contextualSpacing/>
              <w:jc w:val="both"/>
              <w:rPr>
                <w:rFonts w:ascii="Adobe Caslon Pro" w:eastAsia="Times New Roman" w:hAnsi="Adobe Caslon Pro"/>
                <w:b/>
                <w:bCs/>
                <w:color w:val="000000"/>
                <w:sz w:val="20"/>
                <w:szCs w:val="20"/>
                <w:lang w:eastAsia="es-MX"/>
              </w:rPr>
            </w:pPr>
          </w:p>
        </w:tc>
        <w:tc>
          <w:tcPr>
            <w:tcW w:w="743" w:type="dxa"/>
            <w:vMerge/>
            <w:tcBorders>
              <w:top w:val="nil"/>
              <w:left w:val="nil"/>
              <w:bottom w:val="double" w:sz="6" w:space="0" w:color="000000"/>
              <w:right w:val="nil"/>
            </w:tcBorders>
            <w:vAlign w:val="center"/>
            <w:hideMark/>
          </w:tcPr>
          <w:p w:rsidR="006E796E" w:rsidRPr="006E796E" w:rsidRDefault="006E796E" w:rsidP="00271526">
            <w:pPr>
              <w:spacing w:after="0"/>
              <w:contextualSpacing/>
              <w:jc w:val="both"/>
              <w:rPr>
                <w:rFonts w:ascii="Adobe Caslon Pro" w:eastAsia="Times New Roman" w:hAnsi="Adobe Caslon Pro"/>
                <w:b/>
                <w:bCs/>
                <w:color w:val="000000"/>
                <w:sz w:val="20"/>
                <w:szCs w:val="20"/>
                <w:lang w:eastAsia="es-MX"/>
              </w:rPr>
            </w:pPr>
          </w:p>
        </w:tc>
        <w:tc>
          <w:tcPr>
            <w:tcW w:w="743" w:type="dxa"/>
            <w:vMerge/>
            <w:tcBorders>
              <w:top w:val="nil"/>
              <w:left w:val="nil"/>
              <w:bottom w:val="double" w:sz="6" w:space="0" w:color="000000"/>
              <w:right w:val="nil"/>
            </w:tcBorders>
            <w:vAlign w:val="center"/>
            <w:hideMark/>
          </w:tcPr>
          <w:p w:rsidR="006E796E" w:rsidRPr="006E796E" w:rsidRDefault="006E796E" w:rsidP="00271526">
            <w:pPr>
              <w:spacing w:after="0"/>
              <w:contextualSpacing/>
              <w:jc w:val="both"/>
              <w:rPr>
                <w:rFonts w:ascii="Adobe Caslon Pro" w:eastAsia="Times New Roman" w:hAnsi="Adobe Caslon Pro"/>
                <w:b/>
                <w:bCs/>
                <w:color w:val="000000"/>
                <w:sz w:val="20"/>
                <w:szCs w:val="20"/>
                <w:lang w:eastAsia="es-MX"/>
              </w:rPr>
            </w:pPr>
          </w:p>
        </w:tc>
        <w:tc>
          <w:tcPr>
            <w:tcW w:w="743" w:type="dxa"/>
            <w:vMerge/>
            <w:tcBorders>
              <w:top w:val="nil"/>
              <w:left w:val="nil"/>
              <w:bottom w:val="double" w:sz="6" w:space="0" w:color="000000"/>
              <w:right w:val="nil"/>
            </w:tcBorders>
            <w:vAlign w:val="center"/>
            <w:hideMark/>
          </w:tcPr>
          <w:p w:rsidR="006E796E" w:rsidRPr="006E796E" w:rsidRDefault="006E796E" w:rsidP="00271526">
            <w:pPr>
              <w:spacing w:after="0"/>
              <w:contextualSpacing/>
              <w:jc w:val="both"/>
              <w:rPr>
                <w:rFonts w:ascii="Adobe Caslon Pro" w:eastAsia="Times New Roman" w:hAnsi="Adobe Caslon Pro"/>
                <w:b/>
                <w:bCs/>
                <w:color w:val="000000"/>
                <w:sz w:val="20"/>
                <w:szCs w:val="20"/>
                <w:lang w:eastAsia="es-MX"/>
              </w:rPr>
            </w:pPr>
          </w:p>
        </w:tc>
        <w:tc>
          <w:tcPr>
            <w:tcW w:w="743" w:type="dxa"/>
            <w:vMerge/>
            <w:tcBorders>
              <w:top w:val="nil"/>
              <w:left w:val="nil"/>
              <w:bottom w:val="double" w:sz="6" w:space="0" w:color="000000"/>
              <w:right w:val="nil"/>
            </w:tcBorders>
            <w:vAlign w:val="center"/>
            <w:hideMark/>
          </w:tcPr>
          <w:p w:rsidR="006E796E" w:rsidRPr="006E796E" w:rsidRDefault="006E796E" w:rsidP="005769B2">
            <w:pPr>
              <w:spacing w:after="0"/>
              <w:jc w:val="both"/>
              <w:rPr>
                <w:rFonts w:ascii="Adobe Caslon Pro" w:eastAsia="Times New Roman" w:hAnsi="Adobe Caslon Pro"/>
                <w:b/>
                <w:bCs/>
                <w:color w:val="000000"/>
                <w:sz w:val="20"/>
                <w:szCs w:val="20"/>
                <w:lang w:eastAsia="es-MX"/>
              </w:rPr>
            </w:pPr>
          </w:p>
        </w:tc>
      </w:tr>
      <w:tr w:rsidR="006E796E" w:rsidRPr="006E796E" w:rsidTr="00D458FF">
        <w:trPr>
          <w:trHeight w:val="360"/>
          <w:jc w:val="center"/>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1</w:t>
            </w:r>
          </w:p>
        </w:tc>
        <w:tc>
          <w:tcPr>
            <w:tcW w:w="3304" w:type="dxa"/>
            <w:tcBorders>
              <w:top w:val="nil"/>
              <w:left w:val="nil"/>
              <w:bottom w:val="single" w:sz="4" w:space="0" w:color="auto"/>
              <w:right w:val="single" w:sz="4" w:space="0" w:color="auto"/>
            </w:tcBorders>
            <w:shd w:val="clear" w:color="auto" w:fill="auto"/>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Asistencia social</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nil"/>
              <w:right w:val="nil"/>
            </w:tcBorders>
            <w:shd w:val="clear" w:color="auto" w:fill="auto"/>
            <w:noWrap/>
            <w:vAlign w:val="center"/>
            <w:hideMark/>
          </w:tcPr>
          <w:p w:rsidR="006E796E" w:rsidRPr="006E796E" w:rsidRDefault="006E796E" w:rsidP="005769B2">
            <w:pPr>
              <w:spacing w:after="0"/>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7</w:t>
            </w:r>
          </w:p>
        </w:tc>
      </w:tr>
      <w:tr w:rsidR="006E796E" w:rsidRPr="006E796E" w:rsidTr="00D458FF">
        <w:trPr>
          <w:trHeight w:val="345"/>
          <w:jc w:val="center"/>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2</w:t>
            </w:r>
          </w:p>
        </w:tc>
        <w:tc>
          <w:tcPr>
            <w:tcW w:w="3304" w:type="dxa"/>
            <w:tcBorders>
              <w:top w:val="nil"/>
              <w:left w:val="nil"/>
              <w:bottom w:val="single" w:sz="4" w:space="0" w:color="auto"/>
              <w:right w:val="single" w:sz="4" w:space="0" w:color="auto"/>
            </w:tcBorders>
            <w:shd w:val="clear" w:color="auto" w:fill="auto"/>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Alimentación popular</w:t>
            </w:r>
          </w:p>
        </w:tc>
        <w:tc>
          <w:tcPr>
            <w:tcW w:w="743" w:type="dxa"/>
            <w:tcBorders>
              <w:top w:val="nil"/>
              <w:left w:val="nil"/>
              <w:bottom w:val="single" w:sz="4" w:space="0" w:color="auto"/>
              <w:right w:val="single" w:sz="4" w:space="0" w:color="auto"/>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nil"/>
              <w:right w:val="nil"/>
            </w:tcBorders>
            <w:shd w:val="clear" w:color="auto" w:fill="auto"/>
            <w:noWrap/>
            <w:vAlign w:val="center"/>
            <w:hideMark/>
          </w:tcPr>
          <w:p w:rsidR="006E796E" w:rsidRPr="006E796E" w:rsidRDefault="006E796E" w:rsidP="005769B2">
            <w:pPr>
              <w:spacing w:after="0"/>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3</w:t>
            </w:r>
          </w:p>
        </w:tc>
      </w:tr>
      <w:tr w:rsidR="006E796E" w:rsidRPr="006E796E" w:rsidTr="00D458FF">
        <w:trPr>
          <w:trHeight w:val="345"/>
          <w:jc w:val="center"/>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3</w:t>
            </w:r>
          </w:p>
        </w:tc>
        <w:tc>
          <w:tcPr>
            <w:tcW w:w="3304" w:type="dxa"/>
            <w:tcBorders>
              <w:top w:val="nil"/>
              <w:left w:val="nil"/>
              <w:bottom w:val="single" w:sz="4" w:space="0" w:color="auto"/>
              <w:right w:val="single" w:sz="4" w:space="0" w:color="auto"/>
            </w:tcBorders>
            <w:shd w:val="clear" w:color="auto" w:fill="auto"/>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Actividades cívicas</w:t>
            </w:r>
          </w:p>
        </w:tc>
        <w:tc>
          <w:tcPr>
            <w:tcW w:w="743" w:type="dxa"/>
            <w:tcBorders>
              <w:top w:val="nil"/>
              <w:left w:val="nil"/>
              <w:bottom w:val="single" w:sz="4" w:space="0" w:color="auto"/>
              <w:right w:val="single" w:sz="4" w:space="0" w:color="auto"/>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nil"/>
              <w:right w:val="nil"/>
            </w:tcBorders>
            <w:shd w:val="clear" w:color="auto" w:fill="auto"/>
            <w:noWrap/>
            <w:vAlign w:val="center"/>
            <w:hideMark/>
          </w:tcPr>
          <w:p w:rsidR="006E796E" w:rsidRPr="006E796E" w:rsidRDefault="006E796E" w:rsidP="005769B2">
            <w:pPr>
              <w:spacing w:after="0"/>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5</w:t>
            </w:r>
          </w:p>
        </w:tc>
      </w:tr>
      <w:tr w:rsidR="006E796E" w:rsidRPr="006E796E" w:rsidTr="00D458FF">
        <w:trPr>
          <w:trHeight w:val="345"/>
          <w:jc w:val="center"/>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4</w:t>
            </w:r>
          </w:p>
        </w:tc>
        <w:tc>
          <w:tcPr>
            <w:tcW w:w="3304" w:type="dxa"/>
            <w:tcBorders>
              <w:top w:val="nil"/>
              <w:left w:val="nil"/>
              <w:bottom w:val="single" w:sz="4" w:space="0" w:color="auto"/>
              <w:right w:val="single" w:sz="4" w:space="0" w:color="auto"/>
            </w:tcBorders>
            <w:shd w:val="clear" w:color="auto" w:fill="auto"/>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Asistencia jurídica</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nil"/>
              <w:right w:val="nil"/>
            </w:tcBorders>
            <w:shd w:val="clear" w:color="auto" w:fill="auto"/>
            <w:noWrap/>
            <w:vAlign w:val="center"/>
            <w:hideMark/>
          </w:tcPr>
          <w:p w:rsidR="006E796E" w:rsidRPr="006E796E" w:rsidRDefault="006E796E" w:rsidP="005769B2">
            <w:pPr>
              <w:spacing w:after="0"/>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6</w:t>
            </w:r>
          </w:p>
        </w:tc>
      </w:tr>
      <w:tr w:rsidR="006E796E" w:rsidRPr="006E796E" w:rsidTr="00D458FF">
        <w:trPr>
          <w:trHeight w:val="345"/>
          <w:jc w:val="center"/>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5</w:t>
            </w:r>
          </w:p>
        </w:tc>
        <w:tc>
          <w:tcPr>
            <w:tcW w:w="3304" w:type="dxa"/>
            <w:tcBorders>
              <w:top w:val="nil"/>
              <w:left w:val="nil"/>
              <w:bottom w:val="single" w:sz="4" w:space="0" w:color="auto"/>
              <w:right w:val="single" w:sz="4" w:space="0" w:color="auto"/>
            </w:tcBorders>
            <w:shd w:val="clear" w:color="auto" w:fill="auto"/>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Apoyo a indígenas</w:t>
            </w:r>
          </w:p>
        </w:tc>
        <w:tc>
          <w:tcPr>
            <w:tcW w:w="743" w:type="dxa"/>
            <w:tcBorders>
              <w:top w:val="nil"/>
              <w:left w:val="nil"/>
              <w:bottom w:val="single" w:sz="4" w:space="0" w:color="auto"/>
              <w:right w:val="single" w:sz="4" w:space="0" w:color="auto"/>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nil"/>
              <w:right w:val="nil"/>
            </w:tcBorders>
            <w:shd w:val="clear" w:color="auto" w:fill="auto"/>
            <w:noWrap/>
            <w:vAlign w:val="center"/>
            <w:hideMark/>
          </w:tcPr>
          <w:p w:rsidR="006E796E" w:rsidRPr="006E796E" w:rsidRDefault="006E796E" w:rsidP="005769B2">
            <w:pPr>
              <w:spacing w:after="0"/>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2</w:t>
            </w:r>
          </w:p>
        </w:tc>
      </w:tr>
      <w:tr w:rsidR="006E796E" w:rsidRPr="006E796E" w:rsidTr="00D458FF">
        <w:trPr>
          <w:trHeight w:val="345"/>
          <w:jc w:val="center"/>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6</w:t>
            </w:r>
          </w:p>
        </w:tc>
        <w:tc>
          <w:tcPr>
            <w:tcW w:w="3304" w:type="dxa"/>
            <w:tcBorders>
              <w:top w:val="nil"/>
              <w:left w:val="nil"/>
              <w:bottom w:val="single" w:sz="4" w:space="0" w:color="auto"/>
              <w:right w:val="single" w:sz="4" w:space="0" w:color="auto"/>
            </w:tcBorders>
            <w:shd w:val="clear" w:color="auto" w:fill="auto"/>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Equidad de género</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nil"/>
              <w:right w:val="nil"/>
            </w:tcBorders>
            <w:shd w:val="clear" w:color="auto" w:fill="auto"/>
            <w:noWrap/>
            <w:vAlign w:val="center"/>
            <w:hideMark/>
          </w:tcPr>
          <w:p w:rsidR="006E796E" w:rsidRPr="006E796E" w:rsidRDefault="006E796E" w:rsidP="005769B2">
            <w:pPr>
              <w:spacing w:after="0"/>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4</w:t>
            </w:r>
          </w:p>
        </w:tc>
      </w:tr>
      <w:tr w:rsidR="006E796E" w:rsidRPr="006E796E" w:rsidTr="00D458FF">
        <w:trPr>
          <w:trHeight w:val="345"/>
          <w:jc w:val="center"/>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7</w:t>
            </w:r>
          </w:p>
        </w:tc>
        <w:tc>
          <w:tcPr>
            <w:tcW w:w="3304" w:type="dxa"/>
            <w:tcBorders>
              <w:top w:val="nil"/>
              <w:left w:val="nil"/>
              <w:bottom w:val="single" w:sz="4" w:space="0" w:color="auto"/>
              <w:right w:val="single" w:sz="4" w:space="0" w:color="auto"/>
            </w:tcBorders>
            <w:shd w:val="clear" w:color="auto" w:fill="auto"/>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Apoyo a grupos sociales con capacidades diferentes</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nil"/>
              <w:right w:val="nil"/>
            </w:tcBorders>
            <w:shd w:val="clear" w:color="auto" w:fill="auto"/>
            <w:noWrap/>
            <w:vAlign w:val="center"/>
            <w:hideMark/>
          </w:tcPr>
          <w:p w:rsidR="006E796E" w:rsidRPr="006E796E" w:rsidRDefault="006E796E" w:rsidP="005769B2">
            <w:pPr>
              <w:spacing w:after="0"/>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4</w:t>
            </w:r>
          </w:p>
        </w:tc>
      </w:tr>
      <w:tr w:rsidR="006E796E" w:rsidRPr="006E796E" w:rsidTr="00D458FF">
        <w:trPr>
          <w:trHeight w:val="345"/>
          <w:jc w:val="center"/>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8</w:t>
            </w:r>
          </w:p>
        </w:tc>
        <w:tc>
          <w:tcPr>
            <w:tcW w:w="3304" w:type="dxa"/>
            <w:tcBorders>
              <w:top w:val="nil"/>
              <w:left w:val="nil"/>
              <w:bottom w:val="single" w:sz="4" w:space="0" w:color="auto"/>
              <w:right w:val="single" w:sz="4" w:space="0" w:color="auto"/>
            </w:tcBorders>
            <w:shd w:val="clear" w:color="auto" w:fill="auto"/>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Desarrollo comunitario</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nil"/>
              <w:right w:val="nil"/>
            </w:tcBorders>
            <w:shd w:val="clear" w:color="auto" w:fill="auto"/>
            <w:noWrap/>
            <w:vAlign w:val="center"/>
            <w:hideMark/>
          </w:tcPr>
          <w:p w:rsidR="006E796E" w:rsidRPr="006E796E" w:rsidRDefault="006E796E" w:rsidP="005769B2">
            <w:pPr>
              <w:spacing w:after="0"/>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7</w:t>
            </w:r>
          </w:p>
        </w:tc>
      </w:tr>
      <w:tr w:rsidR="006E796E" w:rsidRPr="006E796E" w:rsidTr="00D458FF">
        <w:trPr>
          <w:trHeight w:val="345"/>
          <w:jc w:val="center"/>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9</w:t>
            </w:r>
          </w:p>
        </w:tc>
        <w:tc>
          <w:tcPr>
            <w:tcW w:w="3304" w:type="dxa"/>
            <w:tcBorders>
              <w:top w:val="nil"/>
              <w:left w:val="nil"/>
              <w:bottom w:val="single" w:sz="4" w:space="0" w:color="auto"/>
              <w:right w:val="single" w:sz="4" w:space="0" w:color="auto"/>
            </w:tcBorders>
            <w:shd w:val="clear" w:color="auto" w:fill="auto"/>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Derechos humanos</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nil"/>
              <w:right w:val="nil"/>
            </w:tcBorders>
            <w:shd w:val="clear" w:color="auto" w:fill="auto"/>
            <w:noWrap/>
            <w:vAlign w:val="center"/>
            <w:hideMark/>
          </w:tcPr>
          <w:p w:rsidR="006E796E" w:rsidRPr="006E796E" w:rsidRDefault="006E796E" w:rsidP="005769B2">
            <w:pPr>
              <w:spacing w:after="0"/>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7</w:t>
            </w:r>
          </w:p>
        </w:tc>
      </w:tr>
      <w:tr w:rsidR="006E796E" w:rsidRPr="006E796E" w:rsidTr="00D458FF">
        <w:trPr>
          <w:trHeight w:val="345"/>
          <w:jc w:val="center"/>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10</w:t>
            </w:r>
          </w:p>
        </w:tc>
        <w:tc>
          <w:tcPr>
            <w:tcW w:w="3304" w:type="dxa"/>
            <w:tcBorders>
              <w:top w:val="nil"/>
              <w:left w:val="nil"/>
              <w:bottom w:val="single" w:sz="4" w:space="0" w:color="auto"/>
              <w:right w:val="single" w:sz="4" w:space="0" w:color="auto"/>
            </w:tcBorders>
            <w:shd w:val="clear" w:color="auto" w:fill="auto"/>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Deporte</w:t>
            </w:r>
          </w:p>
        </w:tc>
        <w:tc>
          <w:tcPr>
            <w:tcW w:w="743" w:type="dxa"/>
            <w:tcBorders>
              <w:top w:val="nil"/>
              <w:left w:val="nil"/>
              <w:bottom w:val="single" w:sz="4" w:space="0" w:color="auto"/>
              <w:right w:val="single" w:sz="4" w:space="0" w:color="auto"/>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nil"/>
              <w:right w:val="nil"/>
            </w:tcBorders>
            <w:shd w:val="clear" w:color="auto" w:fill="auto"/>
            <w:noWrap/>
            <w:vAlign w:val="center"/>
            <w:hideMark/>
          </w:tcPr>
          <w:p w:rsidR="006E796E" w:rsidRPr="006E796E" w:rsidRDefault="006E796E" w:rsidP="005769B2">
            <w:pPr>
              <w:spacing w:after="0"/>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3</w:t>
            </w:r>
          </w:p>
        </w:tc>
      </w:tr>
      <w:tr w:rsidR="006E796E" w:rsidRPr="006E796E" w:rsidTr="00D458FF">
        <w:trPr>
          <w:trHeight w:val="345"/>
          <w:jc w:val="center"/>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11</w:t>
            </w:r>
          </w:p>
        </w:tc>
        <w:tc>
          <w:tcPr>
            <w:tcW w:w="3304" w:type="dxa"/>
            <w:tcBorders>
              <w:top w:val="nil"/>
              <w:left w:val="nil"/>
              <w:bottom w:val="single" w:sz="4" w:space="0" w:color="auto"/>
              <w:right w:val="single" w:sz="4" w:space="0" w:color="auto"/>
            </w:tcBorders>
            <w:shd w:val="clear" w:color="auto" w:fill="auto"/>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Salud</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nil"/>
              <w:right w:val="nil"/>
            </w:tcBorders>
            <w:shd w:val="clear" w:color="auto" w:fill="auto"/>
            <w:noWrap/>
            <w:vAlign w:val="center"/>
            <w:hideMark/>
          </w:tcPr>
          <w:p w:rsidR="006E796E" w:rsidRPr="006E796E" w:rsidRDefault="006E796E" w:rsidP="005769B2">
            <w:pPr>
              <w:spacing w:after="0"/>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6</w:t>
            </w:r>
          </w:p>
        </w:tc>
      </w:tr>
      <w:tr w:rsidR="006E796E" w:rsidRPr="006E796E" w:rsidTr="00D458FF">
        <w:trPr>
          <w:trHeight w:val="345"/>
          <w:jc w:val="center"/>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12</w:t>
            </w:r>
          </w:p>
        </w:tc>
        <w:tc>
          <w:tcPr>
            <w:tcW w:w="3304" w:type="dxa"/>
            <w:tcBorders>
              <w:top w:val="nil"/>
              <w:left w:val="nil"/>
              <w:bottom w:val="single" w:sz="4" w:space="0" w:color="auto"/>
              <w:right w:val="single" w:sz="4" w:space="0" w:color="auto"/>
            </w:tcBorders>
            <w:shd w:val="clear" w:color="auto" w:fill="auto"/>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Desarrollo sustentable</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nil"/>
              <w:right w:val="nil"/>
            </w:tcBorders>
            <w:shd w:val="clear" w:color="auto" w:fill="auto"/>
            <w:noWrap/>
            <w:vAlign w:val="center"/>
            <w:hideMark/>
          </w:tcPr>
          <w:p w:rsidR="006E796E" w:rsidRPr="006E796E" w:rsidRDefault="006E796E" w:rsidP="005769B2">
            <w:pPr>
              <w:spacing w:after="0"/>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7</w:t>
            </w:r>
          </w:p>
        </w:tc>
      </w:tr>
      <w:tr w:rsidR="006E796E" w:rsidRPr="006E796E" w:rsidTr="00D458FF">
        <w:trPr>
          <w:trHeight w:val="345"/>
          <w:jc w:val="center"/>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13</w:t>
            </w:r>
          </w:p>
        </w:tc>
        <w:tc>
          <w:tcPr>
            <w:tcW w:w="3304" w:type="dxa"/>
            <w:tcBorders>
              <w:top w:val="nil"/>
              <w:left w:val="nil"/>
              <w:bottom w:val="single" w:sz="4" w:space="0" w:color="auto"/>
              <w:right w:val="single" w:sz="4" w:space="0" w:color="auto"/>
            </w:tcBorders>
            <w:shd w:val="clear" w:color="auto" w:fill="auto"/>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Educación</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nil"/>
              <w:right w:val="nil"/>
            </w:tcBorders>
            <w:shd w:val="clear" w:color="auto" w:fill="auto"/>
            <w:noWrap/>
            <w:vAlign w:val="center"/>
            <w:hideMark/>
          </w:tcPr>
          <w:p w:rsidR="006E796E" w:rsidRPr="006E796E" w:rsidRDefault="006E796E" w:rsidP="005769B2">
            <w:pPr>
              <w:spacing w:after="0"/>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6</w:t>
            </w:r>
          </w:p>
        </w:tc>
      </w:tr>
      <w:tr w:rsidR="006E796E" w:rsidRPr="006E796E" w:rsidTr="00D458FF">
        <w:trPr>
          <w:trHeight w:val="345"/>
          <w:jc w:val="center"/>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14</w:t>
            </w:r>
          </w:p>
        </w:tc>
        <w:tc>
          <w:tcPr>
            <w:tcW w:w="3304" w:type="dxa"/>
            <w:tcBorders>
              <w:top w:val="nil"/>
              <w:left w:val="nil"/>
              <w:bottom w:val="single" w:sz="4" w:space="0" w:color="auto"/>
              <w:right w:val="single" w:sz="4" w:space="0" w:color="auto"/>
            </w:tcBorders>
            <w:shd w:val="clear" w:color="auto" w:fill="auto"/>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Cultura</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nil"/>
              <w:right w:val="nil"/>
            </w:tcBorders>
            <w:shd w:val="clear" w:color="auto" w:fill="auto"/>
            <w:noWrap/>
            <w:vAlign w:val="center"/>
            <w:hideMark/>
          </w:tcPr>
          <w:p w:rsidR="006E796E" w:rsidRPr="006E796E" w:rsidRDefault="006E796E" w:rsidP="005769B2">
            <w:pPr>
              <w:spacing w:after="0"/>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6</w:t>
            </w:r>
          </w:p>
        </w:tc>
      </w:tr>
      <w:tr w:rsidR="006E796E" w:rsidRPr="006E796E" w:rsidTr="00D458FF">
        <w:trPr>
          <w:trHeight w:val="345"/>
          <w:jc w:val="center"/>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lastRenderedPageBreak/>
              <w:t>15</w:t>
            </w:r>
          </w:p>
        </w:tc>
        <w:tc>
          <w:tcPr>
            <w:tcW w:w="3304" w:type="dxa"/>
            <w:tcBorders>
              <w:top w:val="nil"/>
              <w:left w:val="nil"/>
              <w:bottom w:val="single" w:sz="4" w:space="0" w:color="auto"/>
              <w:right w:val="single" w:sz="4" w:space="0" w:color="auto"/>
            </w:tcBorders>
            <w:shd w:val="clear" w:color="auto" w:fill="auto"/>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Ciencia y tecnología</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nil"/>
              <w:right w:val="nil"/>
            </w:tcBorders>
            <w:shd w:val="clear" w:color="auto" w:fill="auto"/>
            <w:noWrap/>
            <w:vAlign w:val="center"/>
            <w:hideMark/>
          </w:tcPr>
          <w:p w:rsidR="006E796E" w:rsidRPr="006E796E" w:rsidRDefault="006E796E" w:rsidP="005769B2">
            <w:pPr>
              <w:spacing w:after="0"/>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7</w:t>
            </w:r>
          </w:p>
        </w:tc>
      </w:tr>
      <w:tr w:rsidR="006E796E" w:rsidRPr="006E796E" w:rsidTr="00D458FF">
        <w:trPr>
          <w:trHeight w:val="345"/>
          <w:jc w:val="center"/>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16</w:t>
            </w:r>
          </w:p>
        </w:tc>
        <w:tc>
          <w:tcPr>
            <w:tcW w:w="3304" w:type="dxa"/>
            <w:tcBorders>
              <w:top w:val="nil"/>
              <w:left w:val="nil"/>
              <w:bottom w:val="single" w:sz="4" w:space="0" w:color="auto"/>
              <w:right w:val="single" w:sz="4" w:space="0" w:color="auto"/>
            </w:tcBorders>
            <w:shd w:val="clear" w:color="auto" w:fill="auto"/>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Economía popular</w:t>
            </w:r>
          </w:p>
        </w:tc>
        <w:tc>
          <w:tcPr>
            <w:tcW w:w="743" w:type="dxa"/>
            <w:tcBorders>
              <w:top w:val="nil"/>
              <w:left w:val="nil"/>
              <w:bottom w:val="single" w:sz="4" w:space="0" w:color="auto"/>
              <w:right w:val="single" w:sz="4" w:space="0" w:color="auto"/>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nil"/>
              <w:right w:val="nil"/>
            </w:tcBorders>
            <w:shd w:val="clear" w:color="auto" w:fill="auto"/>
            <w:noWrap/>
            <w:vAlign w:val="center"/>
            <w:hideMark/>
          </w:tcPr>
          <w:p w:rsidR="006E796E" w:rsidRPr="006E796E" w:rsidRDefault="006E796E" w:rsidP="005769B2">
            <w:pPr>
              <w:spacing w:after="0"/>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2</w:t>
            </w:r>
          </w:p>
        </w:tc>
      </w:tr>
      <w:tr w:rsidR="006E796E" w:rsidRPr="006E796E" w:rsidTr="00D458FF">
        <w:trPr>
          <w:trHeight w:val="345"/>
          <w:jc w:val="center"/>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17</w:t>
            </w:r>
          </w:p>
        </w:tc>
        <w:tc>
          <w:tcPr>
            <w:tcW w:w="3304" w:type="dxa"/>
            <w:tcBorders>
              <w:top w:val="nil"/>
              <w:left w:val="nil"/>
              <w:bottom w:val="single" w:sz="4" w:space="0" w:color="auto"/>
              <w:right w:val="single" w:sz="4" w:space="0" w:color="auto"/>
            </w:tcBorders>
            <w:shd w:val="clear" w:color="auto" w:fill="auto"/>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Protección civil</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nil"/>
              <w:right w:val="nil"/>
            </w:tcBorders>
            <w:shd w:val="clear" w:color="auto" w:fill="auto"/>
            <w:noWrap/>
            <w:vAlign w:val="center"/>
            <w:hideMark/>
          </w:tcPr>
          <w:p w:rsidR="006E796E" w:rsidRPr="006E796E" w:rsidRDefault="006E796E" w:rsidP="005769B2">
            <w:pPr>
              <w:spacing w:after="0"/>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6</w:t>
            </w:r>
          </w:p>
        </w:tc>
      </w:tr>
      <w:tr w:rsidR="006E796E" w:rsidRPr="006E796E" w:rsidTr="00D458FF">
        <w:trPr>
          <w:trHeight w:val="345"/>
          <w:jc w:val="center"/>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18</w:t>
            </w:r>
          </w:p>
        </w:tc>
        <w:tc>
          <w:tcPr>
            <w:tcW w:w="3304" w:type="dxa"/>
            <w:tcBorders>
              <w:top w:val="nil"/>
              <w:left w:val="nil"/>
              <w:bottom w:val="single" w:sz="4" w:space="0" w:color="auto"/>
              <w:right w:val="single" w:sz="4" w:space="0" w:color="auto"/>
            </w:tcBorders>
            <w:shd w:val="clear" w:color="auto" w:fill="auto"/>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Apoyo a otras OSC</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nil"/>
              <w:right w:val="nil"/>
            </w:tcBorders>
            <w:shd w:val="clear" w:color="auto" w:fill="auto"/>
            <w:noWrap/>
            <w:vAlign w:val="center"/>
            <w:hideMark/>
          </w:tcPr>
          <w:p w:rsidR="006E796E" w:rsidRPr="006E796E" w:rsidRDefault="006E796E" w:rsidP="005769B2">
            <w:pPr>
              <w:spacing w:after="0"/>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6</w:t>
            </w:r>
          </w:p>
        </w:tc>
      </w:tr>
      <w:tr w:rsidR="006E796E" w:rsidRPr="006E796E" w:rsidTr="00D458FF">
        <w:trPr>
          <w:trHeight w:val="345"/>
          <w:jc w:val="center"/>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19</w:t>
            </w:r>
          </w:p>
        </w:tc>
        <w:tc>
          <w:tcPr>
            <w:tcW w:w="3304" w:type="dxa"/>
            <w:tcBorders>
              <w:top w:val="nil"/>
              <w:left w:val="nil"/>
              <w:bottom w:val="single" w:sz="4" w:space="0" w:color="auto"/>
              <w:right w:val="single" w:sz="4" w:space="0" w:color="auto"/>
            </w:tcBorders>
            <w:shd w:val="clear" w:color="auto" w:fill="auto"/>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Otras</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single" w:sz="4" w:space="0" w:color="auto"/>
              <w:right w:val="single" w:sz="4" w:space="0" w:color="auto"/>
            </w:tcBorders>
            <w:shd w:val="clear" w:color="000000" w:fill="D9D9D9"/>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743" w:type="dxa"/>
            <w:tcBorders>
              <w:top w:val="nil"/>
              <w:left w:val="nil"/>
              <w:bottom w:val="nil"/>
              <w:right w:val="nil"/>
            </w:tcBorders>
            <w:shd w:val="clear" w:color="auto" w:fill="auto"/>
            <w:noWrap/>
            <w:vAlign w:val="center"/>
            <w:hideMark/>
          </w:tcPr>
          <w:p w:rsidR="006E796E" w:rsidRPr="006E796E" w:rsidRDefault="006E796E" w:rsidP="005769B2">
            <w:pPr>
              <w:spacing w:after="0"/>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6</w:t>
            </w:r>
          </w:p>
        </w:tc>
      </w:tr>
      <w:tr w:rsidR="006E796E" w:rsidRPr="006E796E" w:rsidTr="00D458FF">
        <w:trPr>
          <w:trHeight w:val="345"/>
          <w:jc w:val="center"/>
        </w:trPr>
        <w:tc>
          <w:tcPr>
            <w:tcW w:w="469" w:type="dxa"/>
            <w:tcBorders>
              <w:top w:val="nil"/>
              <w:left w:val="nil"/>
              <w:bottom w:val="single" w:sz="4" w:space="0" w:color="auto"/>
              <w:right w:val="nil"/>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c>
          <w:tcPr>
            <w:tcW w:w="3304" w:type="dxa"/>
            <w:tcBorders>
              <w:top w:val="nil"/>
              <w:left w:val="nil"/>
              <w:bottom w:val="single" w:sz="4" w:space="0" w:color="auto"/>
              <w:right w:val="nil"/>
            </w:tcBorders>
            <w:shd w:val="clear" w:color="auto" w:fill="auto"/>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Total</w:t>
            </w:r>
          </w:p>
        </w:tc>
        <w:tc>
          <w:tcPr>
            <w:tcW w:w="743" w:type="dxa"/>
            <w:tcBorders>
              <w:top w:val="nil"/>
              <w:left w:val="nil"/>
              <w:bottom w:val="single" w:sz="4" w:space="0" w:color="auto"/>
              <w:right w:val="nil"/>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14</w:t>
            </w:r>
          </w:p>
        </w:tc>
        <w:tc>
          <w:tcPr>
            <w:tcW w:w="743" w:type="dxa"/>
            <w:tcBorders>
              <w:top w:val="nil"/>
              <w:left w:val="nil"/>
              <w:bottom w:val="single" w:sz="4" w:space="0" w:color="auto"/>
              <w:right w:val="nil"/>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12</w:t>
            </w:r>
          </w:p>
        </w:tc>
        <w:tc>
          <w:tcPr>
            <w:tcW w:w="743" w:type="dxa"/>
            <w:tcBorders>
              <w:top w:val="nil"/>
              <w:left w:val="nil"/>
              <w:bottom w:val="single" w:sz="4" w:space="0" w:color="auto"/>
              <w:right w:val="nil"/>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18</w:t>
            </w:r>
          </w:p>
        </w:tc>
        <w:tc>
          <w:tcPr>
            <w:tcW w:w="743" w:type="dxa"/>
            <w:tcBorders>
              <w:top w:val="nil"/>
              <w:left w:val="nil"/>
              <w:bottom w:val="single" w:sz="4" w:space="0" w:color="auto"/>
              <w:right w:val="nil"/>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18</w:t>
            </w:r>
          </w:p>
        </w:tc>
        <w:tc>
          <w:tcPr>
            <w:tcW w:w="743" w:type="dxa"/>
            <w:tcBorders>
              <w:top w:val="nil"/>
              <w:left w:val="nil"/>
              <w:bottom w:val="single" w:sz="4" w:space="0" w:color="auto"/>
              <w:right w:val="nil"/>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6</w:t>
            </w:r>
          </w:p>
        </w:tc>
        <w:tc>
          <w:tcPr>
            <w:tcW w:w="743" w:type="dxa"/>
            <w:tcBorders>
              <w:top w:val="nil"/>
              <w:left w:val="nil"/>
              <w:bottom w:val="single" w:sz="4" w:space="0" w:color="auto"/>
              <w:right w:val="nil"/>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13</w:t>
            </w:r>
          </w:p>
        </w:tc>
        <w:tc>
          <w:tcPr>
            <w:tcW w:w="743" w:type="dxa"/>
            <w:tcBorders>
              <w:top w:val="nil"/>
              <w:left w:val="nil"/>
              <w:bottom w:val="single" w:sz="4" w:space="0" w:color="auto"/>
              <w:right w:val="nil"/>
            </w:tcBorders>
            <w:shd w:val="clear" w:color="auto" w:fill="auto"/>
            <w:noWrap/>
            <w:vAlign w:val="center"/>
            <w:hideMark/>
          </w:tcPr>
          <w:p w:rsidR="006E796E" w:rsidRPr="006E796E" w:rsidRDefault="006E796E" w:rsidP="00271526">
            <w:pPr>
              <w:spacing w:after="0"/>
              <w:contextualSpacing/>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19</w:t>
            </w:r>
          </w:p>
        </w:tc>
        <w:tc>
          <w:tcPr>
            <w:tcW w:w="743" w:type="dxa"/>
            <w:tcBorders>
              <w:top w:val="nil"/>
              <w:left w:val="nil"/>
              <w:bottom w:val="single" w:sz="4" w:space="0" w:color="auto"/>
              <w:right w:val="nil"/>
            </w:tcBorders>
            <w:shd w:val="clear" w:color="auto" w:fill="auto"/>
            <w:noWrap/>
            <w:vAlign w:val="center"/>
            <w:hideMark/>
          </w:tcPr>
          <w:p w:rsidR="006E796E" w:rsidRPr="006E796E" w:rsidRDefault="006E796E" w:rsidP="005769B2">
            <w:pPr>
              <w:spacing w:after="0"/>
              <w:jc w:val="both"/>
              <w:rPr>
                <w:rFonts w:ascii="Adobe Caslon Pro" w:eastAsia="Times New Roman" w:hAnsi="Adobe Caslon Pro"/>
                <w:color w:val="000000"/>
                <w:sz w:val="20"/>
                <w:szCs w:val="20"/>
                <w:lang w:eastAsia="es-MX"/>
              </w:rPr>
            </w:pPr>
            <w:r w:rsidRPr="006E796E">
              <w:rPr>
                <w:rFonts w:ascii="Adobe Caslon Pro" w:eastAsia="Times New Roman" w:hAnsi="Adobe Caslon Pro"/>
                <w:color w:val="000000"/>
                <w:sz w:val="20"/>
                <w:szCs w:val="20"/>
                <w:lang w:eastAsia="es-MX"/>
              </w:rPr>
              <w:t> </w:t>
            </w:r>
          </w:p>
        </w:tc>
      </w:tr>
    </w:tbl>
    <w:p w:rsidR="006E796E" w:rsidRPr="006E796E" w:rsidRDefault="006E796E" w:rsidP="00026506">
      <w:pPr>
        <w:spacing w:before="240"/>
        <w:jc w:val="both"/>
      </w:pPr>
    </w:p>
    <w:p w:rsidR="00CF536D" w:rsidRDefault="00CF536D" w:rsidP="00026506">
      <w:pPr>
        <w:pStyle w:val="Normal3"/>
        <w:spacing w:before="240"/>
        <w:rPr>
          <w:rFonts w:ascii="Adobe Caslon Pro" w:hAnsi="Adobe Caslon Pro"/>
          <w:sz w:val="22"/>
          <w:szCs w:val="22"/>
        </w:rPr>
      </w:pPr>
      <w:r w:rsidRPr="000907D3">
        <w:rPr>
          <w:rFonts w:ascii="Adobe Caslon Pro" w:hAnsi="Adobe Caslon Pro"/>
          <w:sz w:val="22"/>
          <w:szCs w:val="22"/>
        </w:rPr>
        <w:t xml:space="preserve">Uno de los problemas que debe evitarse es que las OSC registren múltiples actividades como predominantes, ya que esto genera limitaciones para caracterizar con claridad, el perfil del sector, así como sus tendencias, actividades más sobresalientes, aquéllas que requieren ser incentivadas, etcétera. Se da el caso, por ejemplo, de organizaciones </w:t>
      </w:r>
      <w:r w:rsidR="005D7E19" w:rsidRPr="000907D3">
        <w:rPr>
          <w:rFonts w:ascii="Adobe Caslon Pro" w:hAnsi="Adobe Caslon Pro"/>
          <w:sz w:val="22"/>
          <w:szCs w:val="22"/>
        </w:rPr>
        <w:t xml:space="preserve">que </w:t>
      </w:r>
      <w:r w:rsidRPr="000907D3">
        <w:rPr>
          <w:rFonts w:ascii="Adobe Caslon Pro" w:hAnsi="Adobe Caslon Pro"/>
          <w:sz w:val="22"/>
          <w:szCs w:val="22"/>
        </w:rPr>
        <w:t>reportan las 18 actividades, con el claro incentivo de incrementar las posibilidades de obtener apoyos públicos.</w:t>
      </w:r>
    </w:p>
    <w:p w:rsidR="00CF536D" w:rsidRPr="000907D3" w:rsidRDefault="00CF536D" w:rsidP="00D458FF">
      <w:pPr>
        <w:pStyle w:val="Normal3"/>
        <w:spacing w:after="120"/>
        <w:rPr>
          <w:rFonts w:ascii="Adobe Caslon Pro" w:hAnsi="Adobe Caslon Pro"/>
          <w:sz w:val="22"/>
          <w:szCs w:val="22"/>
        </w:rPr>
      </w:pPr>
      <w:r w:rsidRPr="000907D3">
        <w:rPr>
          <w:rFonts w:ascii="Adobe Caslon Pro" w:hAnsi="Adobe Caslon Pro"/>
          <w:sz w:val="22"/>
          <w:szCs w:val="22"/>
        </w:rPr>
        <w:t>Es deseable entonces, una definición más precisa de cada actividad y, de ser posible, el uso de ordenamientos legales y normativos vigentes para casos como el de la asistencia social, que se define conforme a la Ley sobre el Sistema Nacional de Asistencia Social y la Ley General de Salud. También se puede utilizar como referencia el artículo 95 de la LISR para desvanecer las ambigüedades conceptuales y empatar definiciones.</w:t>
      </w:r>
    </w:p>
    <w:p w:rsidR="0018237B" w:rsidRDefault="0018237B" w:rsidP="00D458FF">
      <w:pPr>
        <w:pStyle w:val="Texto"/>
        <w:spacing w:after="120" w:line="276" w:lineRule="auto"/>
        <w:jc w:val="both"/>
        <w:rPr>
          <w:rFonts w:ascii="Adobe Caslon Pro" w:hAnsi="Adobe Caslon Pro"/>
          <w:b/>
          <w:sz w:val="22"/>
          <w:szCs w:val="22"/>
        </w:rPr>
      </w:pPr>
    </w:p>
    <w:p w:rsidR="00CF536D" w:rsidRPr="00A037D2" w:rsidRDefault="00CF536D" w:rsidP="00D458FF">
      <w:pPr>
        <w:pStyle w:val="Texto"/>
        <w:spacing w:after="120" w:line="276" w:lineRule="auto"/>
        <w:jc w:val="both"/>
        <w:rPr>
          <w:rFonts w:ascii="Adobe Caslon Pro" w:hAnsi="Adobe Caslon Pro"/>
          <w:b/>
          <w:sz w:val="22"/>
          <w:szCs w:val="22"/>
        </w:rPr>
      </w:pPr>
      <w:r w:rsidRPr="00A037D2">
        <w:rPr>
          <w:rFonts w:ascii="Adobe Caslon Pro" w:hAnsi="Adobe Caslon Pro"/>
          <w:b/>
          <w:sz w:val="22"/>
          <w:szCs w:val="22"/>
        </w:rPr>
        <w:t>Registro Único de OSC</w:t>
      </w:r>
    </w:p>
    <w:p w:rsidR="00CF536D" w:rsidRDefault="005715B3" w:rsidP="00026506">
      <w:pPr>
        <w:pStyle w:val="Normal3"/>
        <w:spacing w:before="240"/>
        <w:rPr>
          <w:rFonts w:ascii="Adobe Caslon Pro" w:hAnsi="Adobe Caslon Pro"/>
          <w:sz w:val="22"/>
          <w:szCs w:val="22"/>
        </w:rPr>
      </w:pPr>
      <w:r w:rsidRPr="009A08BD">
        <w:rPr>
          <w:rFonts w:ascii="Adobe Caslon Pro" w:hAnsi="Adobe Caslon Pro"/>
          <w:sz w:val="22"/>
          <w:szCs w:val="22"/>
        </w:rPr>
        <w:t>En México, existe evidencia que señala la</w:t>
      </w:r>
      <w:r w:rsidR="00874EC3">
        <w:rPr>
          <w:rFonts w:ascii="Adobe Caslon Pro" w:hAnsi="Adobe Caslon Pro"/>
          <w:sz w:val="22"/>
          <w:szCs w:val="22"/>
        </w:rPr>
        <w:t>s</w:t>
      </w:r>
      <w:r w:rsidRPr="009A08BD">
        <w:rPr>
          <w:rFonts w:ascii="Adobe Caslon Pro" w:hAnsi="Adobe Caslon Pro"/>
          <w:sz w:val="22"/>
          <w:szCs w:val="22"/>
        </w:rPr>
        <w:t xml:space="preserve"> dificultad</w:t>
      </w:r>
      <w:r w:rsidR="00874EC3">
        <w:rPr>
          <w:rFonts w:ascii="Adobe Caslon Pro" w:hAnsi="Adobe Caslon Pro"/>
          <w:sz w:val="22"/>
          <w:szCs w:val="22"/>
        </w:rPr>
        <w:t>es</w:t>
      </w:r>
      <w:r w:rsidRPr="009A08BD">
        <w:rPr>
          <w:rFonts w:ascii="Adobe Caslon Pro" w:hAnsi="Adobe Caslon Pro"/>
          <w:sz w:val="22"/>
          <w:szCs w:val="22"/>
        </w:rPr>
        <w:t xml:space="preserve"> a la que se enfrentan las OSC para obtener financiamiento</w:t>
      </w:r>
      <w:r w:rsidR="008649AF" w:rsidRPr="009A08BD">
        <w:rPr>
          <w:rFonts w:ascii="Adobe Caslon Pro" w:hAnsi="Adobe Caslon Pro"/>
          <w:sz w:val="22"/>
          <w:szCs w:val="22"/>
        </w:rPr>
        <w:t xml:space="preserve"> por parte de diferentes dependencias del </w:t>
      </w:r>
      <w:r w:rsidR="00BE60D4">
        <w:rPr>
          <w:rFonts w:ascii="Adobe Caslon Pro" w:hAnsi="Adobe Caslon Pro"/>
          <w:sz w:val="22"/>
          <w:szCs w:val="22"/>
        </w:rPr>
        <w:t>gobierno</w:t>
      </w:r>
      <w:r w:rsidRPr="009A08BD">
        <w:rPr>
          <w:rFonts w:ascii="Adobe Caslon Pro" w:hAnsi="Adobe Caslon Pro"/>
          <w:sz w:val="22"/>
          <w:szCs w:val="22"/>
        </w:rPr>
        <w:t>, derivado de los numerosos registros con lo</w:t>
      </w:r>
      <w:r w:rsidR="008649AF" w:rsidRPr="009A08BD">
        <w:rPr>
          <w:rFonts w:ascii="Adobe Caslon Pro" w:hAnsi="Adobe Caslon Pro"/>
          <w:sz w:val="22"/>
          <w:szCs w:val="22"/>
        </w:rPr>
        <w:t>s cuales tienen qu</w:t>
      </w:r>
      <w:r w:rsidR="00476CD8" w:rsidRPr="009A08BD">
        <w:rPr>
          <w:rFonts w:ascii="Adobe Caslon Pro" w:hAnsi="Adobe Caslon Pro"/>
          <w:sz w:val="22"/>
          <w:szCs w:val="22"/>
        </w:rPr>
        <w:t>e contar.</w:t>
      </w:r>
      <w:r w:rsidR="008649AF" w:rsidRPr="009A08BD">
        <w:rPr>
          <w:rFonts w:ascii="Adobe Caslon Pro" w:hAnsi="Adobe Caslon Pro"/>
          <w:sz w:val="22"/>
          <w:szCs w:val="22"/>
        </w:rPr>
        <w:t xml:space="preserve"> </w:t>
      </w:r>
      <w:r w:rsidR="00476CD8" w:rsidRPr="009A08BD">
        <w:rPr>
          <w:rFonts w:ascii="Adobe Caslon Pro" w:hAnsi="Adobe Caslon Pro"/>
          <w:sz w:val="22"/>
          <w:szCs w:val="22"/>
        </w:rPr>
        <w:t>Por ejemplo</w:t>
      </w:r>
      <w:r w:rsidR="008649AF" w:rsidRPr="009A08BD">
        <w:rPr>
          <w:rFonts w:ascii="Adobe Caslon Pro" w:hAnsi="Adobe Caslon Pro"/>
          <w:sz w:val="22"/>
          <w:szCs w:val="22"/>
        </w:rPr>
        <w:t xml:space="preserve">, </w:t>
      </w:r>
      <w:r w:rsidR="00CF536D" w:rsidRPr="009A08BD">
        <w:rPr>
          <w:rFonts w:ascii="Adobe Caslon Pro" w:hAnsi="Adobe Caslon Pro"/>
          <w:sz w:val="22"/>
          <w:szCs w:val="22"/>
        </w:rPr>
        <w:t>algunas organizaciones pueden estar hasta en cinco registros, como sucede con una I</w:t>
      </w:r>
      <w:r w:rsidR="00706E50" w:rsidRPr="009A08BD">
        <w:rPr>
          <w:rFonts w:ascii="Adobe Caslon Pro" w:hAnsi="Adobe Caslon Pro"/>
          <w:sz w:val="22"/>
          <w:szCs w:val="22"/>
        </w:rPr>
        <w:t>nstitución de</w:t>
      </w:r>
      <w:r w:rsidR="00706E50" w:rsidRPr="000907D3">
        <w:rPr>
          <w:rFonts w:ascii="Adobe Caslon Pro" w:hAnsi="Adobe Caslon Pro"/>
          <w:sz w:val="22"/>
          <w:szCs w:val="22"/>
        </w:rPr>
        <w:t xml:space="preserve"> </w:t>
      </w:r>
      <w:r w:rsidR="00CF536D" w:rsidRPr="000907D3">
        <w:rPr>
          <w:rFonts w:ascii="Adobe Caslon Pro" w:hAnsi="Adobe Caslon Pro"/>
          <w:sz w:val="22"/>
          <w:szCs w:val="22"/>
        </w:rPr>
        <w:t>A</w:t>
      </w:r>
      <w:r w:rsidR="00706E50" w:rsidRPr="000907D3">
        <w:rPr>
          <w:rFonts w:ascii="Adobe Caslon Pro" w:hAnsi="Adobe Caslon Pro"/>
          <w:sz w:val="22"/>
          <w:szCs w:val="22"/>
        </w:rPr>
        <w:t xml:space="preserve">sistencia </w:t>
      </w:r>
      <w:r w:rsidR="00CF536D" w:rsidRPr="000907D3">
        <w:rPr>
          <w:rFonts w:ascii="Adobe Caslon Pro" w:hAnsi="Adobe Caslon Pro"/>
          <w:sz w:val="22"/>
          <w:szCs w:val="22"/>
        </w:rPr>
        <w:t>P</w:t>
      </w:r>
      <w:r w:rsidR="00706E50" w:rsidRPr="000907D3">
        <w:rPr>
          <w:rFonts w:ascii="Adobe Caslon Pro" w:hAnsi="Adobe Caslon Pro"/>
          <w:sz w:val="22"/>
          <w:szCs w:val="22"/>
        </w:rPr>
        <w:t>rivada</w:t>
      </w:r>
      <w:r w:rsidR="00CF536D" w:rsidRPr="000907D3">
        <w:rPr>
          <w:rFonts w:ascii="Adobe Caslon Pro" w:hAnsi="Adobe Caslon Pro"/>
          <w:sz w:val="22"/>
          <w:szCs w:val="22"/>
        </w:rPr>
        <w:t xml:space="preserve"> que tiene que estar registrada en la Junta de Asistencia Privada local, en el registro que establece la Ley de Asistencia y que es administrado por el DIF, y, si se trata de una organización autorizada para recibir donativos, en el registro del Servicio de Administración Tributaria. Si la organización quiere obtener financiamiento del </w:t>
      </w:r>
      <w:r w:rsidR="00BE60D4">
        <w:rPr>
          <w:rFonts w:ascii="Adobe Caslon Pro" w:hAnsi="Adobe Caslon Pro"/>
          <w:sz w:val="22"/>
          <w:szCs w:val="22"/>
        </w:rPr>
        <w:t>gobierno</w:t>
      </w:r>
      <w:r w:rsidR="00CF536D" w:rsidRPr="000907D3">
        <w:rPr>
          <w:rFonts w:ascii="Adobe Caslon Pro" w:hAnsi="Adobe Caslon Pro"/>
          <w:sz w:val="22"/>
          <w:szCs w:val="22"/>
        </w:rPr>
        <w:t xml:space="preserve"> federal, además, debe tramitar su </w:t>
      </w:r>
      <w:r w:rsidR="00CF536D" w:rsidRPr="000907D3">
        <w:rPr>
          <w:rFonts w:ascii="Adobe Caslon Pro" w:hAnsi="Adobe Caslon Pro"/>
          <w:color w:val="000000"/>
          <w:sz w:val="22"/>
          <w:szCs w:val="22"/>
        </w:rPr>
        <w:t>C</w:t>
      </w:r>
      <w:r w:rsidR="00CF536D" w:rsidRPr="000907D3">
        <w:rPr>
          <w:rFonts w:ascii="Adobe Caslon Pro" w:hAnsi="Adobe Caslon Pro"/>
          <w:sz w:val="22"/>
          <w:szCs w:val="22"/>
        </w:rPr>
        <w:t xml:space="preserve">LUNI en </w:t>
      </w:r>
      <w:r w:rsidR="002F714E">
        <w:rPr>
          <w:rFonts w:ascii="Adobe Caslon Pro" w:hAnsi="Adobe Caslon Pro"/>
          <w:sz w:val="22"/>
          <w:szCs w:val="22"/>
        </w:rPr>
        <w:t>INDESOL</w:t>
      </w:r>
      <w:r w:rsidR="00CF536D" w:rsidRPr="000907D3">
        <w:rPr>
          <w:rFonts w:ascii="Adobe Caslon Pro" w:hAnsi="Adobe Caslon Pro"/>
          <w:sz w:val="22"/>
          <w:szCs w:val="22"/>
        </w:rPr>
        <w:t xml:space="preserve">. Y si la institución es del Distrito Federal y desea recursos del </w:t>
      </w:r>
      <w:r w:rsidR="00BE60D4">
        <w:rPr>
          <w:rFonts w:ascii="Adobe Caslon Pro" w:hAnsi="Adobe Caslon Pro"/>
          <w:sz w:val="22"/>
          <w:szCs w:val="22"/>
        </w:rPr>
        <w:t>gobierno</w:t>
      </w:r>
      <w:r w:rsidR="00CF536D" w:rsidRPr="009A08BD">
        <w:rPr>
          <w:rFonts w:ascii="Adobe Caslon Pro" w:hAnsi="Adobe Caslon Pro"/>
          <w:sz w:val="22"/>
          <w:szCs w:val="22"/>
        </w:rPr>
        <w:t xml:space="preserve"> local, también debe inscribirse en el registro de la Secretaría de Desarrollo Social </w:t>
      </w:r>
      <w:r w:rsidR="00BA31E7" w:rsidRPr="009A08BD">
        <w:rPr>
          <w:rFonts w:ascii="Adobe Caslon Pro" w:hAnsi="Adobe Caslon Pro"/>
          <w:sz w:val="22"/>
          <w:szCs w:val="22"/>
        </w:rPr>
        <w:t>del Distrito Federal</w:t>
      </w:r>
      <w:r w:rsidR="00CF536D" w:rsidRPr="009A08BD">
        <w:rPr>
          <w:rFonts w:ascii="Adobe Caslon Pro" w:hAnsi="Adobe Caslon Pro"/>
          <w:sz w:val="22"/>
          <w:szCs w:val="22"/>
        </w:rPr>
        <w:t xml:space="preserve">. </w:t>
      </w:r>
      <w:r w:rsidR="00476CD8" w:rsidRPr="009A08BD">
        <w:rPr>
          <w:rFonts w:ascii="Adobe Caslon Pro" w:hAnsi="Adobe Caslon Pro"/>
          <w:sz w:val="22"/>
          <w:szCs w:val="22"/>
        </w:rPr>
        <w:t>En relación a lo anterior, y dado que c</w:t>
      </w:r>
      <w:r w:rsidR="00CF536D" w:rsidRPr="009A08BD">
        <w:rPr>
          <w:rFonts w:ascii="Adobe Caslon Pro" w:hAnsi="Adobe Caslon Pro"/>
          <w:sz w:val="22"/>
          <w:szCs w:val="22"/>
        </w:rPr>
        <w:t>ada registro requiere actualización anua</w:t>
      </w:r>
      <w:r w:rsidR="00D54827" w:rsidRPr="009A08BD">
        <w:rPr>
          <w:rFonts w:ascii="Adobe Caslon Pro" w:hAnsi="Adobe Caslon Pro"/>
          <w:sz w:val="22"/>
          <w:szCs w:val="22"/>
        </w:rPr>
        <w:t xml:space="preserve">l, trabajo extra así como un aumento </w:t>
      </w:r>
      <w:r w:rsidR="00CF536D" w:rsidRPr="009A08BD">
        <w:rPr>
          <w:rFonts w:ascii="Adobe Caslon Pro" w:hAnsi="Adobe Caslon Pro"/>
          <w:sz w:val="22"/>
          <w:szCs w:val="22"/>
        </w:rPr>
        <w:t>e</w:t>
      </w:r>
      <w:r w:rsidR="00D54827" w:rsidRPr="009A08BD">
        <w:rPr>
          <w:rFonts w:ascii="Adobe Caslon Pro" w:hAnsi="Adobe Caslon Pro"/>
          <w:sz w:val="22"/>
          <w:szCs w:val="22"/>
        </w:rPr>
        <w:t>n</w:t>
      </w:r>
      <w:r w:rsidR="00CF536D" w:rsidRPr="009A08BD">
        <w:rPr>
          <w:rFonts w:ascii="Adobe Caslon Pro" w:hAnsi="Adobe Caslon Pro"/>
          <w:sz w:val="22"/>
          <w:szCs w:val="22"/>
        </w:rPr>
        <w:t xml:space="preserve"> </w:t>
      </w:r>
      <w:r w:rsidR="00D54827" w:rsidRPr="009A08BD">
        <w:rPr>
          <w:rFonts w:ascii="Adobe Caslon Pro" w:hAnsi="Adobe Caslon Pro"/>
          <w:sz w:val="22"/>
          <w:szCs w:val="22"/>
        </w:rPr>
        <w:t xml:space="preserve">los </w:t>
      </w:r>
      <w:r w:rsidR="00CF536D" w:rsidRPr="009A08BD">
        <w:rPr>
          <w:rFonts w:ascii="Adobe Caslon Pro" w:hAnsi="Adobe Caslon Pro"/>
          <w:sz w:val="22"/>
          <w:szCs w:val="22"/>
        </w:rPr>
        <w:lastRenderedPageBreak/>
        <w:t>costos de m</w:t>
      </w:r>
      <w:r w:rsidR="00476CD8" w:rsidRPr="009A08BD">
        <w:rPr>
          <w:rFonts w:ascii="Adobe Caslon Pro" w:hAnsi="Adobe Caslon Pro"/>
          <w:sz w:val="22"/>
          <w:szCs w:val="22"/>
        </w:rPr>
        <w:t>antenimiento</w:t>
      </w:r>
      <w:r w:rsidR="00D54827" w:rsidRPr="009A08BD">
        <w:rPr>
          <w:rFonts w:ascii="Adobe Caslon Pro" w:hAnsi="Adobe Caslon Pro"/>
          <w:sz w:val="22"/>
          <w:szCs w:val="22"/>
        </w:rPr>
        <w:t xml:space="preserve">, es importante considerar las ventajas de trabajar coordinadamente con otros órdenes de </w:t>
      </w:r>
      <w:r w:rsidR="00BE60D4">
        <w:rPr>
          <w:rFonts w:ascii="Adobe Caslon Pro" w:hAnsi="Adobe Caslon Pro"/>
          <w:sz w:val="22"/>
          <w:szCs w:val="22"/>
        </w:rPr>
        <w:t>gobierno</w:t>
      </w:r>
      <w:r w:rsidR="00D54827" w:rsidRPr="009A08BD">
        <w:rPr>
          <w:rFonts w:ascii="Adobe Caslon Pro" w:hAnsi="Adobe Caslon Pro"/>
          <w:sz w:val="22"/>
          <w:szCs w:val="22"/>
        </w:rPr>
        <w:t xml:space="preserve"> para la obtención de un registro único de OSC.</w:t>
      </w:r>
      <w:r w:rsidR="00D54827">
        <w:rPr>
          <w:rFonts w:ascii="Adobe Caslon Pro" w:hAnsi="Adobe Caslon Pro"/>
          <w:sz w:val="22"/>
          <w:szCs w:val="22"/>
        </w:rPr>
        <w:t xml:space="preserve"> </w:t>
      </w:r>
    </w:p>
    <w:p w:rsidR="00CF536D" w:rsidRDefault="00CF536D" w:rsidP="00026506">
      <w:pPr>
        <w:pStyle w:val="Normal3"/>
        <w:spacing w:before="240"/>
        <w:rPr>
          <w:rFonts w:ascii="Adobe Caslon Pro" w:hAnsi="Adobe Caslon Pro"/>
          <w:sz w:val="22"/>
          <w:szCs w:val="22"/>
        </w:rPr>
      </w:pPr>
      <w:r w:rsidRPr="000907D3">
        <w:rPr>
          <w:rFonts w:ascii="Adobe Caslon Pro" w:hAnsi="Adobe Caslon Pro"/>
          <w:sz w:val="22"/>
          <w:szCs w:val="22"/>
        </w:rPr>
        <w:t>Existe una fuerte tendencia a establecer registros federales y estatales. Las organizaciones pueden o no inscribirse en dichos registros. Su negativa no debe afectar el ejercicio de sus derechos de asociación, libre expresión y participación en las decisiones públicas. Así como la constitución legal de las OSC debe fortalecer estos derechos, la inscripción a los registros no significa una imposición para que se reconozcan los derechos de éstas, sino una forma de fortalecerlos o de tener acceso a apoyos.</w:t>
      </w:r>
    </w:p>
    <w:p w:rsidR="00CF536D" w:rsidRDefault="00CF536D" w:rsidP="00026506">
      <w:pPr>
        <w:pStyle w:val="Normal3"/>
        <w:spacing w:before="240"/>
        <w:rPr>
          <w:rFonts w:ascii="Adobe Caslon Pro" w:hAnsi="Adobe Caslon Pro"/>
          <w:sz w:val="22"/>
          <w:szCs w:val="22"/>
        </w:rPr>
      </w:pPr>
      <w:r w:rsidRPr="000907D3">
        <w:rPr>
          <w:rFonts w:ascii="Adobe Caslon Pro" w:hAnsi="Adobe Caslon Pro"/>
          <w:sz w:val="22"/>
          <w:szCs w:val="22"/>
        </w:rPr>
        <w:t>Los registros son importantes ya que ayudan a que toda persona tenga acceso a información sobre determinada organización y a saber si ésta cumple con los requisitos de la ley. Además, proporciona datos a posibles donantes para identificar instituciones a las cuales puedan apoyar. Desde el punto de vista de las políticas públicas, contar con un registro también facilita proporcionar información para llevar a cabo diagnósticos o análisis sobre la situación que guarda el sector con el objetivo de determinar sus características y tendencias, así como para diseñar programas y políticas públicas para su fortalecimiento y, de esa forma, superar desequilibrios, fomentar actividades y diseñar programas de capacitación</w:t>
      </w:r>
      <w:r w:rsidR="00FF43A6" w:rsidRPr="000907D3">
        <w:rPr>
          <w:rFonts w:ascii="Adobe Caslon Pro" w:hAnsi="Adobe Caslon Pro"/>
          <w:sz w:val="22"/>
          <w:szCs w:val="22"/>
        </w:rPr>
        <w:t>.</w:t>
      </w:r>
    </w:p>
    <w:p w:rsidR="00CF536D" w:rsidRDefault="00CF536D" w:rsidP="00026506">
      <w:pPr>
        <w:pStyle w:val="Normal3"/>
        <w:spacing w:before="240"/>
        <w:rPr>
          <w:rFonts w:ascii="Adobe Caslon Pro" w:hAnsi="Adobe Caslon Pro"/>
          <w:sz w:val="22"/>
          <w:szCs w:val="22"/>
        </w:rPr>
      </w:pPr>
      <w:r w:rsidRPr="000907D3">
        <w:rPr>
          <w:rFonts w:ascii="Adobe Caslon Pro" w:hAnsi="Adobe Caslon Pro"/>
          <w:sz w:val="22"/>
          <w:szCs w:val="22"/>
        </w:rPr>
        <w:t>Mientras se concreta un registro único, se puede empezar por homologar las leyes para hacer equivalentes las actividades –fomento e ISR, asistencia social, etcétera–; homologar los requisitos para que las OSC participen en programas y convocatorias; y reconocer la validez de la CLUNI.</w:t>
      </w:r>
    </w:p>
    <w:p w:rsidR="00CF536D" w:rsidRDefault="00CF536D" w:rsidP="005778B0">
      <w:pPr>
        <w:pStyle w:val="Normal3"/>
        <w:spacing w:after="120"/>
        <w:rPr>
          <w:rFonts w:ascii="Adobe Caslon Pro" w:hAnsi="Adobe Caslon Pro"/>
          <w:sz w:val="22"/>
          <w:szCs w:val="22"/>
        </w:rPr>
      </w:pPr>
      <w:r w:rsidRPr="000907D3">
        <w:rPr>
          <w:rFonts w:ascii="Adobe Caslon Pro" w:hAnsi="Adobe Caslon Pro"/>
          <w:sz w:val="22"/>
          <w:szCs w:val="22"/>
        </w:rPr>
        <w:t xml:space="preserve">Cabe destacar que en el año 2011, México participó en la firma de la “Alianza Mundial de Busán para una Cooperación del Desarrollo Eficaz”, comprometiéndose con ello a implementar prácticas para fortalecer a las OSC y, de esta manera, su contribución al desarrollo. Este Acuerdo da inicio a la construcción de un marco internacional para la cooperación al desarrollo consensuado entre las OSC, donantes privados y </w:t>
      </w:r>
      <w:r w:rsidR="00BE60D4">
        <w:rPr>
          <w:rFonts w:ascii="Adobe Caslon Pro" w:hAnsi="Adobe Caslon Pro"/>
          <w:sz w:val="22"/>
          <w:szCs w:val="22"/>
        </w:rPr>
        <w:t>gobierno</w:t>
      </w:r>
      <w:r w:rsidRPr="000907D3">
        <w:rPr>
          <w:rFonts w:ascii="Adobe Caslon Pro" w:hAnsi="Adobe Caslon Pro"/>
          <w:sz w:val="22"/>
          <w:szCs w:val="22"/>
        </w:rPr>
        <w:t>s. (Tapia y Verduzco 2013).</w:t>
      </w:r>
    </w:p>
    <w:p w:rsidR="0018237B" w:rsidRPr="000907D3" w:rsidRDefault="0018237B" w:rsidP="005778B0">
      <w:pPr>
        <w:pStyle w:val="Normal3"/>
        <w:spacing w:after="120"/>
        <w:rPr>
          <w:rFonts w:ascii="Adobe Caslon Pro" w:hAnsi="Adobe Caslon Pro"/>
          <w:sz w:val="22"/>
          <w:szCs w:val="22"/>
        </w:rPr>
      </w:pPr>
    </w:p>
    <w:p w:rsidR="00CF536D" w:rsidRPr="00A037D2" w:rsidRDefault="00CF536D" w:rsidP="005778B0">
      <w:pPr>
        <w:pStyle w:val="Texto"/>
        <w:spacing w:after="120" w:line="276" w:lineRule="auto"/>
        <w:jc w:val="both"/>
        <w:rPr>
          <w:rFonts w:ascii="Adobe Caslon Pro" w:hAnsi="Adobe Caslon Pro"/>
          <w:b/>
          <w:sz w:val="22"/>
          <w:szCs w:val="22"/>
        </w:rPr>
      </w:pPr>
      <w:r w:rsidRPr="00A037D2">
        <w:rPr>
          <w:rFonts w:ascii="Adobe Caslon Pro" w:hAnsi="Adobe Caslon Pro"/>
          <w:b/>
          <w:sz w:val="22"/>
          <w:szCs w:val="22"/>
        </w:rPr>
        <w:t>La Ley del Impuesto sobre la Renta</w:t>
      </w:r>
    </w:p>
    <w:p w:rsidR="00CF536D" w:rsidRDefault="00CF536D" w:rsidP="00026506">
      <w:pPr>
        <w:pStyle w:val="Normal3"/>
        <w:spacing w:before="240"/>
        <w:rPr>
          <w:rFonts w:ascii="Adobe Caslon Pro" w:hAnsi="Adobe Caslon Pro"/>
          <w:sz w:val="22"/>
          <w:szCs w:val="22"/>
        </w:rPr>
      </w:pPr>
      <w:r w:rsidRPr="000907D3">
        <w:rPr>
          <w:rFonts w:ascii="Adobe Caslon Pro" w:hAnsi="Adobe Caslon Pro"/>
          <w:sz w:val="22"/>
          <w:szCs w:val="22"/>
        </w:rPr>
        <w:t xml:space="preserve">La LISR fija las características y condiciones para que las OSC que realizan determinadas actividades (art. 95) puedan obtener donativos deducibles del ISR para el donante, y para que éstas, a su vez, no sean contribuyentes de dicho impuesto. La LFFAROSC reconoce a las OSC a través de las actividades que se </w:t>
      </w:r>
      <w:r w:rsidRPr="000907D3">
        <w:rPr>
          <w:rFonts w:ascii="Adobe Caslon Pro" w:hAnsi="Adobe Caslon Pro"/>
          <w:sz w:val="22"/>
          <w:szCs w:val="22"/>
        </w:rPr>
        <w:lastRenderedPageBreak/>
        <w:t>señalan en el artículo 5 y define algunas de las características o cualidades que deben tener. Por su parte, la Ley de Asistencia Social incluye, a las organizaciones de asistencia privada, considerándolas de interés público, lo que se traduce en su posible participación en asuntos de interés público.</w:t>
      </w:r>
    </w:p>
    <w:p w:rsidR="00CF536D" w:rsidRPr="000907D3" w:rsidRDefault="005778B0" w:rsidP="00026506">
      <w:pPr>
        <w:pStyle w:val="Normal3"/>
        <w:spacing w:before="240"/>
        <w:rPr>
          <w:rFonts w:ascii="Adobe Caslon Pro" w:hAnsi="Adobe Caslon Pro"/>
          <w:sz w:val="22"/>
          <w:szCs w:val="22"/>
        </w:rPr>
      </w:pPr>
      <w:r>
        <w:rPr>
          <w:rFonts w:ascii="Adobe Caslon Pro" w:hAnsi="Adobe Caslon Pro"/>
          <w:sz w:val="22"/>
          <w:szCs w:val="22"/>
        </w:rPr>
        <w:t xml:space="preserve">Las </w:t>
      </w:r>
      <w:r w:rsidR="005E27EB">
        <w:rPr>
          <w:rFonts w:ascii="Adobe Caslon Pro" w:hAnsi="Adobe Caslon Pro"/>
          <w:sz w:val="22"/>
          <w:szCs w:val="22"/>
        </w:rPr>
        <w:t>AC</w:t>
      </w:r>
      <w:r>
        <w:rPr>
          <w:rFonts w:ascii="Adobe Caslon Pro" w:hAnsi="Adobe Caslon Pro"/>
          <w:sz w:val="22"/>
          <w:szCs w:val="22"/>
        </w:rPr>
        <w:t xml:space="preserve"> y las IAP</w:t>
      </w:r>
      <w:r w:rsidR="00CF536D" w:rsidRPr="000907D3">
        <w:rPr>
          <w:rFonts w:ascii="Adobe Caslon Pro" w:hAnsi="Adobe Caslon Pro"/>
          <w:sz w:val="22"/>
          <w:szCs w:val="22"/>
        </w:rPr>
        <w:t xml:space="preserve"> son las figuras jurídicas que dominan el sector formal de la participación social. También existen otras figuras jurídicas relacionadas con asociaciones que se constituyen y rigen con principios solidarios en sus órganos de </w:t>
      </w:r>
      <w:r w:rsidR="00BE60D4">
        <w:rPr>
          <w:rFonts w:ascii="Adobe Caslon Pro" w:hAnsi="Adobe Caslon Pro"/>
          <w:sz w:val="22"/>
          <w:szCs w:val="22"/>
        </w:rPr>
        <w:t>gobierno</w:t>
      </w:r>
      <w:r w:rsidR="00CF536D" w:rsidRPr="000907D3">
        <w:rPr>
          <w:rFonts w:ascii="Adobe Caslon Pro" w:hAnsi="Adobe Caslon Pro"/>
          <w:sz w:val="22"/>
          <w:szCs w:val="22"/>
        </w:rPr>
        <w:t xml:space="preserve"> y gestión. Un principio en común –y polémico– es el lucro de sus actividades, sobre todo en las cooperativas –debate necesario para aclarar que si bien una actividad puede ser lucrativa, esto no demerita su fin social y solidario.</w:t>
      </w:r>
    </w:p>
    <w:p w:rsidR="009A08BD" w:rsidRDefault="00CF536D" w:rsidP="00026506">
      <w:pPr>
        <w:pStyle w:val="Normal3"/>
        <w:spacing w:before="240"/>
        <w:rPr>
          <w:rFonts w:ascii="Adobe Caslon Pro" w:hAnsi="Adobe Caslon Pro"/>
          <w:sz w:val="22"/>
          <w:szCs w:val="22"/>
        </w:rPr>
      </w:pPr>
      <w:r w:rsidRPr="000907D3">
        <w:rPr>
          <w:rFonts w:ascii="Adobe Caslon Pro" w:hAnsi="Adobe Caslon Pro"/>
          <w:sz w:val="22"/>
          <w:szCs w:val="22"/>
        </w:rPr>
        <w:t>Con base en lo anterior, se puede clasificar al sector formal de la sociedad civil en México en asociaciones solidarias con fines sociales y económicos, sinfines de lucro y aquellas ligadas directamente con la participación ciudadana y política.</w:t>
      </w:r>
    </w:p>
    <w:p w:rsidR="00CF536D" w:rsidRPr="00D059D9" w:rsidRDefault="00CF536D" w:rsidP="00573FAD">
      <w:pPr>
        <w:pStyle w:val="CuadroTitulo"/>
        <w:spacing w:before="240" w:after="240" w:line="276" w:lineRule="auto"/>
        <w:rPr>
          <w:rFonts w:ascii="Adobe Caslon Pro" w:hAnsi="Adobe Caslon Pro" w:cs="Arial"/>
          <w:color w:val="000000" w:themeColor="text1"/>
          <w:sz w:val="20"/>
          <w:szCs w:val="20"/>
        </w:rPr>
      </w:pPr>
      <w:bookmarkStart w:id="130" w:name="_Toc374380612"/>
      <w:bookmarkStart w:id="131" w:name="_Toc380855761"/>
      <w:r w:rsidRPr="00D059D9">
        <w:rPr>
          <w:rFonts w:ascii="Adobe Caslon Pro" w:hAnsi="Adobe Caslon Pro" w:cs="Arial"/>
          <w:color w:val="000000" w:themeColor="text1"/>
          <w:sz w:val="20"/>
          <w:szCs w:val="20"/>
        </w:rPr>
        <w:t xml:space="preserve">Cuadro </w:t>
      </w:r>
      <w:r w:rsidR="001E24D5" w:rsidRPr="00D059D9">
        <w:rPr>
          <w:rFonts w:ascii="Adobe Caslon Pro" w:hAnsi="Adobe Caslon Pro" w:cs="Arial"/>
          <w:color w:val="000000" w:themeColor="text1"/>
          <w:sz w:val="20"/>
          <w:szCs w:val="20"/>
        </w:rPr>
        <w:t>10</w:t>
      </w:r>
      <w:r w:rsidRPr="00D059D9">
        <w:rPr>
          <w:rFonts w:ascii="Adobe Caslon Pro" w:hAnsi="Adobe Caslon Pro" w:cs="Arial"/>
          <w:color w:val="000000" w:themeColor="text1"/>
          <w:sz w:val="20"/>
          <w:szCs w:val="20"/>
        </w:rPr>
        <w:t>. Figuras Jurídicas de asociaciones sociales y económicas sin fines de lucro</w:t>
      </w:r>
      <w:bookmarkEnd w:id="130"/>
      <w:bookmarkEnd w:id="131"/>
    </w:p>
    <w:tbl>
      <w:tblPr>
        <w:tblW w:w="100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172"/>
        <w:gridCol w:w="1941"/>
        <w:gridCol w:w="3969"/>
      </w:tblGrid>
      <w:tr w:rsidR="00CF536D" w:rsidRPr="000907D3" w:rsidTr="002601A7">
        <w:trPr>
          <w:trHeight w:val="300"/>
        </w:trPr>
        <w:tc>
          <w:tcPr>
            <w:tcW w:w="4172" w:type="dxa"/>
            <w:shd w:val="clear" w:color="auto" w:fill="BFBFBF" w:themeFill="background1" w:themeFillShade="BF"/>
            <w:vAlign w:val="center"/>
            <w:hideMark/>
          </w:tcPr>
          <w:p w:rsidR="00CF536D" w:rsidRPr="006E796E" w:rsidRDefault="00CF536D" w:rsidP="00D46D99">
            <w:pPr>
              <w:spacing w:after="0" w:line="240" w:lineRule="auto"/>
              <w:jc w:val="both"/>
              <w:rPr>
                <w:rFonts w:ascii="Adobe Caslon Pro" w:eastAsia="Times New Roman" w:hAnsi="Adobe Caslon Pro" w:cs="Arial"/>
                <w:b/>
                <w:bCs/>
                <w:color w:val="000000" w:themeColor="text1"/>
                <w:lang w:eastAsia="es-MX"/>
              </w:rPr>
            </w:pPr>
            <w:r w:rsidRPr="006E796E">
              <w:rPr>
                <w:rFonts w:ascii="Adobe Caslon Pro" w:eastAsia="Times New Roman" w:hAnsi="Adobe Caslon Pro" w:cs="Arial"/>
                <w:b/>
                <w:bCs/>
                <w:color w:val="000000" w:themeColor="text1"/>
                <w:lang w:eastAsia="es-MX"/>
              </w:rPr>
              <w:t>Figura</w:t>
            </w:r>
            <w:r w:rsidR="008F74BB">
              <w:rPr>
                <w:rFonts w:ascii="Adobe Caslon Pro" w:eastAsia="Times New Roman" w:hAnsi="Adobe Caslon Pro" w:cs="Arial"/>
                <w:b/>
                <w:bCs/>
                <w:color w:val="000000" w:themeColor="text1"/>
                <w:lang w:eastAsia="es-MX"/>
              </w:rPr>
              <w:t xml:space="preserve"> </w:t>
            </w:r>
            <w:r w:rsidRPr="006E796E">
              <w:rPr>
                <w:rFonts w:ascii="Adobe Caslon Pro" w:eastAsia="Times New Roman" w:hAnsi="Adobe Caslon Pro" w:cs="Arial"/>
                <w:b/>
                <w:bCs/>
                <w:color w:val="000000" w:themeColor="text1"/>
                <w:lang w:eastAsia="es-MX"/>
              </w:rPr>
              <w:t>jurídica</w:t>
            </w:r>
          </w:p>
        </w:tc>
        <w:tc>
          <w:tcPr>
            <w:tcW w:w="1941" w:type="dxa"/>
            <w:shd w:val="clear" w:color="auto" w:fill="BFBFBF" w:themeFill="background1" w:themeFillShade="BF"/>
            <w:vAlign w:val="center"/>
            <w:hideMark/>
          </w:tcPr>
          <w:p w:rsidR="00CF536D" w:rsidRPr="006E796E" w:rsidRDefault="00CF536D" w:rsidP="00D46D99">
            <w:pPr>
              <w:spacing w:after="0" w:line="240" w:lineRule="auto"/>
              <w:jc w:val="both"/>
              <w:rPr>
                <w:rFonts w:ascii="Adobe Caslon Pro" w:eastAsia="Times New Roman" w:hAnsi="Adobe Caslon Pro" w:cs="Arial"/>
                <w:b/>
                <w:bCs/>
                <w:color w:val="000000" w:themeColor="text1"/>
                <w:lang w:eastAsia="es-MX"/>
              </w:rPr>
            </w:pPr>
            <w:r w:rsidRPr="006E796E">
              <w:rPr>
                <w:rFonts w:ascii="Adobe Caslon Pro" w:eastAsia="Times New Roman" w:hAnsi="Adobe Caslon Pro" w:cs="Arial"/>
                <w:b/>
                <w:bCs/>
                <w:color w:val="000000" w:themeColor="text1"/>
                <w:lang w:eastAsia="es-MX"/>
              </w:rPr>
              <w:t>Carácter</w:t>
            </w:r>
          </w:p>
        </w:tc>
        <w:tc>
          <w:tcPr>
            <w:tcW w:w="3969" w:type="dxa"/>
            <w:shd w:val="clear" w:color="auto" w:fill="BFBFBF" w:themeFill="background1" w:themeFillShade="BF"/>
            <w:vAlign w:val="center"/>
            <w:hideMark/>
          </w:tcPr>
          <w:p w:rsidR="00CF536D" w:rsidRPr="006E796E" w:rsidRDefault="00CF536D" w:rsidP="00D46D99">
            <w:pPr>
              <w:spacing w:after="0" w:line="240" w:lineRule="auto"/>
              <w:jc w:val="both"/>
              <w:rPr>
                <w:rFonts w:ascii="Adobe Caslon Pro" w:eastAsia="Times New Roman" w:hAnsi="Adobe Caslon Pro" w:cs="Arial"/>
                <w:b/>
                <w:bCs/>
                <w:color w:val="000000" w:themeColor="text1"/>
                <w:lang w:eastAsia="es-MX"/>
              </w:rPr>
            </w:pPr>
            <w:r w:rsidRPr="006E796E">
              <w:rPr>
                <w:rFonts w:ascii="Adobe Caslon Pro" w:eastAsia="Times New Roman" w:hAnsi="Adobe Caslon Pro" w:cs="Arial"/>
                <w:b/>
                <w:bCs/>
                <w:color w:val="000000" w:themeColor="text1"/>
                <w:lang w:eastAsia="es-MX"/>
              </w:rPr>
              <w:t>Se encuentra</w:t>
            </w:r>
          </w:p>
        </w:tc>
      </w:tr>
      <w:tr w:rsidR="00CF536D" w:rsidRPr="000907D3" w:rsidTr="00EF0F6C">
        <w:trPr>
          <w:trHeight w:val="247"/>
        </w:trPr>
        <w:tc>
          <w:tcPr>
            <w:tcW w:w="4172" w:type="dxa"/>
            <w:shd w:val="clear" w:color="000000" w:fill="FFFFFF"/>
            <w:hideMark/>
          </w:tcPr>
          <w:p w:rsidR="00CF536D" w:rsidRPr="000907D3" w:rsidRDefault="00CF536D" w:rsidP="00D46D99">
            <w:pPr>
              <w:spacing w:after="0" w:line="240" w:lineRule="auto"/>
              <w:jc w:val="both"/>
              <w:rPr>
                <w:rFonts w:ascii="Adobe Caslon Pro" w:eastAsia="Times New Roman" w:hAnsi="Adobe Caslon Pro" w:cs="Arial"/>
                <w:color w:val="333333"/>
                <w:lang w:eastAsia="es-MX"/>
              </w:rPr>
            </w:pPr>
            <w:r w:rsidRPr="000907D3">
              <w:rPr>
                <w:rFonts w:ascii="Adobe Caslon Pro" w:eastAsia="Times New Roman" w:hAnsi="Adobe Caslon Pro" w:cs="Arial"/>
                <w:color w:val="333333"/>
                <w:lang w:eastAsia="es-MX"/>
              </w:rPr>
              <w:t>Sociedad de Solidaridad Social (SSS).</w:t>
            </w:r>
          </w:p>
        </w:tc>
        <w:tc>
          <w:tcPr>
            <w:tcW w:w="1941" w:type="dxa"/>
            <w:shd w:val="clear" w:color="000000" w:fill="FFFFFF"/>
            <w:hideMark/>
          </w:tcPr>
          <w:p w:rsidR="00CF536D" w:rsidRPr="000907D3" w:rsidRDefault="00CF536D" w:rsidP="00D46D99">
            <w:pPr>
              <w:spacing w:after="0" w:line="240" w:lineRule="auto"/>
              <w:jc w:val="both"/>
              <w:rPr>
                <w:rFonts w:ascii="Adobe Caslon Pro" w:eastAsia="Times New Roman" w:hAnsi="Adobe Caslon Pro" w:cs="Arial"/>
                <w:color w:val="333333"/>
                <w:lang w:eastAsia="es-MX"/>
              </w:rPr>
            </w:pPr>
            <w:r w:rsidRPr="000907D3">
              <w:rPr>
                <w:rFonts w:ascii="Adobe Caslon Pro" w:eastAsia="Times New Roman" w:hAnsi="Adobe Caslon Pro" w:cs="Arial"/>
                <w:color w:val="333333"/>
                <w:lang w:eastAsia="es-MX"/>
              </w:rPr>
              <w:t>Económica / social</w:t>
            </w:r>
          </w:p>
        </w:tc>
        <w:tc>
          <w:tcPr>
            <w:tcW w:w="3969" w:type="dxa"/>
            <w:shd w:val="clear" w:color="000000" w:fill="FFFFFF"/>
            <w:hideMark/>
          </w:tcPr>
          <w:p w:rsidR="00CF536D" w:rsidRPr="000907D3" w:rsidRDefault="00CF536D" w:rsidP="00D46D99">
            <w:pPr>
              <w:spacing w:after="0" w:line="240" w:lineRule="auto"/>
              <w:jc w:val="both"/>
              <w:rPr>
                <w:rFonts w:ascii="Adobe Caslon Pro" w:eastAsia="Times New Roman" w:hAnsi="Adobe Caslon Pro" w:cs="Arial"/>
                <w:color w:val="333333"/>
                <w:lang w:eastAsia="es-MX"/>
              </w:rPr>
            </w:pPr>
            <w:r w:rsidRPr="000907D3">
              <w:rPr>
                <w:rFonts w:ascii="Adobe Caslon Pro" w:eastAsia="Times New Roman" w:hAnsi="Adobe Caslon Pro" w:cs="Arial"/>
                <w:color w:val="333333"/>
                <w:lang w:eastAsia="es-MX"/>
              </w:rPr>
              <w:t>Ley de Sociedades de Solidaridad Social</w:t>
            </w:r>
          </w:p>
        </w:tc>
      </w:tr>
      <w:tr w:rsidR="00CF536D" w:rsidRPr="000907D3" w:rsidTr="00EF0F6C">
        <w:trPr>
          <w:trHeight w:val="199"/>
        </w:trPr>
        <w:tc>
          <w:tcPr>
            <w:tcW w:w="4172" w:type="dxa"/>
            <w:shd w:val="clear" w:color="000000" w:fill="FFFFFF"/>
            <w:hideMark/>
          </w:tcPr>
          <w:p w:rsidR="00CF536D" w:rsidRPr="000907D3" w:rsidRDefault="00CF536D" w:rsidP="00D46D99">
            <w:pPr>
              <w:spacing w:after="0" w:line="240" w:lineRule="auto"/>
              <w:jc w:val="both"/>
              <w:rPr>
                <w:rFonts w:ascii="Adobe Caslon Pro" w:eastAsia="Times New Roman" w:hAnsi="Adobe Caslon Pro" w:cs="Arial"/>
                <w:color w:val="333333"/>
                <w:lang w:eastAsia="es-MX"/>
              </w:rPr>
            </w:pPr>
            <w:r w:rsidRPr="000907D3">
              <w:rPr>
                <w:rFonts w:ascii="Adobe Caslon Pro" w:eastAsia="Times New Roman" w:hAnsi="Adobe Caslon Pro" w:cs="Arial"/>
                <w:color w:val="333333"/>
                <w:lang w:eastAsia="es-MX"/>
              </w:rPr>
              <w:t>Sociedad de Producción Rural (SPR).</w:t>
            </w:r>
          </w:p>
        </w:tc>
        <w:tc>
          <w:tcPr>
            <w:tcW w:w="1941" w:type="dxa"/>
            <w:shd w:val="clear" w:color="000000" w:fill="FFFFFF"/>
            <w:hideMark/>
          </w:tcPr>
          <w:p w:rsidR="00CF536D" w:rsidRPr="000907D3" w:rsidRDefault="00CF536D" w:rsidP="00D46D99">
            <w:pPr>
              <w:spacing w:after="0" w:line="240" w:lineRule="auto"/>
              <w:jc w:val="both"/>
              <w:rPr>
                <w:rFonts w:ascii="Adobe Caslon Pro" w:eastAsia="Times New Roman" w:hAnsi="Adobe Caslon Pro" w:cs="Arial"/>
                <w:color w:val="333333"/>
                <w:lang w:eastAsia="es-MX"/>
              </w:rPr>
            </w:pPr>
            <w:r w:rsidRPr="000907D3">
              <w:rPr>
                <w:rFonts w:ascii="Adobe Caslon Pro" w:eastAsia="Times New Roman" w:hAnsi="Adobe Caslon Pro" w:cs="Arial"/>
                <w:color w:val="333333"/>
                <w:lang w:eastAsia="es-MX"/>
              </w:rPr>
              <w:t>Económico / social</w:t>
            </w:r>
          </w:p>
        </w:tc>
        <w:tc>
          <w:tcPr>
            <w:tcW w:w="3969" w:type="dxa"/>
            <w:shd w:val="clear" w:color="000000" w:fill="FFFFFF"/>
            <w:hideMark/>
          </w:tcPr>
          <w:p w:rsidR="00CF536D" w:rsidRPr="000907D3" w:rsidRDefault="00CF536D" w:rsidP="00D46D99">
            <w:pPr>
              <w:spacing w:after="0" w:line="240" w:lineRule="auto"/>
              <w:jc w:val="both"/>
              <w:rPr>
                <w:rFonts w:ascii="Adobe Caslon Pro" w:eastAsia="Times New Roman" w:hAnsi="Adobe Caslon Pro" w:cs="Arial"/>
                <w:color w:val="333333"/>
                <w:lang w:eastAsia="es-MX"/>
              </w:rPr>
            </w:pPr>
            <w:r w:rsidRPr="000907D3">
              <w:rPr>
                <w:rFonts w:ascii="Adobe Caslon Pro" w:eastAsia="Times New Roman" w:hAnsi="Adobe Caslon Pro" w:cs="Arial"/>
                <w:color w:val="333333"/>
                <w:lang w:eastAsia="es-MX"/>
              </w:rPr>
              <w:t>Ley General de Sociedades Mercantiles</w:t>
            </w:r>
          </w:p>
        </w:tc>
      </w:tr>
      <w:tr w:rsidR="00CF536D" w:rsidRPr="000907D3" w:rsidTr="00EF0F6C">
        <w:trPr>
          <w:trHeight w:val="151"/>
        </w:trPr>
        <w:tc>
          <w:tcPr>
            <w:tcW w:w="4172" w:type="dxa"/>
            <w:shd w:val="clear" w:color="000000" w:fill="FFFFFF"/>
            <w:hideMark/>
          </w:tcPr>
          <w:p w:rsidR="00CF536D" w:rsidRPr="000907D3" w:rsidRDefault="00CF536D" w:rsidP="00D46D99">
            <w:pPr>
              <w:spacing w:after="0" w:line="240" w:lineRule="auto"/>
              <w:jc w:val="both"/>
              <w:rPr>
                <w:rFonts w:ascii="Adobe Caslon Pro" w:eastAsia="Times New Roman" w:hAnsi="Adobe Caslon Pro" w:cs="Arial"/>
                <w:color w:val="333333"/>
                <w:lang w:eastAsia="es-MX"/>
              </w:rPr>
            </w:pPr>
            <w:r w:rsidRPr="000907D3">
              <w:rPr>
                <w:rFonts w:ascii="Adobe Caslon Pro" w:eastAsia="Times New Roman" w:hAnsi="Adobe Caslon Pro" w:cs="Arial"/>
                <w:color w:val="333333"/>
                <w:lang w:eastAsia="es-MX"/>
              </w:rPr>
              <w:t>Sociedades cooperativas de consumo (SC).</w:t>
            </w:r>
          </w:p>
        </w:tc>
        <w:tc>
          <w:tcPr>
            <w:tcW w:w="1941" w:type="dxa"/>
            <w:shd w:val="clear" w:color="000000" w:fill="FFFFFF"/>
            <w:hideMark/>
          </w:tcPr>
          <w:p w:rsidR="00CF536D" w:rsidRPr="000907D3" w:rsidRDefault="00CF536D" w:rsidP="00D46D99">
            <w:pPr>
              <w:spacing w:after="0" w:line="240" w:lineRule="auto"/>
              <w:jc w:val="both"/>
              <w:rPr>
                <w:rFonts w:ascii="Adobe Caslon Pro" w:eastAsia="Times New Roman" w:hAnsi="Adobe Caslon Pro" w:cs="Arial"/>
                <w:color w:val="333333"/>
                <w:lang w:eastAsia="es-MX"/>
              </w:rPr>
            </w:pPr>
            <w:r w:rsidRPr="000907D3">
              <w:rPr>
                <w:rFonts w:ascii="Adobe Caslon Pro" w:eastAsia="Times New Roman" w:hAnsi="Adobe Caslon Pro" w:cs="Arial"/>
                <w:color w:val="333333"/>
                <w:lang w:eastAsia="es-MX"/>
              </w:rPr>
              <w:t>Económico / social</w:t>
            </w:r>
          </w:p>
        </w:tc>
        <w:tc>
          <w:tcPr>
            <w:tcW w:w="3969" w:type="dxa"/>
            <w:shd w:val="clear" w:color="000000" w:fill="FFFFFF"/>
            <w:hideMark/>
          </w:tcPr>
          <w:p w:rsidR="00CF536D" w:rsidRPr="000907D3" w:rsidRDefault="00EF0F6C" w:rsidP="00D46D99">
            <w:pPr>
              <w:spacing w:after="0" w:line="240" w:lineRule="auto"/>
              <w:jc w:val="both"/>
              <w:rPr>
                <w:rFonts w:ascii="Adobe Caslon Pro" w:eastAsia="Times New Roman" w:hAnsi="Adobe Caslon Pro" w:cs="Arial"/>
                <w:color w:val="333333"/>
                <w:lang w:eastAsia="es-MX"/>
              </w:rPr>
            </w:pPr>
            <w:r>
              <w:rPr>
                <w:rFonts w:ascii="Adobe Caslon Pro" w:eastAsia="Times New Roman" w:hAnsi="Adobe Caslon Pro" w:cs="Arial"/>
                <w:color w:val="333333"/>
                <w:lang w:eastAsia="es-MX"/>
              </w:rPr>
              <w:t>Ley General de Sociedades C</w:t>
            </w:r>
            <w:r w:rsidR="00CF536D" w:rsidRPr="000907D3">
              <w:rPr>
                <w:rFonts w:ascii="Adobe Caslon Pro" w:eastAsia="Times New Roman" w:hAnsi="Adobe Caslon Pro" w:cs="Arial"/>
                <w:color w:val="333333"/>
                <w:lang w:eastAsia="es-MX"/>
              </w:rPr>
              <w:t>ooperativas</w:t>
            </w:r>
          </w:p>
        </w:tc>
      </w:tr>
      <w:tr w:rsidR="00CF536D" w:rsidRPr="000907D3" w:rsidTr="00EF0F6C">
        <w:trPr>
          <w:trHeight w:val="244"/>
        </w:trPr>
        <w:tc>
          <w:tcPr>
            <w:tcW w:w="4172" w:type="dxa"/>
            <w:shd w:val="clear" w:color="000000" w:fill="FFFFFF"/>
            <w:hideMark/>
          </w:tcPr>
          <w:p w:rsidR="00CF536D" w:rsidRPr="000907D3" w:rsidRDefault="00CF536D" w:rsidP="00D46D99">
            <w:pPr>
              <w:spacing w:after="0" w:line="240" w:lineRule="auto"/>
              <w:jc w:val="both"/>
              <w:rPr>
                <w:rFonts w:ascii="Adobe Caslon Pro" w:eastAsia="Times New Roman" w:hAnsi="Adobe Caslon Pro" w:cs="Arial"/>
                <w:color w:val="333333"/>
                <w:lang w:eastAsia="es-MX"/>
              </w:rPr>
            </w:pPr>
            <w:r w:rsidRPr="000907D3">
              <w:rPr>
                <w:rFonts w:ascii="Adobe Caslon Pro" w:eastAsia="Times New Roman" w:hAnsi="Adobe Caslon Pro" w:cs="Arial"/>
                <w:color w:val="333333"/>
                <w:lang w:eastAsia="es-MX"/>
              </w:rPr>
              <w:t>Sociedad cooperativa de Producción.</w:t>
            </w:r>
          </w:p>
        </w:tc>
        <w:tc>
          <w:tcPr>
            <w:tcW w:w="1941" w:type="dxa"/>
            <w:shd w:val="clear" w:color="000000" w:fill="FFFFFF"/>
            <w:hideMark/>
          </w:tcPr>
          <w:p w:rsidR="00CF536D" w:rsidRPr="000907D3" w:rsidRDefault="00CF536D" w:rsidP="00D46D99">
            <w:pPr>
              <w:spacing w:after="0" w:line="240" w:lineRule="auto"/>
              <w:jc w:val="both"/>
              <w:rPr>
                <w:rFonts w:ascii="Adobe Caslon Pro" w:eastAsia="Times New Roman" w:hAnsi="Adobe Caslon Pro" w:cs="Arial"/>
                <w:color w:val="333333"/>
                <w:lang w:eastAsia="es-MX"/>
              </w:rPr>
            </w:pPr>
            <w:r w:rsidRPr="000907D3">
              <w:rPr>
                <w:rFonts w:ascii="Adobe Caslon Pro" w:eastAsia="Times New Roman" w:hAnsi="Adobe Caslon Pro" w:cs="Arial"/>
                <w:color w:val="333333"/>
                <w:lang w:eastAsia="es-MX"/>
              </w:rPr>
              <w:t>Económico / social</w:t>
            </w:r>
          </w:p>
        </w:tc>
        <w:tc>
          <w:tcPr>
            <w:tcW w:w="3969" w:type="dxa"/>
            <w:shd w:val="clear" w:color="000000" w:fill="FFFFFF"/>
            <w:hideMark/>
          </w:tcPr>
          <w:p w:rsidR="00CF536D" w:rsidRPr="000907D3" w:rsidRDefault="00CF536D" w:rsidP="00D46D99">
            <w:pPr>
              <w:spacing w:after="0" w:line="240" w:lineRule="auto"/>
              <w:jc w:val="both"/>
              <w:rPr>
                <w:rFonts w:ascii="Adobe Caslon Pro" w:eastAsia="Times New Roman" w:hAnsi="Adobe Caslon Pro" w:cs="Arial"/>
                <w:color w:val="333333"/>
                <w:lang w:eastAsia="es-MX"/>
              </w:rPr>
            </w:pPr>
            <w:r w:rsidRPr="000907D3">
              <w:rPr>
                <w:rFonts w:ascii="Adobe Caslon Pro" w:eastAsia="Times New Roman" w:hAnsi="Adobe Caslon Pro" w:cs="Arial"/>
                <w:color w:val="333333"/>
                <w:lang w:eastAsia="es-MX"/>
              </w:rPr>
              <w:t>Ley General de So</w:t>
            </w:r>
            <w:r w:rsidR="00EF0F6C">
              <w:rPr>
                <w:rFonts w:ascii="Adobe Caslon Pro" w:eastAsia="Times New Roman" w:hAnsi="Adobe Caslon Pro" w:cs="Arial"/>
                <w:color w:val="333333"/>
                <w:lang w:eastAsia="es-MX"/>
              </w:rPr>
              <w:t>ciedades C</w:t>
            </w:r>
            <w:r w:rsidRPr="000907D3">
              <w:rPr>
                <w:rFonts w:ascii="Adobe Caslon Pro" w:eastAsia="Times New Roman" w:hAnsi="Adobe Caslon Pro" w:cs="Arial"/>
                <w:color w:val="333333"/>
                <w:lang w:eastAsia="es-MX"/>
              </w:rPr>
              <w:t>ooperativas</w:t>
            </w:r>
          </w:p>
        </w:tc>
      </w:tr>
      <w:tr w:rsidR="00CF536D" w:rsidRPr="000907D3" w:rsidTr="00EF0F6C">
        <w:trPr>
          <w:trHeight w:val="338"/>
        </w:trPr>
        <w:tc>
          <w:tcPr>
            <w:tcW w:w="4172" w:type="dxa"/>
            <w:shd w:val="clear" w:color="000000" w:fill="FFFFFF"/>
            <w:hideMark/>
          </w:tcPr>
          <w:p w:rsidR="00CF536D" w:rsidRPr="000907D3" w:rsidRDefault="00CF536D" w:rsidP="00D46D99">
            <w:pPr>
              <w:spacing w:after="0" w:line="240" w:lineRule="auto"/>
              <w:jc w:val="both"/>
              <w:rPr>
                <w:rFonts w:ascii="Adobe Caslon Pro" w:eastAsia="Times New Roman" w:hAnsi="Adobe Caslon Pro" w:cs="Arial"/>
                <w:color w:val="333333"/>
                <w:lang w:eastAsia="es-MX"/>
              </w:rPr>
            </w:pPr>
            <w:r w:rsidRPr="000907D3">
              <w:rPr>
                <w:rFonts w:ascii="Adobe Caslon Pro" w:eastAsia="Times New Roman" w:hAnsi="Adobe Caslon Pro" w:cs="Arial"/>
                <w:color w:val="333333"/>
                <w:lang w:eastAsia="es-MX"/>
              </w:rPr>
              <w:t>Sociedad cooperativa de Ahorro y Préstamo.</w:t>
            </w:r>
          </w:p>
        </w:tc>
        <w:tc>
          <w:tcPr>
            <w:tcW w:w="1941" w:type="dxa"/>
            <w:shd w:val="clear" w:color="000000" w:fill="FFFFFF"/>
            <w:hideMark/>
          </w:tcPr>
          <w:p w:rsidR="00CF536D" w:rsidRPr="000907D3" w:rsidRDefault="00CF536D" w:rsidP="00D46D99">
            <w:pPr>
              <w:spacing w:after="0" w:line="240" w:lineRule="auto"/>
              <w:jc w:val="both"/>
              <w:rPr>
                <w:rFonts w:ascii="Adobe Caslon Pro" w:eastAsia="Times New Roman" w:hAnsi="Adobe Caslon Pro" w:cs="Arial"/>
                <w:color w:val="333333"/>
                <w:lang w:eastAsia="es-MX"/>
              </w:rPr>
            </w:pPr>
            <w:r w:rsidRPr="000907D3">
              <w:rPr>
                <w:rFonts w:ascii="Adobe Caslon Pro" w:eastAsia="Times New Roman" w:hAnsi="Adobe Caslon Pro" w:cs="Arial"/>
                <w:color w:val="333333"/>
                <w:lang w:eastAsia="es-MX"/>
              </w:rPr>
              <w:t>Económico / social</w:t>
            </w:r>
          </w:p>
        </w:tc>
        <w:tc>
          <w:tcPr>
            <w:tcW w:w="3969" w:type="dxa"/>
            <w:shd w:val="clear" w:color="000000" w:fill="FFFFFF"/>
            <w:hideMark/>
          </w:tcPr>
          <w:p w:rsidR="00CF536D" w:rsidRPr="000907D3" w:rsidRDefault="00EF0F6C" w:rsidP="00D46D99">
            <w:pPr>
              <w:spacing w:after="0" w:line="240" w:lineRule="auto"/>
              <w:jc w:val="both"/>
              <w:rPr>
                <w:rFonts w:ascii="Adobe Caslon Pro" w:eastAsia="Times New Roman" w:hAnsi="Adobe Caslon Pro" w:cs="Arial"/>
                <w:color w:val="333333"/>
                <w:lang w:eastAsia="es-MX"/>
              </w:rPr>
            </w:pPr>
            <w:r>
              <w:rPr>
                <w:rFonts w:ascii="Adobe Caslon Pro" w:eastAsia="Times New Roman" w:hAnsi="Adobe Caslon Pro" w:cs="Arial"/>
                <w:color w:val="333333"/>
                <w:lang w:eastAsia="es-MX"/>
              </w:rPr>
              <w:t>Ley General de Sociedades C</w:t>
            </w:r>
            <w:r w:rsidR="00CF536D" w:rsidRPr="000907D3">
              <w:rPr>
                <w:rFonts w:ascii="Adobe Caslon Pro" w:eastAsia="Times New Roman" w:hAnsi="Adobe Caslon Pro" w:cs="Arial"/>
                <w:color w:val="333333"/>
                <w:lang w:eastAsia="es-MX"/>
              </w:rPr>
              <w:t>ooperativas</w:t>
            </w:r>
          </w:p>
        </w:tc>
      </w:tr>
      <w:tr w:rsidR="00CF536D" w:rsidRPr="000907D3" w:rsidTr="00EF0F6C">
        <w:trPr>
          <w:trHeight w:val="290"/>
        </w:trPr>
        <w:tc>
          <w:tcPr>
            <w:tcW w:w="4172" w:type="dxa"/>
            <w:shd w:val="clear" w:color="000000" w:fill="FFFFFF"/>
            <w:hideMark/>
          </w:tcPr>
          <w:p w:rsidR="00CF536D" w:rsidRPr="000907D3" w:rsidRDefault="00CF536D" w:rsidP="00D46D99">
            <w:pPr>
              <w:spacing w:after="0" w:line="240" w:lineRule="auto"/>
              <w:jc w:val="both"/>
              <w:rPr>
                <w:rFonts w:ascii="Adobe Caslon Pro" w:eastAsia="Times New Roman" w:hAnsi="Adobe Caslon Pro" w:cs="Arial"/>
                <w:color w:val="333333"/>
                <w:lang w:eastAsia="es-MX"/>
              </w:rPr>
            </w:pPr>
            <w:r w:rsidRPr="000907D3">
              <w:rPr>
                <w:rFonts w:ascii="Adobe Caslon Pro" w:eastAsia="Times New Roman" w:hAnsi="Adobe Caslon Pro" w:cs="Arial"/>
                <w:color w:val="333333"/>
                <w:lang w:eastAsia="es-MX"/>
              </w:rPr>
              <w:t>Sociedad cooperativa de Préstamo.</w:t>
            </w:r>
          </w:p>
        </w:tc>
        <w:tc>
          <w:tcPr>
            <w:tcW w:w="1941" w:type="dxa"/>
            <w:shd w:val="clear" w:color="000000" w:fill="FFFFFF"/>
            <w:hideMark/>
          </w:tcPr>
          <w:p w:rsidR="00CF536D" w:rsidRPr="000907D3" w:rsidRDefault="00CF536D" w:rsidP="00D46D99">
            <w:pPr>
              <w:spacing w:after="0" w:line="240" w:lineRule="auto"/>
              <w:jc w:val="both"/>
              <w:rPr>
                <w:rFonts w:ascii="Adobe Caslon Pro" w:eastAsia="Times New Roman" w:hAnsi="Adobe Caslon Pro" w:cs="Arial"/>
                <w:color w:val="333333"/>
                <w:lang w:eastAsia="es-MX"/>
              </w:rPr>
            </w:pPr>
            <w:r w:rsidRPr="000907D3">
              <w:rPr>
                <w:rFonts w:ascii="Adobe Caslon Pro" w:eastAsia="Times New Roman" w:hAnsi="Adobe Caslon Pro" w:cs="Arial"/>
                <w:color w:val="333333"/>
                <w:lang w:eastAsia="es-MX"/>
              </w:rPr>
              <w:t>Económico / social</w:t>
            </w:r>
          </w:p>
        </w:tc>
        <w:tc>
          <w:tcPr>
            <w:tcW w:w="3969" w:type="dxa"/>
            <w:shd w:val="clear" w:color="000000" w:fill="FFFFFF"/>
            <w:hideMark/>
          </w:tcPr>
          <w:p w:rsidR="00CF536D" w:rsidRPr="000907D3" w:rsidRDefault="00EF0F6C" w:rsidP="00D46D99">
            <w:pPr>
              <w:spacing w:after="0" w:line="240" w:lineRule="auto"/>
              <w:jc w:val="both"/>
              <w:rPr>
                <w:rFonts w:ascii="Adobe Caslon Pro" w:eastAsia="Times New Roman" w:hAnsi="Adobe Caslon Pro" w:cs="Arial"/>
                <w:color w:val="333333"/>
                <w:lang w:eastAsia="es-MX"/>
              </w:rPr>
            </w:pPr>
            <w:r>
              <w:rPr>
                <w:rFonts w:ascii="Adobe Caslon Pro" w:eastAsia="Times New Roman" w:hAnsi="Adobe Caslon Pro" w:cs="Arial"/>
                <w:color w:val="333333"/>
                <w:lang w:eastAsia="es-MX"/>
              </w:rPr>
              <w:t>Ley General de Sociedades C</w:t>
            </w:r>
            <w:r w:rsidR="00CF536D" w:rsidRPr="000907D3">
              <w:rPr>
                <w:rFonts w:ascii="Adobe Caslon Pro" w:eastAsia="Times New Roman" w:hAnsi="Adobe Caslon Pro" w:cs="Arial"/>
                <w:color w:val="333333"/>
                <w:lang w:eastAsia="es-MX"/>
              </w:rPr>
              <w:t>ooperativas</w:t>
            </w:r>
          </w:p>
        </w:tc>
      </w:tr>
      <w:tr w:rsidR="00CF536D" w:rsidRPr="000907D3" w:rsidTr="00EF0F6C">
        <w:trPr>
          <w:trHeight w:val="242"/>
        </w:trPr>
        <w:tc>
          <w:tcPr>
            <w:tcW w:w="4172" w:type="dxa"/>
            <w:shd w:val="clear" w:color="000000" w:fill="FFFFFF"/>
            <w:hideMark/>
          </w:tcPr>
          <w:p w:rsidR="00CF536D" w:rsidRPr="000907D3" w:rsidRDefault="00CF536D" w:rsidP="00D46D99">
            <w:pPr>
              <w:spacing w:after="0" w:line="240" w:lineRule="auto"/>
              <w:jc w:val="both"/>
              <w:rPr>
                <w:rFonts w:ascii="Adobe Caslon Pro" w:eastAsia="Times New Roman" w:hAnsi="Adobe Caslon Pro" w:cs="Arial"/>
                <w:color w:val="333333"/>
                <w:lang w:eastAsia="es-MX"/>
              </w:rPr>
            </w:pPr>
            <w:r w:rsidRPr="000907D3">
              <w:rPr>
                <w:rFonts w:ascii="Adobe Caslon Pro" w:eastAsia="Times New Roman" w:hAnsi="Adobe Caslon Pro" w:cs="Arial"/>
                <w:color w:val="333333"/>
                <w:lang w:eastAsia="es-MX"/>
              </w:rPr>
              <w:t>Sociedad en Nombre colectivo.</w:t>
            </w:r>
          </w:p>
        </w:tc>
        <w:tc>
          <w:tcPr>
            <w:tcW w:w="1941" w:type="dxa"/>
            <w:shd w:val="clear" w:color="000000" w:fill="FFFFFF"/>
            <w:hideMark/>
          </w:tcPr>
          <w:p w:rsidR="00CF536D" w:rsidRPr="000907D3" w:rsidRDefault="00CF536D" w:rsidP="00D46D99">
            <w:pPr>
              <w:spacing w:after="0" w:line="240" w:lineRule="auto"/>
              <w:jc w:val="both"/>
              <w:rPr>
                <w:rFonts w:ascii="Adobe Caslon Pro" w:eastAsia="Times New Roman" w:hAnsi="Adobe Caslon Pro" w:cs="Arial"/>
                <w:color w:val="333333"/>
                <w:lang w:eastAsia="es-MX"/>
              </w:rPr>
            </w:pPr>
            <w:r w:rsidRPr="000907D3">
              <w:rPr>
                <w:rFonts w:ascii="Adobe Caslon Pro" w:eastAsia="Times New Roman" w:hAnsi="Adobe Caslon Pro" w:cs="Arial"/>
                <w:color w:val="333333"/>
                <w:lang w:eastAsia="es-MX"/>
              </w:rPr>
              <w:t>Económico / social</w:t>
            </w:r>
          </w:p>
        </w:tc>
        <w:tc>
          <w:tcPr>
            <w:tcW w:w="3969" w:type="dxa"/>
            <w:shd w:val="clear" w:color="000000" w:fill="FFFFFF"/>
            <w:hideMark/>
          </w:tcPr>
          <w:p w:rsidR="00CF536D" w:rsidRPr="000907D3" w:rsidRDefault="00CF536D" w:rsidP="00D46D99">
            <w:pPr>
              <w:spacing w:after="0" w:line="240" w:lineRule="auto"/>
              <w:jc w:val="both"/>
              <w:rPr>
                <w:rFonts w:ascii="Adobe Caslon Pro" w:eastAsia="Times New Roman" w:hAnsi="Adobe Caslon Pro" w:cs="Arial"/>
                <w:color w:val="333333"/>
                <w:lang w:eastAsia="es-MX"/>
              </w:rPr>
            </w:pPr>
            <w:r w:rsidRPr="000907D3">
              <w:rPr>
                <w:rFonts w:ascii="Adobe Caslon Pro" w:eastAsia="Times New Roman" w:hAnsi="Adobe Caslon Pro" w:cs="Arial"/>
                <w:color w:val="333333"/>
                <w:lang w:eastAsia="es-MX"/>
              </w:rPr>
              <w:t>Ley General de Sociedades Mercantiles</w:t>
            </w:r>
          </w:p>
        </w:tc>
      </w:tr>
      <w:tr w:rsidR="00CF536D" w:rsidRPr="000907D3" w:rsidTr="00EF0F6C">
        <w:trPr>
          <w:trHeight w:val="194"/>
        </w:trPr>
        <w:tc>
          <w:tcPr>
            <w:tcW w:w="4172" w:type="dxa"/>
            <w:shd w:val="clear" w:color="000000" w:fill="FFFFFF"/>
            <w:hideMark/>
          </w:tcPr>
          <w:p w:rsidR="00CF536D" w:rsidRPr="000907D3" w:rsidRDefault="00CF536D" w:rsidP="00D46D99">
            <w:pPr>
              <w:spacing w:after="0" w:line="240" w:lineRule="auto"/>
              <w:jc w:val="both"/>
              <w:rPr>
                <w:rFonts w:ascii="Adobe Caslon Pro" w:eastAsia="Times New Roman" w:hAnsi="Adobe Caslon Pro" w:cs="Arial"/>
                <w:color w:val="333333"/>
                <w:lang w:eastAsia="es-MX"/>
              </w:rPr>
            </w:pPr>
            <w:r w:rsidRPr="000907D3">
              <w:rPr>
                <w:rFonts w:ascii="Adobe Caslon Pro" w:eastAsia="Times New Roman" w:hAnsi="Adobe Caslon Pro" w:cs="Arial"/>
                <w:color w:val="333333"/>
                <w:lang w:eastAsia="es-MX"/>
              </w:rPr>
              <w:t>Sociedad cooperativa.</w:t>
            </w:r>
          </w:p>
        </w:tc>
        <w:tc>
          <w:tcPr>
            <w:tcW w:w="1941" w:type="dxa"/>
            <w:shd w:val="clear" w:color="000000" w:fill="FFFFFF"/>
            <w:hideMark/>
          </w:tcPr>
          <w:p w:rsidR="00CF536D" w:rsidRPr="000907D3" w:rsidRDefault="00CF536D" w:rsidP="00D46D99">
            <w:pPr>
              <w:spacing w:after="0" w:line="240" w:lineRule="auto"/>
              <w:jc w:val="both"/>
              <w:rPr>
                <w:rFonts w:ascii="Adobe Caslon Pro" w:eastAsia="Times New Roman" w:hAnsi="Adobe Caslon Pro" w:cs="Arial"/>
                <w:color w:val="333333"/>
                <w:lang w:eastAsia="es-MX"/>
              </w:rPr>
            </w:pPr>
            <w:r w:rsidRPr="000907D3">
              <w:rPr>
                <w:rFonts w:ascii="Adobe Caslon Pro" w:eastAsia="Times New Roman" w:hAnsi="Adobe Caslon Pro" w:cs="Arial"/>
                <w:color w:val="333333"/>
                <w:lang w:eastAsia="es-MX"/>
              </w:rPr>
              <w:t>Económico / social</w:t>
            </w:r>
          </w:p>
        </w:tc>
        <w:tc>
          <w:tcPr>
            <w:tcW w:w="3969" w:type="dxa"/>
            <w:shd w:val="clear" w:color="000000" w:fill="FFFFFF"/>
            <w:hideMark/>
          </w:tcPr>
          <w:p w:rsidR="00CF536D" w:rsidRPr="000907D3" w:rsidRDefault="00CF536D" w:rsidP="00D46D99">
            <w:pPr>
              <w:spacing w:after="0" w:line="240" w:lineRule="auto"/>
              <w:jc w:val="both"/>
              <w:rPr>
                <w:rFonts w:ascii="Adobe Caslon Pro" w:eastAsia="Times New Roman" w:hAnsi="Adobe Caslon Pro" w:cs="Arial"/>
                <w:color w:val="333333"/>
                <w:lang w:eastAsia="es-MX"/>
              </w:rPr>
            </w:pPr>
            <w:r w:rsidRPr="000907D3">
              <w:rPr>
                <w:rFonts w:ascii="Adobe Caslon Pro" w:eastAsia="Times New Roman" w:hAnsi="Adobe Caslon Pro" w:cs="Arial"/>
                <w:color w:val="333333"/>
                <w:lang w:eastAsia="es-MX"/>
              </w:rPr>
              <w:t>Ley General de Sociedades Mercantiles</w:t>
            </w:r>
          </w:p>
        </w:tc>
      </w:tr>
    </w:tbl>
    <w:p w:rsidR="00D059D9" w:rsidRPr="00D059D9" w:rsidRDefault="00D059D9" w:rsidP="00D46D99">
      <w:pPr>
        <w:autoSpaceDE w:val="0"/>
        <w:autoSpaceDN w:val="0"/>
        <w:adjustRightInd w:val="0"/>
        <w:spacing w:before="240"/>
        <w:ind w:right="740"/>
        <w:rPr>
          <w:rFonts w:ascii="Adobe Caslon Pro" w:hAnsi="Adobe Caslon Pro" w:cs="Arial"/>
          <w:sz w:val="18"/>
          <w:szCs w:val="18"/>
        </w:rPr>
      </w:pPr>
      <w:r w:rsidRPr="00D059D9">
        <w:rPr>
          <w:rFonts w:ascii="Adobe Caslon Pro" w:hAnsi="Adobe Caslon Pro" w:cs="Arial"/>
          <w:sz w:val="18"/>
          <w:szCs w:val="18"/>
        </w:rPr>
        <w:t xml:space="preserve">Fuente: Leyes Estatales de Fomento a las actividades de las </w:t>
      </w:r>
      <w:r w:rsidR="002F714E">
        <w:rPr>
          <w:rFonts w:ascii="Adobe Caslon Pro" w:hAnsi="Adobe Caslon Pro" w:cs="Arial"/>
          <w:sz w:val="18"/>
          <w:szCs w:val="18"/>
        </w:rPr>
        <w:t>OSC</w:t>
      </w:r>
      <w:r w:rsidRPr="00D059D9">
        <w:rPr>
          <w:rFonts w:ascii="Adobe Caslon Pro" w:hAnsi="Adobe Caslon Pro" w:cs="Arial"/>
          <w:sz w:val="18"/>
          <w:szCs w:val="18"/>
        </w:rPr>
        <w:t>, p.28.</w:t>
      </w:r>
    </w:p>
    <w:p w:rsidR="00CF536D" w:rsidRPr="000907D3" w:rsidRDefault="00CF536D" w:rsidP="00026506">
      <w:pPr>
        <w:autoSpaceDE w:val="0"/>
        <w:autoSpaceDN w:val="0"/>
        <w:adjustRightInd w:val="0"/>
        <w:spacing w:before="240"/>
        <w:jc w:val="both"/>
        <w:rPr>
          <w:rFonts w:ascii="Adobe Caslon Pro" w:hAnsi="Adobe Caslon Pro" w:cs="Arial"/>
          <w:color w:val="221E1F"/>
        </w:rPr>
      </w:pPr>
      <w:r w:rsidRPr="000907D3">
        <w:rPr>
          <w:rFonts w:ascii="Adobe Caslon Pro" w:hAnsi="Adobe Caslon Pro" w:cs="Arial"/>
          <w:color w:val="221E1F"/>
        </w:rPr>
        <w:t>Al respecto, es importante anotar que “cada una de estas figuras jurídicas tiene su propia regulación y surgen en primera instancia como una manifestación del principio de libertad de asociación,</w:t>
      </w:r>
      <w:r w:rsidR="00BC2E84">
        <w:rPr>
          <w:rFonts w:ascii="Adobe Caslon Pro" w:hAnsi="Adobe Caslon Pro" w:cs="Arial"/>
          <w:color w:val="221E1F"/>
        </w:rPr>
        <w:t xml:space="preserve"> </w:t>
      </w:r>
      <w:r w:rsidRPr="000907D3">
        <w:rPr>
          <w:rFonts w:ascii="Adobe Caslon Pro" w:hAnsi="Adobe Caslon Pro" w:cs="Arial"/>
          <w:color w:val="221E1F"/>
        </w:rPr>
        <w:t xml:space="preserve">consagrado en el artículo 9 de </w:t>
      </w:r>
      <w:r w:rsidR="002A5DD4" w:rsidRPr="000907D3">
        <w:rPr>
          <w:rFonts w:ascii="Adobe Caslon Pro" w:hAnsi="Adobe Caslon Pro" w:cs="Arial"/>
          <w:color w:val="221E1F"/>
        </w:rPr>
        <w:t>la</w:t>
      </w:r>
      <w:r w:rsidR="00BC2E84">
        <w:rPr>
          <w:rFonts w:ascii="Adobe Caslon Pro" w:hAnsi="Adobe Caslon Pro" w:cs="Arial"/>
          <w:color w:val="221E1F"/>
        </w:rPr>
        <w:t xml:space="preserve"> </w:t>
      </w:r>
      <w:r w:rsidR="0072441C" w:rsidRPr="000907D3">
        <w:rPr>
          <w:rFonts w:ascii="Adobe Caslon Pro" w:hAnsi="Adobe Caslon Pro" w:cs="Arial"/>
          <w:color w:val="221E1F"/>
        </w:rPr>
        <w:t>Constitución Política</w:t>
      </w:r>
      <w:r w:rsidR="002A5DD4" w:rsidRPr="000907D3">
        <w:rPr>
          <w:rFonts w:ascii="Adobe Caslon Pro" w:hAnsi="Adobe Caslon Pro" w:cs="Arial"/>
          <w:color w:val="221E1F"/>
        </w:rPr>
        <w:t xml:space="preserve"> de los Estados Unidos Mexicanos</w:t>
      </w:r>
      <w:r w:rsidRPr="000907D3">
        <w:rPr>
          <w:rFonts w:ascii="Adobe Caslon Pro" w:hAnsi="Adobe Caslon Pro" w:cs="Arial"/>
          <w:color w:val="221E1F"/>
        </w:rPr>
        <w:t>”</w:t>
      </w:r>
      <w:r w:rsidR="0072441C" w:rsidRPr="000907D3">
        <w:rPr>
          <w:rFonts w:ascii="Adobe Caslon Pro" w:hAnsi="Adobe Caslon Pro" w:cs="Arial"/>
          <w:color w:val="221E1F"/>
        </w:rPr>
        <w:t>.</w:t>
      </w:r>
    </w:p>
    <w:p w:rsidR="00CF536D" w:rsidRDefault="00CF536D" w:rsidP="00026506">
      <w:pPr>
        <w:pStyle w:val="Normal3"/>
        <w:spacing w:before="240"/>
        <w:rPr>
          <w:rFonts w:ascii="Adobe Caslon Pro" w:hAnsi="Adobe Caslon Pro"/>
          <w:color w:val="211D1E"/>
          <w:sz w:val="22"/>
          <w:szCs w:val="22"/>
        </w:rPr>
      </w:pPr>
      <w:r w:rsidRPr="000907D3">
        <w:rPr>
          <w:rFonts w:ascii="Adobe Caslon Pro" w:hAnsi="Adobe Caslon Pro"/>
          <w:color w:val="211D1E"/>
          <w:sz w:val="22"/>
          <w:szCs w:val="22"/>
        </w:rPr>
        <w:t>La LFFA</w:t>
      </w:r>
      <w:r w:rsidR="00987449" w:rsidRPr="000907D3">
        <w:rPr>
          <w:rFonts w:ascii="Adobe Caslon Pro" w:hAnsi="Adobe Caslon Pro"/>
          <w:color w:val="211D1E"/>
          <w:sz w:val="22"/>
          <w:szCs w:val="22"/>
        </w:rPr>
        <w:t>R</w:t>
      </w:r>
      <w:r w:rsidRPr="000907D3">
        <w:rPr>
          <w:rFonts w:ascii="Adobe Caslon Pro" w:hAnsi="Adobe Caslon Pro"/>
          <w:color w:val="211D1E"/>
          <w:sz w:val="22"/>
          <w:szCs w:val="22"/>
        </w:rPr>
        <w:t>OSC no alude a la figura jurídica de las OSC</w:t>
      </w:r>
      <w:r w:rsidR="00987449" w:rsidRPr="000907D3">
        <w:rPr>
          <w:rFonts w:ascii="Adobe Caslon Pro" w:hAnsi="Adobe Caslon Pro"/>
          <w:color w:val="211D1E"/>
          <w:sz w:val="22"/>
          <w:szCs w:val="22"/>
        </w:rPr>
        <w:t>;</w:t>
      </w:r>
      <w:r w:rsidRPr="000907D3">
        <w:rPr>
          <w:rFonts w:ascii="Adobe Caslon Pro" w:hAnsi="Adobe Caslon Pro"/>
          <w:color w:val="211D1E"/>
          <w:sz w:val="22"/>
          <w:szCs w:val="22"/>
        </w:rPr>
        <w:t xml:space="preserve"> sólo define que deberán estar legalmente constituidas y define otras condiciones para que puedan “acogerse y disfrutar de los apoyos y estímulos que </w:t>
      </w:r>
      <w:r w:rsidRPr="000907D3">
        <w:rPr>
          <w:rFonts w:ascii="Adobe Caslon Pro" w:hAnsi="Adobe Caslon Pro"/>
          <w:color w:val="211D1E"/>
          <w:sz w:val="22"/>
          <w:szCs w:val="22"/>
        </w:rPr>
        <w:lastRenderedPageBreak/>
        <w:t xml:space="preserve">establece </w:t>
      </w:r>
      <w:r w:rsidR="00987449" w:rsidRPr="000907D3">
        <w:rPr>
          <w:rFonts w:ascii="Adobe Caslon Pro" w:hAnsi="Adobe Caslon Pro"/>
          <w:color w:val="211D1E"/>
          <w:sz w:val="22"/>
          <w:szCs w:val="22"/>
        </w:rPr>
        <w:t>dicha</w:t>
      </w:r>
      <w:r w:rsidRPr="000907D3">
        <w:rPr>
          <w:rFonts w:ascii="Adobe Caslon Pro" w:hAnsi="Adobe Caslon Pro"/>
          <w:color w:val="211D1E"/>
          <w:sz w:val="22"/>
          <w:szCs w:val="22"/>
        </w:rPr>
        <w:t xml:space="preserve"> Ley” (art. 3). </w:t>
      </w:r>
      <w:r w:rsidR="00987449" w:rsidRPr="000907D3">
        <w:rPr>
          <w:rFonts w:ascii="Adobe Caslon Pro" w:hAnsi="Adobe Caslon Pro"/>
          <w:color w:val="211D1E"/>
          <w:sz w:val="22"/>
          <w:szCs w:val="22"/>
        </w:rPr>
        <w:t>Asimismo, e</w:t>
      </w:r>
      <w:r w:rsidRPr="000907D3">
        <w:rPr>
          <w:rFonts w:ascii="Adobe Caslon Pro" w:hAnsi="Adobe Caslon Pro"/>
          <w:color w:val="211D1E"/>
          <w:sz w:val="22"/>
          <w:szCs w:val="22"/>
        </w:rPr>
        <w:t xml:space="preserve">n </w:t>
      </w:r>
      <w:r w:rsidR="00987449" w:rsidRPr="000907D3">
        <w:rPr>
          <w:rFonts w:ascii="Adobe Caslon Pro" w:hAnsi="Adobe Caslon Pro"/>
          <w:color w:val="211D1E"/>
          <w:sz w:val="22"/>
          <w:szCs w:val="22"/>
        </w:rPr>
        <w:t>su</w:t>
      </w:r>
      <w:r w:rsidR="00BC2E84">
        <w:rPr>
          <w:rFonts w:ascii="Adobe Caslon Pro" w:hAnsi="Adobe Caslon Pro"/>
          <w:color w:val="211D1E"/>
          <w:sz w:val="22"/>
          <w:szCs w:val="22"/>
        </w:rPr>
        <w:t xml:space="preserve"> </w:t>
      </w:r>
      <w:r w:rsidRPr="000907D3">
        <w:rPr>
          <w:rFonts w:ascii="Adobe Caslon Pro" w:hAnsi="Adobe Caslon Pro"/>
          <w:color w:val="211D1E"/>
          <w:sz w:val="22"/>
          <w:szCs w:val="22"/>
        </w:rPr>
        <w:t>artículo 5 se definen las actividades que deben realizar las organizaciones. Las opciones más recurrentes para legal</w:t>
      </w:r>
      <w:r w:rsidR="00AE47BB">
        <w:rPr>
          <w:rFonts w:ascii="Adobe Caslon Pro" w:hAnsi="Adobe Caslon Pro"/>
          <w:color w:val="211D1E"/>
          <w:sz w:val="22"/>
          <w:szCs w:val="22"/>
        </w:rPr>
        <w:t xml:space="preserve">izar una organización son la AC </w:t>
      </w:r>
      <w:r w:rsidRPr="000907D3">
        <w:rPr>
          <w:rFonts w:ascii="Adobe Caslon Pro" w:hAnsi="Adobe Caslon Pro"/>
          <w:color w:val="211D1E"/>
          <w:sz w:val="22"/>
          <w:szCs w:val="22"/>
        </w:rPr>
        <w:t xml:space="preserve">y, en segundo lugar, la de </w:t>
      </w:r>
      <w:r w:rsidR="00AE47BB">
        <w:rPr>
          <w:rFonts w:ascii="Adobe Caslon Pro" w:hAnsi="Adobe Caslon Pro"/>
          <w:color w:val="211D1E"/>
          <w:sz w:val="22"/>
          <w:szCs w:val="22"/>
        </w:rPr>
        <w:t>IAP</w:t>
      </w:r>
      <w:r w:rsidRPr="000907D3">
        <w:rPr>
          <w:rFonts w:ascii="Adobe Caslon Pro" w:hAnsi="Adobe Caslon Pro"/>
          <w:color w:val="211D1E"/>
          <w:sz w:val="22"/>
          <w:szCs w:val="22"/>
        </w:rPr>
        <w:t>; marginalmente se encuentra la IBP, aunque esta última figura únicamente se obtiene en estados que cuentan con leyes que así lo permiten.</w:t>
      </w:r>
    </w:p>
    <w:p w:rsidR="00EF0F6C" w:rsidRDefault="00CF536D" w:rsidP="00026506">
      <w:pPr>
        <w:pStyle w:val="Normal3"/>
        <w:spacing w:before="240"/>
        <w:rPr>
          <w:rFonts w:ascii="Adobe Caslon Pro" w:hAnsi="Adobe Caslon Pro"/>
          <w:color w:val="211D1E"/>
          <w:sz w:val="22"/>
          <w:szCs w:val="22"/>
        </w:rPr>
      </w:pPr>
      <w:r w:rsidRPr="000907D3">
        <w:rPr>
          <w:rFonts w:ascii="Adobe Caslon Pro" w:hAnsi="Adobe Caslon Pro"/>
          <w:color w:val="211D1E"/>
          <w:sz w:val="22"/>
          <w:szCs w:val="22"/>
        </w:rPr>
        <w:t xml:space="preserve">En la práctica, las asociaciones que se acogen a la LFFAROSC son mayoritariamente las </w:t>
      </w:r>
      <w:r w:rsidR="002F714E">
        <w:rPr>
          <w:rFonts w:ascii="Adobe Caslon Pro" w:hAnsi="Adobe Caslon Pro"/>
          <w:color w:val="211D1E"/>
          <w:sz w:val="22"/>
          <w:szCs w:val="22"/>
        </w:rPr>
        <w:t>AC</w:t>
      </w:r>
      <w:r w:rsidR="008F5529">
        <w:rPr>
          <w:rFonts w:ascii="Adobe Caslon Pro" w:hAnsi="Adobe Caslon Pro"/>
          <w:color w:val="211D1E"/>
          <w:sz w:val="22"/>
          <w:szCs w:val="22"/>
        </w:rPr>
        <w:t>. En la gráfica 29</w:t>
      </w:r>
      <w:r w:rsidRPr="000907D3">
        <w:rPr>
          <w:rFonts w:ascii="Adobe Caslon Pro" w:hAnsi="Adobe Caslon Pro"/>
          <w:color w:val="211D1E"/>
          <w:sz w:val="22"/>
          <w:szCs w:val="22"/>
        </w:rPr>
        <w:t xml:space="preserve"> se presenta el porcentaje de organizaciones con CLUNI y registro ante el </w:t>
      </w:r>
      <w:r w:rsidR="002F714E">
        <w:rPr>
          <w:rFonts w:ascii="Adobe Caslon Pro" w:hAnsi="Adobe Caslon Pro"/>
          <w:color w:val="211D1E"/>
          <w:sz w:val="22"/>
          <w:szCs w:val="22"/>
        </w:rPr>
        <w:t>INDESOL</w:t>
      </w:r>
      <w:r w:rsidRPr="000907D3">
        <w:rPr>
          <w:rFonts w:ascii="Adobe Caslon Pro" w:hAnsi="Adobe Caslon Pro"/>
          <w:color w:val="211D1E"/>
          <w:sz w:val="22"/>
          <w:szCs w:val="22"/>
        </w:rPr>
        <w:t>. Como se podrá observar, 91% son A</w:t>
      </w:r>
      <w:r w:rsidR="00987449" w:rsidRPr="000907D3">
        <w:rPr>
          <w:rFonts w:ascii="Adobe Caslon Pro" w:hAnsi="Adobe Caslon Pro"/>
          <w:color w:val="211D1E"/>
          <w:sz w:val="22"/>
          <w:szCs w:val="22"/>
        </w:rPr>
        <w:t xml:space="preserve">sociaciones </w:t>
      </w:r>
      <w:r w:rsidRPr="000907D3">
        <w:rPr>
          <w:rFonts w:ascii="Adobe Caslon Pro" w:hAnsi="Adobe Caslon Pro"/>
          <w:color w:val="211D1E"/>
          <w:sz w:val="22"/>
          <w:szCs w:val="22"/>
        </w:rPr>
        <w:t>C</w:t>
      </w:r>
      <w:r w:rsidR="00987449" w:rsidRPr="000907D3">
        <w:rPr>
          <w:rFonts w:ascii="Adobe Caslon Pro" w:hAnsi="Adobe Caslon Pro"/>
          <w:color w:val="211D1E"/>
          <w:sz w:val="22"/>
          <w:szCs w:val="22"/>
        </w:rPr>
        <w:t>iviles</w:t>
      </w:r>
      <w:r w:rsidRPr="000907D3">
        <w:rPr>
          <w:rFonts w:ascii="Adobe Caslon Pro" w:hAnsi="Adobe Caslon Pro"/>
          <w:color w:val="211D1E"/>
          <w:sz w:val="22"/>
          <w:szCs w:val="22"/>
        </w:rPr>
        <w:t xml:space="preserve">, y 5.4% </w:t>
      </w:r>
      <w:r w:rsidR="00160981">
        <w:rPr>
          <w:rFonts w:ascii="Adobe Caslon Pro" w:hAnsi="Adobe Caslon Pro"/>
          <w:color w:val="211D1E"/>
          <w:sz w:val="22"/>
          <w:szCs w:val="22"/>
        </w:rPr>
        <w:t>IAP.</w:t>
      </w:r>
      <w:r w:rsidRPr="000907D3">
        <w:rPr>
          <w:rFonts w:ascii="Adobe Caslon Pro" w:hAnsi="Adobe Caslon Pro"/>
          <w:color w:val="211D1E"/>
          <w:sz w:val="22"/>
          <w:szCs w:val="22"/>
        </w:rPr>
        <w:t xml:space="preserve"> Es pertinente señalarla inobjetable preferencia de las OSC por ser </w:t>
      </w:r>
      <w:r w:rsidR="002F714E">
        <w:rPr>
          <w:rFonts w:ascii="Adobe Caslon Pro" w:hAnsi="Adobe Caslon Pro"/>
          <w:color w:val="211D1E"/>
          <w:sz w:val="22"/>
          <w:szCs w:val="22"/>
        </w:rPr>
        <w:t>AC</w:t>
      </w:r>
      <w:r w:rsidRPr="000907D3">
        <w:rPr>
          <w:rFonts w:ascii="Adobe Caslon Pro" w:hAnsi="Adobe Caslon Pro"/>
          <w:color w:val="211D1E"/>
          <w:sz w:val="22"/>
          <w:szCs w:val="22"/>
        </w:rPr>
        <w:t>.</w:t>
      </w:r>
    </w:p>
    <w:p w:rsidR="00CF536D" w:rsidRPr="001217F4" w:rsidRDefault="00CF536D" w:rsidP="001217F4">
      <w:pPr>
        <w:spacing w:before="240"/>
        <w:jc w:val="center"/>
        <w:rPr>
          <w:rStyle w:val="Normal3Car"/>
          <w:rFonts w:ascii="Adobe Caslon Pro" w:hAnsi="Adobe Caslon Pro"/>
          <w:b/>
          <w:color w:val="211D1E"/>
          <w:sz w:val="22"/>
          <w:szCs w:val="22"/>
        </w:rPr>
      </w:pPr>
      <w:bookmarkStart w:id="132" w:name="_Toc374380627"/>
      <w:bookmarkStart w:id="133" w:name="_Toc380855775"/>
      <w:r w:rsidRPr="001217F4">
        <w:rPr>
          <w:rFonts w:ascii="Adobe Caslon Pro" w:hAnsi="Adobe Caslon Pro" w:cs="Arial"/>
          <w:b/>
          <w:color w:val="000000" w:themeColor="text1"/>
          <w:sz w:val="20"/>
          <w:szCs w:val="20"/>
        </w:rPr>
        <w:t xml:space="preserve">Gráfica </w:t>
      </w:r>
      <w:r w:rsidR="001E24D5" w:rsidRPr="001217F4">
        <w:rPr>
          <w:rFonts w:ascii="Adobe Caslon Pro" w:hAnsi="Adobe Caslon Pro" w:cs="Arial"/>
          <w:b/>
          <w:color w:val="000000" w:themeColor="text1"/>
          <w:sz w:val="20"/>
          <w:szCs w:val="20"/>
        </w:rPr>
        <w:t>29</w:t>
      </w:r>
      <w:r w:rsidRPr="001217F4">
        <w:rPr>
          <w:rFonts w:ascii="Adobe Caslon Pro" w:hAnsi="Adobe Caslon Pro" w:cs="Arial"/>
          <w:b/>
          <w:color w:val="000000" w:themeColor="text1"/>
          <w:sz w:val="20"/>
          <w:szCs w:val="20"/>
        </w:rPr>
        <w:t xml:space="preserve">. </w:t>
      </w:r>
      <w:r w:rsidR="002F714E" w:rsidRPr="001217F4">
        <w:rPr>
          <w:rFonts w:ascii="Adobe Caslon Pro" w:hAnsi="Adobe Caslon Pro" w:cs="Arial"/>
          <w:b/>
          <w:color w:val="000000" w:themeColor="text1"/>
          <w:sz w:val="20"/>
          <w:szCs w:val="20"/>
        </w:rPr>
        <w:t>OSC</w:t>
      </w:r>
      <w:r w:rsidRPr="001217F4">
        <w:rPr>
          <w:rFonts w:ascii="Adobe Caslon Pro" w:hAnsi="Adobe Caslon Pro" w:cs="Arial"/>
          <w:b/>
          <w:color w:val="000000" w:themeColor="text1"/>
          <w:sz w:val="20"/>
          <w:szCs w:val="20"/>
        </w:rPr>
        <w:t xml:space="preserve"> por Figura Jurídica</w:t>
      </w:r>
      <w:bookmarkEnd w:id="132"/>
      <w:bookmarkEnd w:id="133"/>
    </w:p>
    <w:p w:rsidR="00CF536D" w:rsidRPr="000907D3" w:rsidRDefault="006E796E" w:rsidP="001217F4">
      <w:pPr>
        <w:spacing w:before="240"/>
        <w:jc w:val="center"/>
        <w:rPr>
          <w:rFonts w:ascii="Adobe Caslon Pro" w:hAnsi="Adobe Caslon Pro" w:cs="Arial"/>
          <w:color w:val="000000"/>
        </w:rPr>
      </w:pPr>
      <w:r>
        <w:rPr>
          <w:noProof/>
          <w:lang w:eastAsia="es-MX"/>
        </w:rPr>
        <w:drawing>
          <wp:inline distT="0" distB="0" distL="0" distR="0" wp14:anchorId="210E629D" wp14:editId="3FE9D6E9">
            <wp:extent cx="3679200" cy="3157200"/>
            <wp:effectExtent l="0" t="0" r="16510" b="24765"/>
            <wp:docPr id="33" name="Gráfico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F536D" w:rsidRDefault="00CF536D" w:rsidP="00026506">
      <w:pPr>
        <w:pStyle w:val="Normal3"/>
        <w:spacing w:before="240"/>
        <w:rPr>
          <w:rFonts w:ascii="Adobe Caslon Pro" w:hAnsi="Adobe Caslon Pro"/>
          <w:sz w:val="18"/>
          <w:szCs w:val="18"/>
        </w:rPr>
      </w:pPr>
      <w:r w:rsidRPr="00D059D9">
        <w:rPr>
          <w:rFonts w:ascii="Adobe Caslon Pro" w:hAnsi="Adobe Caslon Pro"/>
          <w:sz w:val="18"/>
          <w:szCs w:val="18"/>
        </w:rPr>
        <w:t xml:space="preserve">Fuente: Leyes Estatales de Fomento a las actividades de las </w:t>
      </w:r>
      <w:r w:rsidR="002F714E">
        <w:rPr>
          <w:rFonts w:ascii="Adobe Caslon Pro" w:hAnsi="Adobe Caslon Pro"/>
          <w:sz w:val="18"/>
          <w:szCs w:val="18"/>
        </w:rPr>
        <w:t>OSC</w:t>
      </w:r>
      <w:r w:rsidRPr="00D059D9">
        <w:rPr>
          <w:rFonts w:ascii="Adobe Caslon Pro" w:hAnsi="Adobe Caslon Pro"/>
          <w:sz w:val="18"/>
          <w:szCs w:val="18"/>
        </w:rPr>
        <w:t>, página 32.</w:t>
      </w:r>
    </w:p>
    <w:p w:rsidR="00CF536D" w:rsidRDefault="00CF536D" w:rsidP="00026506">
      <w:pPr>
        <w:pStyle w:val="Normal3"/>
        <w:spacing w:before="240"/>
        <w:rPr>
          <w:rFonts w:ascii="Adobe Caslon Pro" w:hAnsi="Adobe Caslon Pro"/>
          <w:sz w:val="22"/>
          <w:szCs w:val="22"/>
        </w:rPr>
      </w:pPr>
      <w:r w:rsidRPr="000907D3">
        <w:rPr>
          <w:rFonts w:ascii="Adobe Caslon Pro" w:hAnsi="Adobe Caslon Pro"/>
          <w:sz w:val="22"/>
          <w:szCs w:val="22"/>
        </w:rPr>
        <w:t>La diversidad de asociaciones se ampara en un conjunto de leyes inconexas, sin una relación armónica o una ley general de asociaciones que funcion</w:t>
      </w:r>
      <w:r w:rsidR="0039496C">
        <w:rPr>
          <w:rFonts w:ascii="Adobe Caslon Pro" w:hAnsi="Adobe Caslon Pro"/>
          <w:sz w:val="22"/>
          <w:szCs w:val="22"/>
        </w:rPr>
        <w:t>e</w:t>
      </w:r>
      <w:r w:rsidRPr="000907D3">
        <w:rPr>
          <w:rFonts w:ascii="Adobe Caslon Pro" w:hAnsi="Adobe Caslon Pro"/>
          <w:sz w:val="22"/>
          <w:szCs w:val="22"/>
        </w:rPr>
        <w:t xml:space="preserve"> como paraguas institucional. El problema está, también, en la poca identidad que guardan los miembros de las organizaciones con sus proyectos o causas sociales de largo plazo, lo que les imposibilita contar con un proyecto político y social que se construya tras identificar los intereses comunes que posibiliten generar apoyos hacia todo tipo de asociatividad solidaria.</w:t>
      </w:r>
    </w:p>
    <w:p w:rsidR="00CF536D" w:rsidRDefault="00CF536D" w:rsidP="001217F4">
      <w:pPr>
        <w:pStyle w:val="Normal3"/>
        <w:spacing w:after="120"/>
        <w:rPr>
          <w:rFonts w:ascii="Adobe Caslon Pro" w:hAnsi="Adobe Caslon Pro"/>
          <w:sz w:val="22"/>
          <w:szCs w:val="22"/>
        </w:rPr>
      </w:pPr>
      <w:r w:rsidRPr="000907D3">
        <w:rPr>
          <w:rFonts w:ascii="Adobe Caslon Pro" w:hAnsi="Adobe Caslon Pro"/>
          <w:sz w:val="22"/>
          <w:szCs w:val="22"/>
        </w:rPr>
        <w:lastRenderedPageBreak/>
        <w:t>No hay que olvidar que existen organizaciones informales que desempeñan un papel y una función para mantener e incrementar la cohesión social y la gobernabilidad, aunque no haya iniciado un proceso de registro y formalización ante los instrumentos que prevé la</w:t>
      </w:r>
      <w:r w:rsidR="00BC2E84">
        <w:rPr>
          <w:rFonts w:ascii="Adobe Caslon Pro" w:hAnsi="Adobe Caslon Pro"/>
          <w:sz w:val="22"/>
          <w:szCs w:val="22"/>
        </w:rPr>
        <w:t xml:space="preserve"> </w:t>
      </w:r>
      <w:r w:rsidR="00F229F9" w:rsidRPr="000907D3">
        <w:rPr>
          <w:rFonts w:ascii="Adobe Caslon Pro" w:hAnsi="Adobe Caslon Pro"/>
          <w:sz w:val="22"/>
          <w:szCs w:val="22"/>
        </w:rPr>
        <w:t>LFFAROSC</w:t>
      </w:r>
      <w:r w:rsidRPr="000907D3">
        <w:rPr>
          <w:rFonts w:ascii="Adobe Caslon Pro" w:hAnsi="Adobe Caslon Pro"/>
          <w:sz w:val="22"/>
          <w:szCs w:val="22"/>
        </w:rPr>
        <w:t xml:space="preserve">. Lo anterior no debe ser motivo para </w:t>
      </w:r>
      <w:r w:rsidR="00F229F9" w:rsidRPr="000907D3">
        <w:rPr>
          <w:rFonts w:ascii="Adobe Caslon Pro" w:hAnsi="Adobe Caslon Pro"/>
          <w:sz w:val="22"/>
          <w:szCs w:val="22"/>
        </w:rPr>
        <w:t xml:space="preserve">que dichas organizaciones </w:t>
      </w:r>
      <w:r w:rsidRPr="000907D3">
        <w:rPr>
          <w:rFonts w:ascii="Adobe Caslon Pro" w:hAnsi="Adobe Caslon Pro"/>
          <w:sz w:val="22"/>
          <w:szCs w:val="22"/>
        </w:rPr>
        <w:t>se</w:t>
      </w:r>
      <w:r w:rsidR="00F229F9" w:rsidRPr="000907D3">
        <w:rPr>
          <w:rFonts w:ascii="Adobe Caslon Pro" w:hAnsi="Adobe Caslon Pro"/>
          <w:sz w:val="22"/>
          <w:szCs w:val="22"/>
        </w:rPr>
        <w:t>an</w:t>
      </w:r>
      <w:r w:rsidRPr="000907D3">
        <w:rPr>
          <w:rFonts w:ascii="Adobe Caslon Pro" w:hAnsi="Adobe Caslon Pro"/>
          <w:sz w:val="22"/>
          <w:szCs w:val="22"/>
        </w:rPr>
        <w:t xml:space="preserve"> ignoradas en sus actividades</w:t>
      </w:r>
      <w:r w:rsidR="00F229F9" w:rsidRPr="000907D3">
        <w:rPr>
          <w:rFonts w:ascii="Adobe Caslon Pro" w:hAnsi="Adobe Caslon Pro"/>
          <w:sz w:val="22"/>
          <w:szCs w:val="22"/>
        </w:rPr>
        <w:t xml:space="preserve">, sino al contrario, se deben </w:t>
      </w:r>
      <w:r w:rsidRPr="000907D3">
        <w:rPr>
          <w:rFonts w:ascii="Adobe Caslon Pro" w:hAnsi="Adobe Caslon Pro"/>
          <w:sz w:val="22"/>
          <w:szCs w:val="22"/>
        </w:rPr>
        <w:t>reconocer, cuantificar y valorar los servicios que prestan a la comunidad.</w:t>
      </w:r>
    </w:p>
    <w:p w:rsidR="0018237B" w:rsidRPr="000907D3" w:rsidRDefault="0018237B" w:rsidP="001217F4">
      <w:pPr>
        <w:pStyle w:val="Normal3"/>
        <w:spacing w:after="120"/>
        <w:rPr>
          <w:rFonts w:ascii="Adobe Caslon Pro" w:hAnsi="Adobe Caslon Pro"/>
          <w:sz w:val="22"/>
          <w:szCs w:val="22"/>
        </w:rPr>
      </w:pPr>
    </w:p>
    <w:p w:rsidR="00CF536D" w:rsidRPr="000907D3" w:rsidRDefault="009A7A25" w:rsidP="001217F4">
      <w:pPr>
        <w:pStyle w:val="Ttulo2"/>
        <w:spacing w:before="0" w:after="120"/>
        <w:jc w:val="both"/>
        <w:rPr>
          <w:rFonts w:eastAsiaTheme="minorHAnsi"/>
        </w:rPr>
      </w:pPr>
      <w:bookmarkStart w:id="134" w:name="_Toc391925227"/>
      <w:r>
        <w:rPr>
          <w:rFonts w:eastAsiaTheme="minorHAnsi"/>
        </w:rPr>
        <w:t xml:space="preserve">3.2 </w:t>
      </w:r>
      <w:r w:rsidR="00A037D2">
        <w:rPr>
          <w:rFonts w:eastAsiaTheme="minorHAnsi"/>
        </w:rPr>
        <w:t>Análisis de experiencias exitosas</w:t>
      </w:r>
      <w:bookmarkEnd w:id="134"/>
    </w:p>
    <w:p w:rsidR="00CF536D" w:rsidRPr="00A037D2" w:rsidRDefault="009A7A25" w:rsidP="00026506">
      <w:pPr>
        <w:pStyle w:val="Ttulo3"/>
        <w:spacing w:before="240" w:after="240"/>
        <w:jc w:val="both"/>
      </w:pPr>
      <w:bookmarkStart w:id="135" w:name="_Toc380855728"/>
      <w:bookmarkStart w:id="136" w:name="_Toc263896849"/>
      <w:bookmarkStart w:id="137" w:name="_Toc391925228"/>
      <w:r>
        <w:t xml:space="preserve">3.2.1 </w:t>
      </w:r>
      <w:r w:rsidR="00CF536D" w:rsidRPr="00A037D2">
        <w:t>Caso en India</w:t>
      </w:r>
      <w:bookmarkEnd w:id="135"/>
      <w:bookmarkEnd w:id="136"/>
      <w:bookmarkEnd w:id="137"/>
    </w:p>
    <w:p w:rsidR="00CF536D" w:rsidRPr="000907D3" w:rsidRDefault="00CF536D" w:rsidP="00026506">
      <w:pPr>
        <w:autoSpaceDE w:val="0"/>
        <w:autoSpaceDN w:val="0"/>
        <w:adjustRightInd w:val="0"/>
        <w:spacing w:before="240"/>
        <w:jc w:val="both"/>
        <w:rPr>
          <w:rFonts w:ascii="Adobe Caslon Pro" w:hAnsi="Adobe Caslon Pro" w:cs="Arial"/>
        </w:rPr>
      </w:pPr>
      <w:r w:rsidRPr="000907D3">
        <w:rPr>
          <w:rFonts w:ascii="Adobe Caslon Pro" w:hAnsi="Adobe Caslon Pro" w:cs="Arial"/>
        </w:rPr>
        <w:t xml:space="preserve">Por los años setenta, el </w:t>
      </w:r>
      <w:r w:rsidR="00BE60D4">
        <w:rPr>
          <w:rFonts w:ascii="Adobe Caslon Pro" w:hAnsi="Adobe Caslon Pro" w:cs="Arial"/>
        </w:rPr>
        <w:t>gobierno</w:t>
      </w:r>
      <w:r w:rsidRPr="000907D3">
        <w:rPr>
          <w:rFonts w:ascii="Adobe Caslon Pro" w:hAnsi="Adobe Caslon Pro" w:cs="Arial"/>
        </w:rPr>
        <w:t xml:space="preserve"> percibía a las OSC con desconfianza, ya que fueron aliadas de movimientos de oposición que pretendían derrocarlo (Dongre y Gopalan, 2008)</w:t>
      </w:r>
      <w:r w:rsidR="00864B4A" w:rsidRPr="000907D3">
        <w:rPr>
          <w:rFonts w:ascii="Adobe Caslon Pro" w:hAnsi="Adobe Caslon Pro" w:cs="Arial"/>
        </w:rPr>
        <w:t>.</w:t>
      </w:r>
      <w:r w:rsidR="005F2F28">
        <w:rPr>
          <w:rFonts w:ascii="Adobe Caslon Pro" w:hAnsi="Adobe Caslon Pro" w:cs="Arial"/>
        </w:rPr>
        <w:t xml:space="preserve"> </w:t>
      </w:r>
      <w:r w:rsidR="00864B4A" w:rsidRPr="000907D3">
        <w:rPr>
          <w:rFonts w:ascii="Adobe Caslon Pro" w:hAnsi="Adobe Caslon Pro" w:cs="Arial"/>
        </w:rPr>
        <w:t>P</w:t>
      </w:r>
      <w:r w:rsidRPr="000907D3">
        <w:rPr>
          <w:rFonts w:ascii="Adobe Caslon Pro" w:hAnsi="Adobe Caslon Pro" w:cs="Arial"/>
        </w:rPr>
        <w:t xml:space="preserve">ara las décadas de los años ochenta y noventa la situación mejoró y, como resultado de algunas enmiendas legales, se facilitó la cooperación con las OSC. El monto de recursos destinado por el </w:t>
      </w:r>
      <w:r w:rsidR="00BE60D4">
        <w:rPr>
          <w:rFonts w:ascii="Adobe Caslon Pro" w:hAnsi="Adobe Caslon Pro" w:cs="Arial"/>
        </w:rPr>
        <w:t>gobierno</w:t>
      </w:r>
      <w:r w:rsidRPr="000907D3">
        <w:rPr>
          <w:rFonts w:ascii="Adobe Caslon Pro" w:hAnsi="Adobe Caslon Pro" w:cs="Arial"/>
        </w:rPr>
        <w:t xml:space="preserve"> central para fomentar el trabajo de las OSC, que en 1993-</w:t>
      </w:r>
      <w:r w:rsidR="0015396B" w:rsidRPr="000907D3">
        <w:rPr>
          <w:rFonts w:ascii="Adobe Caslon Pro" w:hAnsi="Adobe Caslon Pro" w:cs="Arial"/>
        </w:rPr>
        <w:t>19</w:t>
      </w:r>
      <w:r w:rsidRPr="000907D3">
        <w:rPr>
          <w:rFonts w:ascii="Adobe Caslon Pro" w:hAnsi="Adobe Caslon Pro" w:cs="Arial"/>
        </w:rPr>
        <w:t>94 fue de aproximadamente 11.3 millones de dólares y que sirvió para apoyar a alrededor de 4 mil OSC, se elevó a 62.5 millones de dólares en 2003- 2004, con el que se financió a cerca de 10 mil OSC (Kudva, 2005).</w:t>
      </w:r>
    </w:p>
    <w:p w:rsidR="00CF536D" w:rsidRPr="000907D3" w:rsidRDefault="00CF536D" w:rsidP="00026506">
      <w:pPr>
        <w:autoSpaceDE w:val="0"/>
        <w:autoSpaceDN w:val="0"/>
        <w:adjustRightInd w:val="0"/>
        <w:spacing w:before="240"/>
        <w:jc w:val="both"/>
        <w:rPr>
          <w:rFonts w:ascii="Adobe Caslon Pro" w:hAnsi="Adobe Caslon Pro" w:cs="Arial"/>
        </w:rPr>
      </w:pPr>
      <w:r w:rsidRPr="000907D3">
        <w:rPr>
          <w:rFonts w:ascii="Adobe Caslon Pro" w:hAnsi="Adobe Caslon Pro" w:cs="Arial"/>
        </w:rPr>
        <w:t xml:space="preserve">Como la legislación federal que regula a las asociaciones data del año 1860, los estados aprobaron legislación adicional para regular la incorporación de OSC al esquema de cooperación y para transparentar la asignación de recursos públicos. Para obtener financiamiento público, las OSC deben solicitar un certificado en las oficinas administrativas estatales y mostrar que no promueven actividades políticas ni antisistema (Jalali, 2008). Para tramitar y conservar esta certificación, las OSC deben informar regularmente al </w:t>
      </w:r>
      <w:r w:rsidR="00BE60D4">
        <w:rPr>
          <w:rFonts w:ascii="Adobe Caslon Pro" w:hAnsi="Adobe Caslon Pro" w:cs="Arial"/>
        </w:rPr>
        <w:t>gobierno</w:t>
      </w:r>
      <w:r w:rsidRPr="000907D3">
        <w:rPr>
          <w:rFonts w:ascii="Adobe Caslon Pro" w:hAnsi="Adobe Caslon Pro" w:cs="Arial"/>
        </w:rPr>
        <w:t xml:space="preserve"> sobre los fondos que reciben; de origen nacional o internacional. Además, deben mostrar que los apoyos otorgados anteriormente fueron utilizados según lo convenido; la rendición de cuentas varía según el estado o el ministerio que otorgue el apoyo.</w:t>
      </w:r>
    </w:p>
    <w:p w:rsidR="00CF536D" w:rsidRPr="000907D3" w:rsidRDefault="00CF536D" w:rsidP="00026506">
      <w:pPr>
        <w:autoSpaceDE w:val="0"/>
        <w:autoSpaceDN w:val="0"/>
        <w:adjustRightInd w:val="0"/>
        <w:spacing w:before="240"/>
        <w:jc w:val="both"/>
        <w:rPr>
          <w:rFonts w:ascii="Adobe Caslon Pro" w:hAnsi="Adobe Caslon Pro" w:cs="Arial"/>
        </w:rPr>
      </w:pPr>
      <w:r w:rsidRPr="000907D3">
        <w:rPr>
          <w:rFonts w:ascii="Adobe Caslon Pro" w:hAnsi="Adobe Caslon Pro" w:cs="Arial"/>
        </w:rPr>
        <w:t xml:space="preserve">Las OSC constituidas y registradas pueden participar en los programas impulsados por los diferentes ministerios de los tres niveles de </w:t>
      </w:r>
      <w:r w:rsidR="00BE60D4">
        <w:rPr>
          <w:rFonts w:ascii="Adobe Caslon Pro" w:hAnsi="Adobe Caslon Pro" w:cs="Arial"/>
        </w:rPr>
        <w:t>gobierno</w:t>
      </w:r>
      <w:r w:rsidRPr="000907D3">
        <w:rPr>
          <w:rFonts w:ascii="Adobe Caslon Pro" w:hAnsi="Adobe Caslon Pro" w:cs="Arial"/>
        </w:rPr>
        <w:t xml:space="preserve">. Gran parte de los programas contempla como condición necesaria, o al menos deseable, que los proyectos cuenten con participación de varios niveles y dependencias de </w:t>
      </w:r>
      <w:r w:rsidR="00BE60D4">
        <w:rPr>
          <w:rFonts w:ascii="Adobe Caslon Pro" w:hAnsi="Adobe Caslon Pro" w:cs="Arial"/>
        </w:rPr>
        <w:t>gobierno</w:t>
      </w:r>
      <w:r w:rsidRPr="000907D3">
        <w:rPr>
          <w:rFonts w:ascii="Adobe Caslon Pro" w:hAnsi="Adobe Caslon Pro" w:cs="Arial"/>
        </w:rPr>
        <w:t xml:space="preserve"> para lograr potenciar la inversión pública.</w:t>
      </w:r>
    </w:p>
    <w:p w:rsidR="00CF536D" w:rsidRPr="000907D3" w:rsidRDefault="00CF536D" w:rsidP="00026506">
      <w:pPr>
        <w:autoSpaceDE w:val="0"/>
        <w:autoSpaceDN w:val="0"/>
        <w:adjustRightInd w:val="0"/>
        <w:spacing w:before="240"/>
        <w:jc w:val="both"/>
        <w:rPr>
          <w:rFonts w:ascii="Adobe Caslon Pro" w:hAnsi="Adobe Caslon Pro" w:cs="Arial"/>
        </w:rPr>
      </w:pPr>
      <w:r w:rsidRPr="000907D3">
        <w:rPr>
          <w:rFonts w:ascii="Adobe Caslon Pro" w:hAnsi="Adobe Caslon Pro" w:cs="Arial"/>
        </w:rPr>
        <w:lastRenderedPageBreak/>
        <w:t xml:space="preserve">Esta descentralización y combinación de recursos es importante en el contexto de la India, en donde las OSC son generalmente pequeñas (cuentan con personal remunerado de una o dos personas y con personal voluntario, y sus presupuestos anuales rondan </w:t>
      </w:r>
      <w:r w:rsidR="00340B8C" w:rsidRPr="000907D3">
        <w:rPr>
          <w:rFonts w:ascii="Adobe Caslon Pro" w:hAnsi="Adobe Caslon Pro" w:cs="Arial"/>
        </w:rPr>
        <w:t xml:space="preserve">el </w:t>
      </w:r>
      <w:r w:rsidRPr="000907D3">
        <w:rPr>
          <w:rFonts w:ascii="Adobe Caslon Pro" w:hAnsi="Adobe Caslon Pro" w:cs="Arial"/>
        </w:rPr>
        <w:t>promedio de 10.4 mil dólares o alrededor de 150 mil pesos) y ejecutan sus proyectos principalmente en zonas rurales. (Dongre y Gopalan, 2008 y Kudva, 2005).</w:t>
      </w:r>
    </w:p>
    <w:p w:rsidR="00CF536D" w:rsidRPr="000907D3" w:rsidRDefault="00CF536D" w:rsidP="00026506">
      <w:pPr>
        <w:autoSpaceDE w:val="0"/>
        <w:autoSpaceDN w:val="0"/>
        <w:adjustRightInd w:val="0"/>
        <w:spacing w:before="240"/>
        <w:jc w:val="both"/>
        <w:rPr>
          <w:rFonts w:ascii="Adobe Caslon Pro" w:hAnsi="Adobe Caslon Pro" w:cs="Arial"/>
        </w:rPr>
      </w:pPr>
      <w:r w:rsidRPr="000907D3">
        <w:rPr>
          <w:rFonts w:ascii="Adobe Caslon Pro" w:hAnsi="Adobe Caslon Pro" w:cs="Arial"/>
        </w:rPr>
        <w:t xml:space="preserve">La relación que se establece entre las OSC y el </w:t>
      </w:r>
      <w:r w:rsidR="00BE60D4">
        <w:rPr>
          <w:rFonts w:ascii="Adobe Caslon Pro" w:hAnsi="Adobe Caslon Pro" w:cs="Arial"/>
        </w:rPr>
        <w:t>gobierno</w:t>
      </w:r>
      <w:r w:rsidRPr="000907D3">
        <w:rPr>
          <w:rFonts w:ascii="Adobe Caslon Pro" w:hAnsi="Adobe Caslon Pro" w:cs="Arial"/>
        </w:rPr>
        <w:t xml:space="preserve"> puede ser contractual, es decir, se le comisiona a la organización el desarrollo de proyectos bajo ciertos términos de referencia y con un margen de decisión en la implementación de sus proyectos, pero con la obligación de entregar los resultados convenidos (Brinkerhoff, 2008).</w:t>
      </w:r>
    </w:p>
    <w:p w:rsidR="00CF536D" w:rsidRPr="000907D3" w:rsidRDefault="00CF536D" w:rsidP="00026506">
      <w:pPr>
        <w:autoSpaceDE w:val="0"/>
        <w:autoSpaceDN w:val="0"/>
        <w:adjustRightInd w:val="0"/>
        <w:spacing w:before="240"/>
        <w:jc w:val="both"/>
        <w:rPr>
          <w:rFonts w:ascii="Adobe Caslon Pro" w:hAnsi="Adobe Caslon Pro" w:cs="Arial"/>
        </w:rPr>
      </w:pPr>
      <w:r w:rsidRPr="000907D3">
        <w:rPr>
          <w:rFonts w:ascii="Adobe Caslon Pro" w:hAnsi="Adobe Caslon Pro" w:cs="Arial"/>
        </w:rPr>
        <w:t xml:space="preserve">Existen también formas de colaboración más horizontales, donde las OSC deciden cuestiones relativas a la implementación de proyectos y el </w:t>
      </w:r>
      <w:r w:rsidR="00BE60D4">
        <w:rPr>
          <w:rFonts w:ascii="Adobe Caslon Pro" w:hAnsi="Adobe Caslon Pro" w:cs="Arial"/>
        </w:rPr>
        <w:t>gobierno</w:t>
      </w:r>
      <w:r w:rsidRPr="000907D3">
        <w:rPr>
          <w:rFonts w:ascii="Adobe Caslon Pro" w:hAnsi="Adobe Caslon Pro" w:cs="Arial"/>
        </w:rPr>
        <w:t xml:space="preserve"> autoriza dichos planes, confiando más en los indicadores de las propias organizaciones.</w:t>
      </w:r>
    </w:p>
    <w:p w:rsidR="00CF536D" w:rsidRPr="000907D3" w:rsidRDefault="00CF536D" w:rsidP="00026506">
      <w:pPr>
        <w:autoSpaceDE w:val="0"/>
        <w:autoSpaceDN w:val="0"/>
        <w:adjustRightInd w:val="0"/>
        <w:spacing w:before="240"/>
        <w:jc w:val="both"/>
        <w:rPr>
          <w:rFonts w:ascii="Adobe Caslon Pro" w:hAnsi="Adobe Caslon Pro" w:cs="Arial"/>
        </w:rPr>
      </w:pPr>
      <w:r w:rsidRPr="000907D3">
        <w:rPr>
          <w:rFonts w:ascii="Adobe Caslon Pro" w:hAnsi="Adobe Caslon Pro" w:cs="Arial"/>
        </w:rPr>
        <w:t>Mediante otro tipo de programas, se otorgan apoyos parciales de infraestructura, para que las OSC construyan instalaciones o adquieran mobiliario básico para su funcionamiento.</w:t>
      </w:r>
    </w:p>
    <w:p w:rsidR="00CF536D" w:rsidRPr="000907D3" w:rsidRDefault="00CF536D" w:rsidP="000F54F5">
      <w:pPr>
        <w:autoSpaceDE w:val="0"/>
        <w:autoSpaceDN w:val="0"/>
        <w:adjustRightInd w:val="0"/>
        <w:spacing w:after="120"/>
        <w:jc w:val="both"/>
        <w:rPr>
          <w:rFonts w:ascii="Adobe Caslon Pro" w:hAnsi="Adobe Caslon Pro" w:cs="Arial"/>
        </w:rPr>
      </w:pPr>
      <w:r w:rsidRPr="000907D3">
        <w:rPr>
          <w:rFonts w:ascii="Adobe Caslon Pro" w:hAnsi="Adobe Caslon Pro" w:cs="Arial"/>
        </w:rPr>
        <w:t xml:space="preserve">Una de </w:t>
      </w:r>
      <w:r w:rsidR="00B35FAD" w:rsidRPr="000907D3">
        <w:rPr>
          <w:rFonts w:ascii="Adobe Caslon Pro" w:hAnsi="Adobe Caslon Pro" w:cs="Arial"/>
        </w:rPr>
        <w:t xml:space="preserve">las </w:t>
      </w:r>
      <w:r w:rsidRPr="000907D3">
        <w:rPr>
          <w:rFonts w:ascii="Adobe Caslon Pro" w:hAnsi="Adobe Caslon Pro" w:cs="Arial"/>
        </w:rPr>
        <w:t xml:space="preserve">mayores contribuciones de la colaboración entre </w:t>
      </w:r>
      <w:r w:rsidR="00BE60D4">
        <w:rPr>
          <w:rFonts w:ascii="Adobe Caslon Pro" w:hAnsi="Adobe Caslon Pro" w:cs="Arial"/>
        </w:rPr>
        <w:t>gobierno</w:t>
      </w:r>
      <w:r w:rsidRPr="000907D3">
        <w:rPr>
          <w:rFonts w:ascii="Adobe Caslon Pro" w:hAnsi="Adobe Caslon Pro" w:cs="Arial"/>
        </w:rPr>
        <w:t xml:space="preserve"> y OSC en la India ha sido la descentralización de recursos y políticas públicas a favor de la participación de la sociedad civil en la solución de los problemas sociales; descentralización que se ha extendido también a los distintos niveles de </w:t>
      </w:r>
      <w:r w:rsidR="00BE60D4">
        <w:rPr>
          <w:rFonts w:ascii="Adobe Caslon Pro" w:hAnsi="Adobe Caslon Pro" w:cs="Arial"/>
        </w:rPr>
        <w:t>gobierno</w:t>
      </w:r>
      <w:r w:rsidRPr="000907D3">
        <w:rPr>
          <w:rFonts w:ascii="Adobe Caslon Pro" w:hAnsi="Adobe Caslon Pro" w:cs="Arial"/>
        </w:rPr>
        <w:t>. Sin embargo, el esquema aún presenta problemas, entre otros, el predominio del carácter contractual de los apoyos gubernamentales, en donde las OSC no cuentan con total independencia para presentar y ejecutar sus proyectos. La principal crítica a este esquema se refiere a la facultad del Estado para fiscalizar las finanzas de las OSC, más allá de los recursos públicos que reciben, y de certificar si las OSC pueden recibir financiamiento público o privado, nacional o internacional (</w:t>
      </w:r>
      <w:bookmarkStart w:id="138" w:name="OLE_LINK2"/>
      <w:r w:rsidRPr="000907D3">
        <w:rPr>
          <w:rFonts w:ascii="Adobe Caslon Pro" w:hAnsi="Adobe Caslon Pro" w:cs="Arial"/>
        </w:rPr>
        <w:t>Jalali, 2008</w:t>
      </w:r>
      <w:bookmarkEnd w:id="138"/>
      <w:r w:rsidRPr="000907D3">
        <w:rPr>
          <w:rFonts w:ascii="Adobe Caslon Pro" w:hAnsi="Adobe Caslon Pro" w:cs="Arial"/>
        </w:rPr>
        <w:t>).</w:t>
      </w:r>
    </w:p>
    <w:p w:rsidR="00CF536D" w:rsidRPr="000907D3" w:rsidRDefault="00CF536D" w:rsidP="000F54F5">
      <w:pPr>
        <w:autoSpaceDE w:val="0"/>
        <w:autoSpaceDN w:val="0"/>
        <w:adjustRightInd w:val="0"/>
        <w:spacing w:after="120"/>
        <w:jc w:val="both"/>
        <w:rPr>
          <w:rFonts w:ascii="Adobe Caslon Pro" w:hAnsi="Adobe Caslon Pro" w:cs="Arial"/>
        </w:rPr>
      </w:pPr>
    </w:p>
    <w:p w:rsidR="00CF536D" w:rsidRPr="00A037D2" w:rsidRDefault="009A7A25" w:rsidP="000F54F5">
      <w:pPr>
        <w:pStyle w:val="Ttulo3"/>
        <w:spacing w:before="0" w:after="120"/>
        <w:jc w:val="both"/>
      </w:pPr>
      <w:bookmarkStart w:id="139" w:name="_Toc380855729"/>
      <w:bookmarkStart w:id="140" w:name="_Toc263896850"/>
      <w:bookmarkStart w:id="141" w:name="_Toc391925229"/>
      <w:r>
        <w:t xml:space="preserve">3.2.2 </w:t>
      </w:r>
      <w:r w:rsidR="00CF536D" w:rsidRPr="00A037D2">
        <w:t>Caso de Brasil</w:t>
      </w:r>
      <w:bookmarkEnd w:id="139"/>
      <w:bookmarkEnd w:id="140"/>
      <w:bookmarkEnd w:id="141"/>
    </w:p>
    <w:p w:rsidR="00CF536D" w:rsidRPr="000907D3" w:rsidRDefault="00CF536D" w:rsidP="00026506">
      <w:pPr>
        <w:autoSpaceDE w:val="0"/>
        <w:autoSpaceDN w:val="0"/>
        <w:adjustRightInd w:val="0"/>
        <w:spacing w:before="240"/>
        <w:jc w:val="both"/>
        <w:rPr>
          <w:rFonts w:ascii="Adobe Caslon Pro" w:hAnsi="Adobe Caslon Pro" w:cs="Arial"/>
        </w:rPr>
      </w:pPr>
      <w:r w:rsidRPr="000907D3">
        <w:rPr>
          <w:rFonts w:ascii="Adobe Caslon Pro" w:hAnsi="Adobe Caslon Pro" w:cs="Arial"/>
        </w:rPr>
        <w:t>En Brasil, desde la década de los años ochenta, se implementaron varios fondos sociales para apoyar proyectos presentados por OSC, que continúa</w:t>
      </w:r>
      <w:r w:rsidR="00B35FAD" w:rsidRPr="000907D3">
        <w:rPr>
          <w:rFonts w:ascii="Adobe Caslon Pro" w:hAnsi="Adobe Caslon Pro" w:cs="Arial"/>
        </w:rPr>
        <w:t>n</w:t>
      </w:r>
      <w:r w:rsidRPr="000907D3">
        <w:rPr>
          <w:rFonts w:ascii="Adobe Caslon Pro" w:hAnsi="Adobe Caslon Pro" w:cs="Arial"/>
        </w:rPr>
        <w:t xml:space="preserve"> vigente</w:t>
      </w:r>
      <w:r w:rsidR="00B35FAD" w:rsidRPr="000907D3">
        <w:rPr>
          <w:rFonts w:ascii="Adobe Caslon Pro" w:hAnsi="Adobe Caslon Pro" w:cs="Arial"/>
        </w:rPr>
        <w:t>s</w:t>
      </w:r>
      <w:r w:rsidRPr="000907D3">
        <w:rPr>
          <w:rFonts w:ascii="Adobe Caslon Pro" w:hAnsi="Adobe Caslon Pro" w:cs="Arial"/>
        </w:rPr>
        <w:t xml:space="preserve"> hasta la fecha. Estos fondos se transfieren a los </w:t>
      </w:r>
      <w:r w:rsidR="00BE60D4">
        <w:rPr>
          <w:rFonts w:ascii="Adobe Caslon Pro" w:hAnsi="Adobe Caslon Pro" w:cs="Arial"/>
        </w:rPr>
        <w:t>gobierno</w:t>
      </w:r>
      <w:r w:rsidRPr="000907D3">
        <w:rPr>
          <w:rFonts w:ascii="Adobe Caslon Pro" w:hAnsi="Adobe Caslon Pro" w:cs="Arial"/>
        </w:rPr>
        <w:t xml:space="preserve">s estatales y municipales y, desde esos niveles gubernamentales, se asignan a las OSC. Los recursos pueden ser completados por otras partidas federales, lo que otorga dinamismo al financiamiento. Algunos de </w:t>
      </w:r>
      <w:r w:rsidRPr="000907D3">
        <w:rPr>
          <w:rFonts w:ascii="Adobe Caslon Pro" w:hAnsi="Adobe Caslon Pro" w:cs="Arial"/>
        </w:rPr>
        <w:lastRenderedPageBreak/>
        <w:t xml:space="preserve">estos fondos permiten a las OSC utilizar hasta 10% del monto total del proyecto para los gastos de operación </w:t>
      </w:r>
      <w:r w:rsidR="00EF0F6C">
        <w:rPr>
          <w:rFonts w:ascii="Adobe Caslon Pro" w:hAnsi="Adobe Caslon Pro" w:cs="Arial"/>
        </w:rPr>
        <w:t>(</w:t>
      </w:r>
      <w:r w:rsidRPr="000907D3">
        <w:rPr>
          <w:rFonts w:ascii="Adobe Caslon Pro" w:hAnsi="Adobe Caslon Pro" w:cs="Arial"/>
        </w:rPr>
        <w:t>Ávila, 2001).</w:t>
      </w:r>
    </w:p>
    <w:p w:rsidR="00CF536D" w:rsidRPr="000907D3" w:rsidRDefault="00CF536D" w:rsidP="00026506">
      <w:pPr>
        <w:autoSpaceDE w:val="0"/>
        <w:autoSpaceDN w:val="0"/>
        <w:adjustRightInd w:val="0"/>
        <w:spacing w:before="240"/>
        <w:jc w:val="both"/>
        <w:rPr>
          <w:rFonts w:ascii="Adobe Caslon Pro" w:hAnsi="Adobe Caslon Pro" w:cs="Arial"/>
        </w:rPr>
      </w:pPr>
      <w:r w:rsidRPr="000907D3">
        <w:rPr>
          <w:rFonts w:ascii="Adobe Caslon Pro" w:hAnsi="Adobe Caslon Pro" w:cs="Arial"/>
        </w:rPr>
        <w:t xml:space="preserve">A finales de los años noventa se implementó una nueva forma de asociación entre el Estado y las OSC. A partir de la reforma del Estado de 1995 y de la subsecuente transformación de la esfera pública, se promovió la descentralización de acciones gubernamentales y la participación de otros actores en el diseño y en la implementación de las políticas públicas, que incluyó un proyecto de apoyo a organizaciones sociales (Barreto, 1999). Mediante legislación aprobada en 1997 y en 1999 se reconoció a las OSC como entidades de interés público y se reguló la celebración de contratos de prestación de servicios con el </w:t>
      </w:r>
      <w:r w:rsidR="00BE60D4">
        <w:rPr>
          <w:rFonts w:ascii="Adobe Caslon Pro" w:hAnsi="Adobe Caslon Pro" w:cs="Arial"/>
        </w:rPr>
        <w:t>gobierno</w:t>
      </w:r>
      <w:r w:rsidRPr="000907D3">
        <w:rPr>
          <w:rFonts w:ascii="Adobe Caslon Pro" w:hAnsi="Adobe Caslon Pro" w:cs="Arial"/>
        </w:rPr>
        <w:t xml:space="preserve"> en las áreas de educación, salud, cultura, medio ambiente e investigación científica, mediante convenios de asociación denominados “cartas de asociación”. </w:t>
      </w:r>
    </w:p>
    <w:p w:rsidR="00CF536D" w:rsidRPr="000907D3" w:rsidRDefault="00CF536D" w:rsidP="00026506">
      <w:pPr>
        <w:autoSpaceDE w:val="0"/>
        <w:autoSpaceDN w:val="0"/>
        <w:adjustRightInd w:val="0"/>
        <w:spacing w:before="240"/>
        <w:jc w:val="both"/>
        <w:rPr>
          <w:rFonts w:ascii="Adobe Caslon Pro" w:hAnsi="Adobe Caslon Pro" w:cs="Arial"/>
        </w:rPr>
      </w:pPr>
      <w:r w:rsidRPr="000907D3">
        <w:rPr>
          <w:rFonts w:ascii="Adobe Caslon Pro" w:hAnsi="Adobe Caslon Pro" w:cs="Arial"/>
        </w:rPr>
        <w:t xml:space="preserve">En un principio, este esquema generó reticencia por temor a que las OSC se convirtieran en simples ejecutoras de proyectos gubernamentales. Sin embargo, aún con esta forma de relación contractual, la participación de las OSC no se reduce a la prestación de servicios, pues la normatividad contempla su participación en los respectivos órganos colegiados de deliberación superior, abriendo “espacios para el control directo de la sociedad sobre sus actividades”. En los tres niveles de </w:t>
      </w:r>
      <w:r w:rsidR="00BE60D4">
        <w:rPr>
          <w:rFonts w:ascii="Adobe Caslon Pro" w:hAnsi="Adobe Caslon Pro" w:cs="Arial"/>
        </w:rPr>
        <w:t>gobierno</w:t>
      </w:r>
      <w:r w:rsidRPr="000907D3">
        <w:rPr>
          <w:rFonts w:ascii="Adobe Caslon Pro" w:hAnsi="Adobe Caslon Pro" w:cs="Arial"/>
        </w:rPr>
        <w:t xml:space="preserve">, existen Consejos Gestores en donde participan funcionarios con capacidad de decisión, representantes de agrupaciones de usuarios de los servicios, colegios profesionales, sindicatos de trabajadores del ramo y OSC especializadas en cada tema. La certificación de organizaciones como de interés público (OSCIP) en los distintos niveles de </w:t>
      </w:r>
      <w:r w:rsidR="00BE60D4">
        <w:rPr>
          <w:rFonts w:ascii="Adobe Caslon Pro" w:hAnsi="Adobe Caslon Pro" w:cs="Arial"/>
        </w:rPr>
        <w:t>gobierno</w:t>
      </w:r>
      <w:r w:rsidRPr="000907D3">
        <w:rPr>
          <w:rFonts w:ascii="Adobe Caslon Pro" w:hAnsi="Adobe Caslon Pro" w:cs="Arial"/>
        </w:rPr>
        <w:t xml:space="preserve"> ha permitido la inclusión de un mayor número de OSC, además, las cartas de asociación han sido un instrumento promotor de las actividades y de los proyectos de las OSC.</w:t>
      </w:r>
    </w:p>
    <w:p w:rsidR="00CF536D" w:rsidRPr="000907D3" w:rsidRDefault="00CF536D" w:rsidP="00026506">
      <w:pPr>
        <w:autoSpaceDE w:val="0"/>
        <w:autoSpaceDN w:val="0"/>
        <w:adjustRightInd w:val="0"/>
        <w:spacing w:before="240"/>
        <w:jc w:val="both"/>
        <w:rPr>
          <w:rFonts w:ascii="Adobe Caslon Pro" w:hAnsi="Adobe Caslon Pro" w:cs="Arial"/>
        </w:rPr>
      </w:pPr>
      <w:r w:rsidRPr="000907D3">
        <w:rPr>
          <w:rFonts w:ascii="Adobe Caslon Pro" w:hAnsi="Adobe Caslon Pro" w:cs="Arial"/>
        </w:rPr>
        <w:t>Con este nuevo esquema, las organizaciones compiten por asignación de contratos de prestación de servicios, con criterios de selección y convocatorias públicos, con criterios técnicos de coherencia, claridad de los objetivos, población objetivo, metodología, presupuesto y viabilidad y con indicadores para evaluar los proyectos. Pero, la clave fundamental es la participación de las OSC en los Consejos Gestores, con amplia capacidad de deliberación.</w:t>
      </w:r>
    </w:p>
    <w:p w:rsidR="00CF536D" w:rsidRPr="000907D3" w:rsidRDefault="00CF536D" w:rsidP="0077660D">
      <w:pPr>
        <w:autoSpaceDE w:val="0"/>
        <w:autoSpaceDN w:val="0"/>
        <w:adjustRightInd w:val="0"/>
        <w:spacing w:after="120"/>
        <w:jc w:val="both"/>
        <w:rPr>
          <w:rFonts w:ascii="Adobe Caslon Pro" w:hAnsi="Adobe Caslon Pro" w:cs="Arial"/>
        </w:rPr>
      </w:pPr>
      <w:r w:rsidRPr="000907D3">
        <w:rPr>
          <w:rFonts w:ascii="Adobe Caslon Pro" w:hAnsi="Adobe Caslon Pro" w:cs="Arial"/>
        </w:rPr>
        <w:t xml:space="preserve">En el año 2005, el </w:t>
      </w:r>
      <w:r w:rsidR="00BE60D4">
        <w:rPr>
          <w:rFonts w:ascii="Adobe Caslon Pro" w:hAnsi="Adobe Caslon Pro" w:cs="Arial"/>
        </w:rPr>
        <w:t>gobierno</w:t>
      </w:r>
      <w:r w:rsidRPr="000907D3">
        <w:rPr>
          <w:rFonts w:ascii="Adobe Caslon Pro" w:hAnsi="Adobe Caslon Pro" w:cs="Arial"/>
        </w:rPr>
        <w:t xml:space="preserve"> emitió un decreto que modifica la Ley de Licitaciones para que puedan participar las organizaciones sin fines de lucro. Algunos críticos consideran que este procedimiento puede distorsionar la relación de las OSC con el </w:t>
      </w:r>
      <w:r w:rsidR="00BE60D4">
        <w:rPr>
          <w:rFonts w:ascii="Adobe Caslon Pro" w:hAnsi="Adobe Caslon Pro" w:cs="Arial"/>
        </w:rPr>
        <w:t>gobierno</w:t>
      </w:r>
      <w:r w:rsidRPr="000907D3">
        <w:rPr>
          <w:rFonts w:ascii="Adobe Caslon Pro" w:hAnsi="Adobe Caslon Pro" w:cs="Arial"/>
        </w:rPr>
        <w:t xml:space="preserve">, y entre el propio sector, y ahondar el carácter contractual </w:t>
      </w:r>
      <w:r w:rsidRPr="000907D3">
        <w:rPr>
          <w:rFonts w:ascii="Adobe Caslon Pro" w:hAnsi="Adobe Caslon Pro" w:cs="Arial"/>
        </w:rPr>
        <w:lastRenderedPageBreak/>
        <w:t xml:space="preserve">de la relación entre OSC y </w:t>
      </w:r>
      <w:r w:rsidR="00BE60D4">
        <w:rPr>
          <w:rFonts w:ascii="Adobe Caslon Pro" w:hAnsi="Adobe Caslon Pro" w:cs="Arial"/>
        </w:rPr>
        <w:t>gobierno</w:t>
      </w:r>
      <w:r w:rsidRPr="000907D3">
        <w:rPr>
          <w:rFonts w:ascii="Adobe Caslon Pro" w:hAnsi="Adobe Caslon Pro" w:cs="Arial"/>
        </w:rPr>
        <w:t xml:space="preserve">. En ocasiones, entidades que no son propiamente OSC, u organizaciones sin mucha experiencia en el tema, han aprovechado este esquema para obtener contratos de prestación de servicios. Se ha mencionado también que las OSC participan en la discusión sobre diseño e implementación de políticas públicas sólo en temas específicos, sin embargo, cuentan con un amplio poder de deliberación, y sus habilidades y experiencia han sido determinantes en el proceso de las políticas públicas. A pesar de las críticas, se ha evaluado que, además de que el flujo de recursos y las posibilidades de participación han inyectado dinamismo al sector, el trabajo conjunto entre </w:t>
      </w:r>
      <w:r w:rsidR="00BE60D4">
        <w:rPr>
          <w:rFonts w:ascii="Adobe Caslon Pro" w:hAnsi="Adobe Caslon Pro" w:cs="Arial"/>
        </w:rPr>
        <w:t>gobierno</w:t>
      </w:r>
      <w:r w:rsidRPr="000907D3">
        <w:rPr>
          <w:rFonts w:ascii="Adobe Caslon Pro" w:hAnsi="Adobe Caslon Pro" w:cs="Arial"/>
        </w:rPr>
        <w:t xml:space="preserve"> y sociedad civil ha ayudado a mejorar la calidad de vida de grupos vulnerables, así como a resolver problemas sociales apremiantes para un país de las dimensiones de Brasil.</w:t>
      </w:r>
    </w:p>
    <w:p w:rsidR="00CF536D" w:rsidRPr="000907D3" w:rsidRDefault="00CF536D" w:rsidP="0077660D">
      <w:pPr>
        <w:pStyle w:val="Default"/>
        <w:spacing w:after="120" w:line="276" w:lineRule="auto"/>
        <w:jc w:val="both"/>
        <w:rPr>
          <w:rFonts w:ascii="Adobe Caslon Pro" w:hAnsi="Adobe Caslon Pro" w:cs="Arial"/>
          <w:sz w:val="22"/>
          <w:szCs w:val="22"/>
        </w:rPr>
      </w:pPr>
    </w:p>
    <w:p w:rsidR="00CF536D" w:rsidRPr="000907D3" w:rsidRDefault="009A7A25" w:rsidP="0077660D">
      <w:pPr>
        <w:pStyle w:val="Ttulo2"/>
        <w:spacing w:before="0" w:after="120"/>
        <w:jc w:val="both"/>
      </w:pPr>
      <w:bookmarkStart w:id="142" w:name="_Toc374381010"/>
      <w:bookmarkStart w:id="143" w:name="_Toc380855730"/>
      <w:bookmarkStart w:id="144" w:name="_Toc391925230"/>
      <w:r>
        <w:t xml:space="preserve">3.3 </w:t>
      </w:r>
      <w:r w:rsidR="00CF536D" w:rsidRPr="000907D3">
        <w:t>Propuesta de Diseño</w:t>
      </w:r>
      <w:bookmarkEnd w:id="142"/>
      <w:bookmarkEnd w:id="143"/>
      <w:bookmarkEnd w:id="144"/>
    </w:p>
    <w:p w:rsidR="00CF536D" w:rsidRPr="000907D3" w:rsidRDefault="00CF536D" w:rsidP="0077660D">
      <w:pPr>
        <w:spacing w:after="120"/>
        <w:jc w:val="both"/>
        <w:rPr>
          <w:rFonts w:ascii="Adobe Caslon Pro" w:hAnsi="Adobe Caslon Pro" w:cs="Arial"/>
          <w:color w:val="000000"/>
        </w:rPr>
      </w:pPr>
      <w:r w:rsidRPr="000907D3">
        <w:rPr>
          <w:rFonts w:ascii="Adobe Caslon Pro" w:hAnsi="Adobe Caslon Pro" w:cs="Arial"/>
        </w:rPr>
        <w:t>En esta sección, de conformidad con lo establecido en los TDR</w:t>
      </w:r>
      <w:r w:rsidR="00EE1BFC">
        <w:rPr>
          <w:rFonts w:ascii="Adobe Caslon Pro" w:hAnsi="Adobe Caslon Pro" w:cs="Arial"/>
        </w:rPr>
        <w:t xml:space="preserve"> </w:t>
      </w:r>
      <w:r w:rsidRPr="000907D3">
        <w:rPr>
          <w:rFonts w:ascii="Adobe Caslon Pro" w:hAnsi="Adobe Caslon Pro" w:cs="Arial"/>
        </w:rPr>
        <w:t xml:space="preserve">se presentan a detalle los elementos del diseño de la Propuesta de Atención derivada de los hallazgos del Diagnóstico. </w:t>
      </w:r>
    </w:p>
    <w:p w:rsidR="00BC2E84" w:rsidRDefault="00BC2E84" w:rsidP="0077660D">
      <w:pPr>
        <w:pStyle w:val="Ttulo3"/>
        <w:spacing w:before="0" w:after="120"/>
        <w:jc w:val="both"/>
      </w:pPr>
      <w:bookmarkStart w:id="145" w:name="_Toc374381011"/>
      <w:bookmarkStart w:id="146" w:name="_Toc380855731"/>
      <w:bookmarkStart w:id="147" w:name="_Toc263896851"/>
    </w:p>
    <w:p w:rsidR="00CF536D" w:rsidRPr="00A037D2" w:rsidRDefault="009A7A25" w:rsidP="0077660D">
      <w:pPr>
        <w:pStyle w:val="Ttulo3"/>
        <w:spacing w:before="0" w:after="120"/>
        <w:jc w:val="both"/>
      </w:pPr>
      <w:bookmarkStart w:id="148" w:name="_Toc391925231"/>
      <w:r>
        <w:t xml:space="preserve">3.3.1 </w:t>
      </w:r>
      <w:r w:rsidR="00CF536D" w:rsidRPr="00A037D2">
        <w:t>Árbol de objetivos</w:t>
      </w:r>
      <w:bookmarkEnd w:id="145"/>
      <w:bookmarkEnd w:id="146"/>
      <w:bookmarkEnd w:id="147"/>
      <w:bookmarkEnd w:id="148"/>
    </w:p>
    <w:p w:rsidR="00CF536D" w:rsidRPr="000907D3" w:rsidRDefault="00CF536D" w:rsidP="00026506">
      <w:pPr>
        <w:pStyle w:val="Default"/>
        <w:spacing w:before="240" w:after="240" w:line="276" w:lineRule="auto"/>
        <w:jc w:val="both"/>
        <w:rPr>
          <w:rFonts w:ascii="Adobe Caslon Pro" w:hAnsi="Adobe Caslon Pro" w:cs="Arial"/>
          <w:sz w:val="22"/>
          <w:szCs w:val="22"/>
        </w:rPr>
      </w:pPr>
      <w:r w:rsidRPr="000907D3">
        <w:rPr>
          <w:rFonts w:ascii="Adobe Caslon Pro" w:hAnsi="Adobe Caslon Pro" w:cs="Arial"/>
          <w:sz w:val="22"/>
          <w:szCs w:val="22"/>
        </w:rPr>
        <w:t>Derivado del árbol de problemas presentado en el Diagnóstico del</w:t>
      </w:r>
      <w:r w:rsidR="00F24615">
        <w:rPr>
          <w:rFonts w:ascii="Adobe Caslon Pro" w:hAnsi="Adobe Caslon Pro" w:cs="Arial"/>
          <w:sz w:val="22"/>
          <w:szCs w:val="22"/>
        </w:rPr>
        <w:t xml:space="preserve"> PCS</w:t>
      </w:r>
      <w:r w:rsidRPr="000907D3">
        <w:rPr>
          <w:rFonts w:ascii="Adobe Caslon Pro" w:hAnsi="Adobe Caslon Pro" w:cs="Arial"/>
          <w:sz w:val="22"/>
          <w:szCs w:val="22"/>
        </w:rPr>
        <w:t>, a continuación se presenta el árbol de objetivos con base en el cual se ha diseñado la Propuesta de Atención.</w:t>
      </w:r>
    </w:p>
    <w:p w:rsidR="00CF536D" w:rsidRPr="000907D3" w:rsidRDefault="00CF536D" w:rsidP="00026506">
      <w:pPr>
        <w:pStyle w:val="Default"/>
        <w:spacing w:before="240" w:after="240" w:line="276" w:lineRule="auto"/>
        <w:jc w:val="both"/>
        <w:rPr>
          <w:rFonts w:ascii="Adobe Caslon Pro" w:hAnsi="Adobe Caslon Pro" w:cs="Arial"/>
          <w:sz w:val="22"/>
          <w:szCs w:val="22"/>
        </w:rPr>
        <w:sectPr w:rsidR="00CF536D" w:rsidRPr="000907D3" w:rsidSect="00AE5A03">
          <w:headerReference w:type="default" r:id="rId65"/>
          <w:headerReference w:type="first" r:id="rId66"/>
          <w:pgSz w:w="12240" w:h="15840" w:code="1"/>
          <w:pgMar w:top="1304" w:right="1304" w:bottom="1304" w:left="1304" w:header="720" w:footer="720" w:gutter="0"/>
          <w:cols w:space="720"/>
          <w:noEndnote/>
          <w:titlePg/>
          <w:docGrid w:linePitch="299"/>
        </w:sectPr>
      </w:pPr>
    </w:p>
    <w:p w:rsidR="00087DE0" w:rsidRPr="00087DE0" w:rsidRDefault="00CF536D" w:rsidP="00DC43CC">
      <w:pPr>
        <w:pStyle w:val="Epgrafe"/>
        <w:spacing w:before="240" w:after="240" w:line="276" w:lineRule="auto"/>
        <w:jc w:val="center"/>
        <w:rPr>
          <w:rFonts w:ascii="Adobe Caslon Pro" w:hAnsi="Adobe Caslon Pro" w:cs="Arial"/>
          <w:color w:val="000000" w:themeColor="text1"/>
          <w:sz w:val="20"/>
          <w:szCs w:val="20"/>
        </w:rPr>
      </w:pPr>
      <w:bookmarkStart w:id="149" w:name="_Toc374380593"/>
      <w:bookmarkStart w:id="150" w:name="_Toc380855769"/>
      <w:r w:rsidRPr="005B6EB1">
        <w:rPr>
          <w:rFonts w:ascii="Adobe Caslon Pro" w:hAnsi="Adobe Caslon Pro" w:cs="Arial"/>
          <w:color w:val="000000" w:themeColor="text1"/>
          <w:sz w:val="20"/>
          <w:szCs w:val="20"/>
        </w:rPr>
        <w:lastRenderedPageBreak/>
        <w:t xml:space="preserve">Figura </w:t>
      </w:r>
      <w:r w:rsidR="001E24D5" w:rsidRPr="005B6EB1">
        <w:rPr>
          <w:rFonts w:ascii="Adobe Caslon Pro" w:hAnsi="Adobe Caslon Pro" w:cs="Arial"/>
          <w:color w:val="000000" w:themeColor="text1"/>
          <w:sz w:val="20"/>
          <w:szCs w:val="20"/>
        </w:rPr>
        <w:t>5</w:t>
      </w:r>
      <w:r w:rsidRPr="005B6EB1">
        <w:rPr>
          <w:rFonts w:ascii="Adobe Caslon Pro" w:hAnsi="Adobe Caslon Pro" w:cs="Arial"/>
          <w:color w:val="000000" w:themeColor="text1"/>
          <w:sz w:val="20"/>
          <w:szCs w:val="20"/>
        </w:rPr>
        <w:t>. Árbol de Objetivo</w:t>
      </w:r>
      <w:bookmarkEnd w:id="149"/>
      <w:bookmarkEnd w:id="150"/>
      <w:r w:rsidR="00087DE0">
        <w:rPr>
          <w:rFonts w:ascii="Adobe Caslon Pro" w:hAnsi="Adobe Caslon Pro" w:cs="Arial"/>
          <w:color w:val="000000" w:themeColor="text1"/>
          <w:sz w:val="20"/>
          <w:szCs w:val="20"/>
        </w:rPr>
        <w:t>s</w:t>
      </w:r>
    </w:p>
    <w:p w:rsidR="00087DE0" w:rsidRPr="00087DE0" w:rsidRDefault="00EF0F6C" w:rsidP="00026506">
      <w:pPr>
        <w:spacing w:before="240"/>
        <w:jc w:val="both"/>
        <w:sectPr w:rsidR="00087DE0" w:rsidRPr="00087DE0" w:rsidSect="00E61585">
          <w:pgSz w:w="15840" w:h="12240" w:orient="landscape" w:code="1"/>
          <w:pgMar w:top="1514" w:right="1854" w:bottom="1338" w:left="1418" w:header="720" w:footer="720" w:gutter="0"/>
          <w:cols w:space="720"/>
          <w:noEndnote/>
          <w:docGrid w:linePitch="299"/>
        </w:sectPr>
      </w:pPr>
      <w:r>
        <w:object w:dxaOrig="7183"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3.8pt;height:427.75pt" o:ole="">
            <v:imagedata r:id="rId67" o:title=""/>
          </v:shape>
          <o:OLEObject Type="Embed" ProgID="PowerPoint.Slide.12" ShapeID="_x0000_i1025" DrawAspect="Content" ObjectID="_1465667107" r:id="rId68"/>
        </w:object>
      </w:r>
    </w:p>
    <w:p w:rsidR="00CF536D" w:rsidRPr="00BD729B" w:rsidRDefault="009A7A25" w:rsidP="00BD729B">
      <w:pPr>
        <w:pStyle w:val="Ttulo3"/>
        <w:spacing w:before="240" w:after="240"/>
        <w:jc w:val="both"/>
      </w:pPr>
      <w:bookmarkStart w:id="151" w:name="_Toc380855732"/>
      <w:bookmarkStart w:id="152" w:name="_Toc263896852"/>
      <w:bookmarkStart w:id="153" w:name="_Toc391925232"/>
      <w:r>
        <w:lastRenderedPageBreak/>
        <w:t xml:space="preserve">3.3.2 </w:t>
      </w:r>
      <w:r w:rsidR="00CF536D" w:rsidRPr="00A037D2">
        <w:t>Matriz de Marco Lógico</w:t>
      </w:r>
      <w:bookmarkEnd w:id="151"/>
      <w:bookmarkEnd w:id="152"/>
      <w:bookmarkEnd w:id="153"/>
    </w:p>
    <w:p w:rsidR="00CF536D" w:rsidRDefault="00CF536D" w:rsidP="00BD729B">
      <w:pPr>
        <w:spacing w:before="240"/>
        <w:jc w:val="both"/>
        <w:rPr>
          <w:rFonts w:ascii="Adobe Caslon Pro" w:hAnsi="Adobe Caslon Pro" w:cs="Arial"/>
        </w:rPr>
      </w:pPr>
      <w:r w:rsidRPr="000907D3">
        <w:rPr>
          <w:rFonts w:ascii="Adobe Caslon Pro" w:hAnsi="Adobe Caslon Pro" w:cs="Arial"/>
        </w:rPr>
        <w:t>La construcción de la Matriz de Marco Lógico debe mantener congruencia con el árbol de objetivos y de problemas definidos, sin que ello signifique una transposición de las definiciones conceptuales</w:t>
      </w:r>
      <w:r w:rsidR="009D14B9">
        <w:rPr>
          <w:rFonts w:ascii="Adobe Caslon Pro" w:hAnsi="Adobe Caslon Pro" w:cs="Arial"/>
        </w:rPr>
        <w:t xml:space="preserve"> (ILPES, 2004)</w:t>
      </w:r>
      <w:r w:rsidRPr="000907D3">
        <w:rPr>
          <w:rFonts w:ascii="Adobe Caslon Pro" w:hAnsi="Adobe Caslon Pro" w:cs="Arial"/>
        </w:rPr>
        <w:t>. En ese sentido, es recomendable que el objetivo raíz identificado se vincule</w:t>
      </w:r>
      <w:r w:rsidR="00991D95">
        <w:rPr>
          <w:rFonts w:ascii="Adobe Caslon Pro" w:hAnsi="Adobe Caslon Pro" w:cs="Arial"/>
        </w:rPr>
        <w:t xml:space="preserve"> </w:t>
      </w:r>
      <w:r w:rsidRPr="000907D3">
        <w:rPr>
          <w:rFonts w:ascii="Adobe Caslon Pro" w:hAnsi="Adobe Caslon Pro" w:cs="Arial"/>
        </w:rPr>
        <w:t>con el resumen narrativo a nivel de propósito, y los medios, que a su vez se derivan de las causas del árbol de problemas, deben relacionarse con los componentes del programa.</w:t>
      </w:r>
    </w:p>
    <w:p w:rsidR="0018237B" w:rsidRDefault="00CF536D" w:rsidP="00026506">
      <w:pPr>
        <w:spacing w:before="240"/>
        <w:jc w:val="both"/>
        <w:rPr>
          <w:rFonts w:ascii="Adobe Caslon Pro" w:hAnsi="Adobe Caslon Pro" w:cs="Arial"/>
        </w:rPr>
      </w:pPr>
      <w:r w:rsidRPr="000907D3">
        <w:rPr>
          <w:rFonts w:ascii="Adobe Caslon Pro" w:hAnsi="Adobe Caslon Pro" w:cs="Arial"/>
        </w:rPr>
        <w:t xml:space="preserve">En ese sentido, </w:t>
      </w:r>
      <w:bookmarkStart w:id="154" w:name="OLE_LINK3"/>
      <w:bookmarkStart w:id="155" w:name="OLE_LINK4"/>
      <w:r w:rsidRPr="000907D3">
        <w:rPr>
          <w:rFonts w:ascii="Adobe Caslon Pro" w:hAnsi="Adobe Caslon Pro" w:cs="Arial"/>
        </w:rPr>
        <w:t xml:space="preserve">la situación deseada para los actores sociales en México es que se amplíen los mecanismos para su articulación con las dependencias públicas, que el acceso al financiamiento sea suficiente para llevar a cabo sus actividades, que potencien su desarrollo institucional, que se genere suficiente información sobre el quehacer de la sociedad civil organizada, y que se intensifique la sinergia con otros actores sociales. </w:t>
      </w:r>
    </w:p>
    <w:p w:rsidR="00CF536D" w:rsidRPr="000907D3" w:rsidRDefault="00CF536D" w:rsidP="00026506">
      <w:pPr>
        <w:spacing w:before="240"/>
        <w:jc w:val="both"/>
        <w:rPr>
          <w:rFonts w:ascii="Adobe Caslon Pro" w:hAnsi="Adobe Caslon Pro" w:cs="Arial"/>
        </w:rPr>
      </w:pPr>
      <w:r w:rsidRPr="000907D3">
        <w:rPr>
          <w:rFonts w:ascii="Adobe Caslon Pro" w:hAnsi="Adobe Caslon Pro" w:cs="Arial"/>
        </w:rPr>
        <w:t>Entre los principales medios que pueden fortalecer a los actores sociales se encuentran:</w:t>
      </w:r>
    </w:p>
    <w:p w:rsidR="00CF536D" w:rsidRPr="000907D3" w:rsidRDefault="00CF536D" w:rsidP="00026506">
      <w:pPr>
        <w:pStyle w:val="Prrafodelista"/>
        <w:numPr>
          <w:ilvl w:val="0"/>
          <w:numId w:val="12"/>
        </w:numPr>
        <w:spacing w:before="240"/>
        <w:jc w:val="both"/>
        <w:rPr>
          <w:rFonts w:ascii="Adobe Caslon Pro" w:hAnsi="Adobe Caslon Pro" w:cs="Arial"/>
        </w:rPr>
      </w:pPr>
      <w:r w:rsidRPr="000907D3">
        <w:rPr>
          <w:rFonts w:ascii="Adobe Caslon Pro" w:hAnsi="Adobe Caslon Pro" w:cs="Arial"/>
        </w:rPr>
        <w:t xml:space="preserve">Suficientes mecanismos de articulación entre los actores sociales y el </w:t>
      </w:r>
      <w:r w:rsidR="00BE60D4">
        <w:rPr>
          <w:rFonts w:ascii="Adobe Caslon Pro" w:hAnsi="Adobe Caslon Pro" w:cs="Arial"/>
        </w:rPr>
        <w:t>gobierno</w:t>
      </w:r>
      <w:r w:rsidRPr="000907D3">
        <w:rPr>
          <w:rFonts w:ascii="Adobe Caslon Pro" w:hAnsi="Adobe Caslon Pro" w:cs="Arial"/>
        </w:rPr>
        <w:t>.</w:t>
      </w:r>
    </w:p>
    <w:p w:rsidR="00CF536D" w:rsidRPr="000907D3" w:rsidRDefault="00CF536D" w:rsidP="00026506">
      <w:pPr>
        <w:pStyle w:val="Prrafodelista"/>
        <w:numPr>
          <w:ilvl w:val="0"/>
          <w:numId w:val="12"/>
        </w:numPr>
        <w:spacing w:before="240"/>
        <w:jc w:val="both"/>
        <w:rPr>
          <w:rFonts w:ascii="Adobe Caslon Pro" w:hAnsi="Adobe Caslon Pro" w:cs="Arial"/>
        </w:rPr>
      </w:pPr>
      <w:r w:rsidRPr="000907D3">
        <w:rPr>
          <w:rFonts w:ascii="Adobe Caslon Pro" w:hAnsi="Adobe Caslon Pro" w:cs="Arial"/>
        </w:rPr>
        <w:t>Acceso a suficientes fuentes de financiamiento.</w:t>
      </w:r>
    </w:p>
    <w:p w:rsidR="00CF536D" w:rsidRPr="000907D3" w:rsidRDefault="00CF536D" w:rsidP="00026506">
      <w:pPr>
        <w:pStyle w:val="Prrafodelista"/>
        <w:numPr>
          <w:ilvl w:val="0"/>
          <w:numId w:val="12"/>
        </w:numPr>
        <w:spacing w:before="240"/>
        <w:jc w:val="both"/>
        <w:rPr>
          <w:rFonts w:ascii="Adobe Caslon Pro" w:hAnsi="Adobe Caslon Pro" w:cs="Arial"/>
        </w:rPr>
      </w:pPr>
      <w:r w:rsidRPr="000907D3">
        <w:rPr>
          <w:rFonts w:ascii="Adobe Caslon Pro" w:hAnsi="Adobe Caslon Pro" w:cs="Arial"/>
        </w:rPr>
        <w:t xml:space="preserve">Ampliación de capacidades de gestión: crecientes niveles de capacitación y de profesionalización. </w:t>
      </w:r>
    </w:p>
    <w:p w:rsidR="00CF536D" w:rsidRPr="000907D3" w:rsidRDefault="00CF536D" w:rsidP="00026506">
      <w:pPr>
        <w:pStyle w:val="Prrafodelista"/>
        <w:numPr>
          <w:ilvl w:val="0"/>
          <w:numId w:val="12"/>
        </w:numPr>
        <w:spacing w:before="240"/>
        <w:jc w:val="both"/>
        <w:rPr>
          <w:rFonts w:ascii="Adobe Caslon Pro" w:hAnsi="Adobe Caslon Pro" w:cs="Arial"/>
        </w:rPr>
      </w:pPr>
      <w:r w:rsidRPr="000907D3">
        <w:rPr>
          <w:rFonts w:ascii="Adobe Caslon Pro" w:hAnsi="Adobe Caslon Pro" w:cs="Arial"/>
        </w:rPr>
        <w:t>Fortalecimiento en los aspectos legal y administrativo.</w:t>
      </w:r>
      <w:bookmarkEnd w:id="154"/>
      <w:bookmarkEnd w:id="155"/>
    </w:p>
    <w:p w:rsidR="00CF536D" w:rsidRPr="000907D3" w:rsidRDefault="00CF536D" w:rsidP="00026506">
      <w:pPr>
        <w:pStyle w:val="Default"/>
        <w:spacing w:before="240" w:after="240" w:line="276" w:lineRule="auto"/>
        <w:jc w:val="both"/>
        <w:rPr>
          <w:rFonts w:ascii="Adobe Caslon Pro" w:hAnsi="Adobe Caslon Pro" w:cs="Arial"/>
          <w:sz w:val="22"/>
          <w:szCs w:val="22"/>
        </w:rPr>
      </w:pPr>
      <w:r w:rsidRPr="000907D3">
        <w:rPr>
          <w:rFonts w:ascii="Adobe Caslon Pro" w:hAnsi="Adobe Caslon Pro" w:cs="Arial"/>
          <w:sz w:val="22"/>
          <w:szCs w:val="22"/>
        </w:rPr>
        <w:t>Con base en lo anterior, se propone en la siguiente sección la Matriz de Marco Lógico del programa.</w:t>
      </w:r>
    </w:p>
    <w:p w:rsidR="00CF536D" w:rsidRPr="000907D3" w:rsidRDefault="00CF536D" w:rsidP="00026506">
      <w:pPr>
        <w:pStyle w:val="Default"/>
        <w:spacing w:before="240" w:after="240" w:line="276" w:lineRule="auto"/>
        <w:jc w:val="both"/>
        <w:rPr>
          <w:rFonts w:ascii="Adobe Caslon Pro" w:hAnsi="Adobe Caslon Pro" w:cs="Arial"/>
          <w:sz w:val="22"/>
          <w:szCs w:val="22"/>
        </w:rPr>
      </w:pPr>
    </w:p>
    <w:p w:rsidR="00CF536D" w:rsidRPr="000907D3" w:rsidRDefault="00CF536D" w:rsidP="00026506">
      <w:pPr>
        <w:pStyle w:val="Default"/>
        <w:spacing w:before="240" w:after="240" w:line="276" w:lineRule="auto"/>
        <w:jc w:val="both"/>
        <w:rPr>
          <w:rFonts w:ascii="Adobe Caslon Pro" w:hAnsi="Adobe Caslon Pro" w:cs="Arial"/>
          <w:sz w:val="22"/>
          <w:szCs w:val="22"/>
        </w:rPr>
      </w:pPr>
    </w:p>
    <w:p w:rsidR="00CF536D" w:rsidRPr="000907D3" w:rsidRDefault="00CF536D" w:rsidP="00026506">
      <w:pPr>
        <w:spacing w:before="240"/>
        <w:jc w:val="both"/>
        <w:rPr>
          <w:rFonts w:ascii="Adobe Caslon Pro" w:eastAsia="Times New Roman" w:hAnsi="Adobe Caslon Pro" w:cs="Arial"/>
          <w:b/>
          <w:bCs/>
          <w:color w:val="FFFFFF"/>
          <w:lang w:eastAsia="es-MX"/>
        </w:rPr>
        <w:sectPr w:rsidR="00CF536D" w:rsidRPr="000907D3" w:rsidSect="00220588">
          <w:pgSz w:w="12240" w:h="15840" w:code="1"/>
          <w:pgMar w:top="1854" w:right="1338" w:bottom="1418" w:left="1514" w:header="720" w:footer="720" w:gutter="0"/>
          <w:cols w:space="720"/>
          <w:noEndnote/>
          <w:docGrid w:linePitch="299"/>
        </w:sectPr>
      </w:pPr>
    </w:p>
    <w:tbl>
      <w:tblPr>
        <w:tblW w:w="5000" w:type="pct"/>
        <w:tblCellMar>
          <w:left w:w="70" w:type="dxa"/>
          <w:right w:w="70" w:type="dxa"/>
        </w:tblCellMar>
        <w:tblLook w:val="04A0" w:firstRow="1" w:lastRow="0" w:firstColumn="1" w:lastColumn="0" w:noHBand="0" w:noVBand="1"/>
      </w:tblPr>
      <w:tblGrid>
        <w:gridCol w:w="3822"/>
        <w:gridCol w:w="2796"/>
        <w:gridCol w:w="1261"/>
        <w:gridCol w:w="1850"/>
        <w:gridCol w:w="2979"/>
      </w:tblGrid>
      <w:tr w:rsidR="00CF536D" w:rsidRPr="000907D3" w:rsidTr="003152EF">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bottom"/>
            <w:hideMark/>
          </w:tcPr>
          <w:p w:rsidR="00CF536D" w:rsidRPr="000D62D1" w:rsidRDefault="00CF536D" w:rsidP="001F1E2D">
            <w:pPr>
              <w:spacing w:after="0" w:line="240" w:lineRule="auto"/>
              <w:jc w:val="center"/>
              <w:rPr>
                <w:rFonts w:ascii="Adobe Caslon Pro" w:eastAsia="Times New Roman" w:hAnsi="Adobe Caslon Pro" w:cs="Arial"/>
                <w:b/>
                <w:bCs/>
                <w:color w:val="000000" w:themeColor="text1"/>
                <w:lang w:eastAsia="es-MX"/>
              </w:rPr>
            </w:pPr>
            <w:r w:rsidRPr="000D62D1">
              <w:rPr>
                <w:rFonts w:ascii="Adobe Caslon Pro" w:eastAsia="Times New Roman" w:hAnsi="Adobe Caslon Pro" w:cs="Arial"/>
                <w:b/>
                <w:bCs/>
                <w:color w:val="000000" w:themeColor="text1"/>
                <w:lang w:eastAsia="es-MX"/>
              </w:rPr>
              <w:lastRenderedPageBreak/>
              <w:t>FIN</w:t>
            </w:r>
          </w:p>
        </w:tc>
      </w:tr>
      <w:tr w:rsidR="00CF536D" w:rsidRPr="000907D3" w:rsidTr="003152EF">
        <w:trPr>
          <w:trHeight w:val="300"/>
        </w:trPr>
        <w:tc>
          <w:tcPr>
            <w:tcW w:w="1504" w:type="pct"/>
            <w:vMerge w:val="restart"/>
            <w:tcBorders>
              <w:top w:val="nil"/>
              <w:left w:val="single" w:sz="8" w:space="0" w:color="auto"/>
              <w:bottom w:val="single" w:sz="8" w:space="0" w:color="000000"/>
              <w:right w:val="single" w:sz="4" w:space="0" w:color="auto"/>
            </w:tcBorders>
            <w:shd w:val="clear" w:color="auto" w:fill="BFBFBF" w:themeFill="background1" w:themeFillShade="BF"/>
            <w:noWrap/>
            <w:vAlign w:val="center"/>
            <w:hideMark/>
          </w:tcPr>
          <w:p w:rsidR="00CF536D" w:rsidRPr="000D62D1" w:rsidRDefault="00CF536D" w:rsidP="001F1E2D">
            <w:pPr>
              <w:spacing w:after="0" w:line="240" w:lineRule="auto"/>
              <w:jc w:val="center"/>
              <w:rPr>
                <w:rFonts w:ascii="Adobe Caslon Pro" w:eastAsia="Times New Roman" w:hAnsi="Adobe Caslon Pro" w:cs="Arial"/>
                <w:color w:val="000000" w:themeColor="text1"/>
                <w:lang w:eastAsia="es-MX"/>
              </w:rPr>
            </w:pPr>
            <w:r w:rsidRPr="000D62D1">
              <w:rPr>
                <w:rFonts w:ascii="Adobe Caslon Pro" w:eastAsia="Times New Roman" w:hAnsi="Adobe Caslon Pro" w:cs="Arial"/>
                <w:color w:val="000000" w:themeColor="text1"/>
                <w:lang w:eastAsia="es-MX"/>
              </w:rPr>
              <w:t>Objetivos</w:t>
            </w:r>
          </w:p>
        </w:tc>
        <w:tc>
          <w:tcPr>
            <w:tcW w:w="2324" w:type="pct"/>
            <w:gridSpan w:val="3"/>
            <w:tcBorders>
              <w:top w:val="nil"/>
              <w:left w:val="nil"/>
              <w:bottom w:val="single" w:sz="4" w:space="0" w:color="auto"/>
              <w:right w:val="single" w:sz="4" w:space="0" w:color="auto"/>
            </w:tcBorders>
            <w:shd w:val="clear" w:color="auto" w:fill="BFBFBF" w:themeFill="background1" w:themeFillShade="BF"/>
            <w:noWrap/>
            <w:vAlign w:val="bottom"/>
            <w:hideMark/>
          </w:tcPr>
          <w:p w:rsidR="00CF536D" w:rsidRPr="000D62D1" w:rsidRDefault="00CF536D" w:rsidP="001F1E2D">
            <w:pPr>
              <w:spacing w:after="0" w:line="240" w:lineRule="auto"/>
              <w:jc w:val="center"/>
              <w:rPr>
                <w:rFonts w:ascii="Adobe Caslon Pro" w:eastAsia="Times New Roman" w:hAnsi="Adobe Caslon Pro" w:cs="Arial"/>
                <w:color w:val="000000" w:themeColor="text1"/>
                <w:lang w:eastAsia="es-MX"/>
              </w:rPr>
            </w:pPr>
            <w:r w:rsidRPr="000D62D1">
              <w:rPr>
                <w:rFonts w:ascii="Adobe Caslon Pro" w:eastAsia="Times New Roman" w:hAnsi="Adobe Caslon Pro" w:cs="Arial"/>
                <w:color w:val="000000" w:themeColor="text1"/>
                <w:lang w:eastAsia="es-MX"/>
              </w:rPr>
              <w:t>Indicador</w:t>
            </w:r>
          </w:p>
        </w:tc>
        <w:tc>
          <w:tcPr>
            <w:tcW w:w="1172" w:type="pct"/>
            <w:vMerge w:val="restart"/>
            <w:tcBorders>
              <w:top w:val="nil"/>
              <w:left w:val="single" w:sz="4" w:space="0" w:color="auto"/>
              <w:bottom w:val="single" w:sz="8" w:space="0" w:color="000000"/>
              <w:right w:val="single" w:sz="8" w:space="0" w:color="auto"/>
            </w:tcBorders>
            <w:shd w:val="clear" w:color="auto" w:fill="BFBFBF" w:themeFill="background1" w:themeFillShade="BF"/>
            <w:noWrap/>
            <w:vAlign w:val="center"/>
            <w:hideMark/>
          </w:tcPr>
          <w:p w:rsidR="00CF536D" w:rsidRPr="000D62D1" w:rsidRDefault="00CF536D" w:rsidP="001F1E2D">
            <w:pPr>
              <w:spacing w:after="0" w:line="240" w:lineRule="auto"/>
              <w:jc w:val="center"/>
              <w:rPr>
                <w:rFonts w:ascii="Adobe Caslon Pro" w:eastAsia="Times New Roman" w:hAnsi="Adobe Caslon Pro" w:cs="Arial"/>
                <w:color w:val="000000" w:themeColor="text1"/>
                <w:lang w:eastAsia="es-MX"/>
              </w:rPr>
            </w:pPr>
            <w:r w:rsidRPr="000D62D1">
              <w:rPr>
                <w:rFonts w:ascii="Adobe Caslon Pro" w:eastAsia="Times New Roman" w:hAnsi="Adobe Caslon Pro" w:cs="Arial"/>
                <w:color w:val="000000" w:themeColor="text1"/>
                <w:lang w:eastAsia="es-MX"/>
              </w:rPr>
              <w:t>Supuestos/Riesgos</w:t>
            </w:r>
          </w:p>
        </w:tc>
      </w:tr>
      <w:tr w:rsidR="00CF536D" w:rsidRPr="000907D3" w:rsidTr="003152EF">
        <w:trPr>
          <w:trHeight w:val="315"/>
        </w:trPr>
        <w:tc>
          <w:tcPr>
            <w:tcW w:w="1504" w:type="pct"/>
            <w:vMerge/>
            <w:tcBorders>
              <w:top w:val="nil"/>
              <w:left w:val="single" w:sz="8" w:space="0" w:color="auto"/>
              <w:bottom w:val="single" w:sz="8" w:space="0" w:color="000000"/>
              <w:right w:val="single" w:sz="4" w:space="0" w:color="auto"/>
            </w:tcBorders>
            <w:shd w:val="clear" w:color="auto" w:fill="4F6228" w:themeFill="accent3" w:themeFillShade="80"/>
            <w:vAlign w:val="center"/>
            <w:hideMark/>
          </w:tcPr>
          <w:p w:rsidR="00CF536D" w:rsidRPr="000907D3" w:rsidRDefault="00CF536D" w:rsidP="003152EF">
            <w:pPr>
              <w:spacing w:after="0"/>
              <w:jc w:val="center"/>
              <w:rPr>
                <w:rFonts w:ascii="Adobe Caslon Pro" w:eastAsia="Times New Roman" w:hAnsi="Adobe Caslon Pro" w:cs="Arial"/>
                <w:color w:val="FFFFFF"/>
                <w:lang w:eastAsia="es-MX"/>
              </w:rPr>
            </w:pPr>
          </w:p>
        </w:tc>
        <w:tc>
          <w:tcPr>
            <w:tcW w:w="1100" w:type="pct"/>
            <w:tcBorders>
              <w:top w:val="nil"/>
              <w:left w:val="nil"/>
              <w:bottom w:val="single" w:sz="8" w:space="0" w:color="auto"/>
              <w:right w:val="single" w:sz="4" w:space="0" w:color="auto"/>
            </w:tcBorders>
            <w:shd w:val="clear" w:color="auto" w:fill="BFBFBF" w:themeFill="background1" w:themeFillShade="BF"/>
            <w:vAlign w:val="center"/>
            <w:hideMark/>
          </w:tcPr>
          <w:p w:rsidR="00CF536D" w:rsidRPr="000D62D1" w:rsidRDefault="00CF536D" w:rsidP="001F1E2D">
            <w:pPr>
              <w:spacing w:after="0" w:line="240" w:lineRule="auto"/>
              <w:jc w:val="center"/>
              <w:rPr>
                <w:rFonts w:ascii="Adobe Caslon Pro" w:eastAsia="Times New Roman" w:hAnsi="Adobe Caslon Pro" w:cs="Arial"/>
                <w:color w:val="000000" w:themeColor="text1"/>
                <w:lang w:eastAsia="es-MX"/>
              </w:rPr>
            </w:pPr>
            <w:r w:rsidRPr="000D62D1">
              <w:rPr>
                <w:rFonts w:ascii="Adobe Caslon Pro" w:eastAsia="Times New Roman" w:hAnsi="Adobe Caslon Pro" w:cs="Arial"/>
                <w:color w:val="000000" w:themeColor="text1"/>
                <w:lang w:eastAsia="es-MX"/>
              </w:rPr>
              <w:t>Nombre del Indicador</w:t>
            </w:r>
          </w:p>
        </w:tc>
        <w:tc>
          <w:tcPr>
            <w:tcW w:w="496" w:type="pct"/>
            <w:tcBorders>
              <w:top w:val="nil"/>
              <w:left w:val="nil"/>
              <w:bottom w:val="single" w:sz="8" w:space="0" w:color="auto"/>
              <w:right w:val="single" w:sz="4" w:space="0" w:color="auto"/>
            </w:tcBorders>
            <w:shd w:val="clear" w:color="auto" w:fill="BFBFBF" w:themeFill="background1" w:themeFillShade="BF"/>
            <w:noWrap/>
            <w:vAlign w:val="center"/>
            <w:hideMark/>
          </w:tcPr>
          <w:p w:rsidR="00CF536D" w:rsidRPr="000D62D1" w:rsidRDefault="00CF536D" w:rsidP="001F1E2D">
            <w:pPr>
              <w:spacing w:after="0" w:line="240" w:lineRule="auto"/>
              <w:jc w:val="center"/>
              <w:rPr>
                <w:rFonts w:ascii="Adobe Caslon Pro" w:eastAsia="Times New Roman" w:hAnsi="Adobe Caslon Pro" w:cs="Arial"/>
                <w:color w:val="000000" w:themeColor="text1"/>
                <w:lang w:eastAsia="es-MX"/>
              </w:rPr>
            </w:pPr>
            <w:r w:rsidRPr="000D62D1">
              <w:rPr>
                <w:rFonts w:ascii="Adobe Caslon Pro" w:eastAsia="Times New Roman" w:hAnsi="Adobe Caslon Pro" w:cs="Arial"/>
                <w:color w:val="000000" w:themeColor="text1"/>
                <w:lang w:eastAsia="es-MX"/>
              </w:rPr>
              <w:t>Periodicidad</w:t>
            </w:r>
          </w:p>
        </w:tc>
        <w:tc>
          <w:tcPr>
            <w:tcW w:w="728" w:type="pct"/>
            <w:tcBorders>
              <w:top w:val="nil"/>
              <w:left w:val="nil"/>
              <w:bottom w:val="single" w:sz="8" w:space="0" w:color="auto"/>
              <w:right w:val="single" w:sz="4" w:space="0" w:color="auto"/>
            </w:tcBorders>
            <w:shd w:val="clear" w:color="auto" w:fill="BFBFBF" w:themeFill="background1" w:themeFillShade="BF"/>
            <w:noWrap/>
            <w:vAlign w:val="center"/>
            <w:hideMark/>
          </w:tcPr>
          <w:p w:rsidR="00CF536D" w:rsidRPr="000D62D1" w:rsidRDefault="00CF536D" w:rsidP="001F1E2D">
            <w:pPr>
              <w:spacing w:after="0" w:line="240" w:lineRule="auto"/>
              <w:jc w:val="center"/>
              <w:rPr>
                <w:rFonts w:ascii="Adobe Caslon Pro" w:eastAsia="Times New Roman" w:hAnsi="Adobe Caslon Pro" w:cs="Arial"/>
                <w:color w:val="000000" w:themeColor="text1"/>
                <w:lang w:eastAsia="es-MX"/>
              </w:rPr>
            </w:pPr>
            <w:r w:rsidRPr="000D62D1">
              <w:rPr>
                <w:rFonts w:ascii="Adobe Caslon Pro" w:eastAsia="Times New Roman" w:hAnsi="Adobe Caslon Pro" w:cs="Arial"/>
                <w:color w:val="000000" w:themeColor="text1"/>
                <w:lang w:eastAsia="es-MX"/>
              </w:rPr>
              <w:t>Fuente</w:t>
            </w:r>
          </w:p>
        </w:tc>
        <w:tc>
          <w:tcPr>
            <w:tcW w:w="1172" w:type="pct"/>
            <w:vMerge/>
            <w:tcBorders>
              <w:top w:val="nil"/>
              <w:left w:val="single" w:sz="4" w:space="0" w:color="auto"/>
              <w:bottom w:val="single" w:sz="8" w:space="0" w:color="000000"/>
              <w:right w:val="single" w:sz="8" w:space="0" w:color="auto"/>
            </w:tcBorders>
            <w:shd w:val="clear" w:color="auto" w:fill="4F6228" w:themeFill="accent3" w:themeFillShade="80"/>
            <w:vAlign w:val="center"/>
            <w:hideMark/>
          </w:tcPr>
          <w:p w:rsidR="00CF536D" w:rsidRPr="000907D3" w:rsidRDefault="00CF536D" w:rsidP="003152EF">
            <w:pPr>
              <w:spacing w:after="0"/>
              <w:jc w:val="center"/>
              <w:rPr>
                <w:rFonts w:ascii="Adobe Caslon Pro" w:eastAsia="Times New Roman" w:hAnsi="Adobe Caslon Pro" w:cs="Arial"/>
                <w:color w:val="FFFFFF"/>
                <w:lang w:eastAsia="es-MX"/>
              </w:rPr>
            </w:pPr>
          </w:p>
        </w:tc>
      </w:tr>
      <w:tr w:rsidR="00CF536D" w:rsidRPr="000907D3" w:rsidTr="003152EF">
        <w:trPr>
          <w:trHeight w:val="1875"/>
        </w:trPr>
        <w:tc>
          <w:tcPr>
            <w:tcW w:w="1504" w:type="pct"/>
            <w:vMerge w:val="restart"/>
            <w:tcBorders>
              <w:top w:val="nil"/>
              <w:left w:val="single" w:sz="8" w:space="0" w:color="auto"/>
              <w:bottom w:val="nil"/>
              <w:right w:val="single" w:sz="8" w:space="0" w:color="auto"/>
            </w:tcBorders>
            <w:shd w:val="clear" w:color="auto" w:fill="auto"/>
            <w:vAlign w:val="center"/>
            <w:hideMark/>
          </w:tcPr>
          <w:p w:rsidR="00663509" w:rsidRPr="000907D3" w:rsidRDefault="00CF536D" w:rsidP="001F1E2D">
            <w:pPr>
              <w:spacing w:after="0" w:line="240" w:lineRule="auto"/>
              <w:jc w:val="both"/>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Contribuir a</w:t>
            </w:r>
            <w:r w:rsidR="002004D2" w:rsidRPr="000907D3">
              <w:rPr>
                <w:rFonts w:ascii="Adobe Caslon Pro" w:eastAsia="Times New Roman" w:hAnsi="Adobe Caslon Pro" w:cs="Arial"/>
                <w:color w:val="000000"/>
                <w:lang w:eastAsia="es-MX"/>
              </w:rPr>
              <w:t>l fortalecimiento de la participación social</w:t>
            </w:r>
            <w:r w:rsidRPr="000907D3">
              <w:rPr>
                <w:rFonts w:ascii="Adobe Caslon Pro" w:eastAsia="Times New Roman" w:hAnsi="Adobe Caslon Pro" w:cs="Arial"/>
                <w:color w:val="000000"/>
                <w:lang w:eastAsia="es-MX"/>
              </w:rPr>
              <w:t>, a través de</w:t>
            </w:r>
            <w:r w:rsidR="002004D2" w:rsidRPr="000907D3">
              <w:rPr>
                <w:rFonts w:ascii="Adobe Caslon Pro" w:eastAsia="Times New Roman" w:hAnsi="Adobe Caslon Pro" w:cs="Arial"/>
                <w:color w:val="000000"/>
                <w:lang w:eastAsia="es-MX"/>
              </w:rPr>
              <w:t xml:space="preserve">l impulso a las capacidades de los </w:t>
            </w:r>
            <w:r w:rsidR="0025571B">
              <w:rPr>
                <w:rFonts w:ascii="Adobe Caslon Pro" w:eastAsia="Times New Roman" w:hAnsi="Adobe Caslon Pro" w:cs="Arial"/>
                <w:color w:val="000000"/>
                <w:lang w:eastAsia="es-MX"/>
              </w:rPr>
              <w:t>actores sociales</w:t>
            </w:r>
            <w:r w:rsidRPr="000907D3">
              <w:rPr>
                <w:rFonts w:ascii="Adobe Caslon Pro" w:eastAsia="Times New Roman" w:hAnsi="Adobe Caslon Pro" w:cs="Arial"/>
                <w:color w:val="000000"/>
                <w:lang w:eastAsia="es-MX"/>
              </w:rPr>
              <w:t>.</w:t>
            </w:r>
          </w:p>
        </w:tc>
        <w:tc>
          <w:tcPr>
            <w:tcW w:w="1100" w:type="pct"/>
            <w:tcBorders>
              <w:top w:val="nil"/>
              <w:left w:val="nil"/>
              <w:bottom w:val="nil"/>
              <w:right w:val="single" w:sz="4" w:space="0" w:color="auto"/>
            </w:tcBorders>
            <w:shd w:val="clear" w:color="auto" w:fill="auto"/>
            <w:vAlign w:val="center"/>
            <w:hideMark/>
          </w:tcPr>
          <w:p w:rsidR="00CF536D" w:rsidRPr="000907D3" w:rsidRDefault="00CF536D" w:rsidP="001F1E2D">
            <w:pPr>
              <w:spacing w:after="0" w:line="240" w:lineRule="auto"/>
              <w:jc w:val="both"/>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Porcentaje de programas de la política social que incluyen esquemas de participación social respecto al total de programas de la política social.</w:t>
            </w:r>
          </w:p>
        </w:tc>
        <w:tc>
          <w:tcPr>
            <w:tcW w:w="496" w:type="pct"/>
            <w:tcBorders>
              <w:top w:val="nil"/>
              <w:left w:val="nil"/>
              <w:bottom w:val="nil"/>
              <w:right w:val="single" w:sz="4" w:space="0" w:color="auto"/>
            </w:tcBorders>
            <w:shd w:val="clear" w:color="auto" w:fill="auto"/>
            <w:vAlign w:val="center"/>
            <w:hideMark/>
          </w:tcPr>
          <w:p w:rsidR="00CF536D" w:rsidRPr="000907D3" w:rsidRDefault="00CF536D" w:rsidP="001F1E2D">
            <w:pPr>
              <w:spacing w:after="0" w:line="240" w:lineRule="auto"/>
              <w:jc w:val="both"/>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bi</w:t>
            </w:r>
            <w:r w:rsidR="003E251B" w:rsidRPr="000907D3">
              <w:rPr>
                <w:rFonts w:ascii="Adobe Caslon Pro" w:eastAsia="Times New Roman" w:hAnsi="Adobe Caslon Pro" w:cs="Arial"/>
                <w:color w:val="000000"/>
                <w:lang w:eastAsia="es-MX"/>
              </w:rPr>
              <w:t>e</w:t>
            </w:r>
            <w:r w:rsidRPr="000907D3">
              <w:rPr>
                <w:rFonts w:ascii="Adobe Caslon Pro" w:eastAsia="Times New Roman" w:hAnsi="Adobe Caslon Pro" w:cs="Arial"/>
                <w:color w:val="000000"/>
                <w:lang w:eastAsia="es-MX"/>
              </w:rPr>
              <w:t>nal</w:t>
            </w:r>
          </w:p>
        </w:tc>
        <w:tc>
          <w:tcPr>
            <w:tcW w:w="728" w:type="pct"/>
            <w:tcBorders>
              <w:top w:val="nil"/>
              <w:left w:val="nil"/>
              <w:bottom w:val="nil"/>
              <w:right w:val="single" w:sz="8" w:space="0" w:color="auto"/>
            </w:tcBorders>
            <w:shd w:val="clear" w:color="auto" w:fill="auto"/>
            <w:vAlign w:val="center"/>
            <w:hideMark/>
          </w:tcPr>
          <w:p w:rsidR="00CF536D" w:rsidRPr="000907D3" w:rsidRDefault="00CF536D" w:rsidP="001F1E2D">
            <w:pPr>
              <w:spacing w:after="0" w:line="240" w:lineRule="auto"/>
              <w:jc w:val="both"/>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Evaluación externa sobre la participación de los Actores sociales en políticas públicas</w:t>
            </w:r>
          </w:p>
        </w:tc>
        <w:tc>
          <w:tcPr>
            <w:tcW w:w="1172" w:type="pct"/>
            <w:vMerge w:val="restart"/>
            <w:tcBorders>
              <w:top w:val="nil"/>
              <w:left w:val="single" w:sz="8" w:space="0" w:color="auto"/>
              <w:bottom w:val="nil"/>
              <w:right w:val="single" w:sz="8" w:space="0" w:color="auto"/>
            </w:tcBorders>
            <w:shd w:val="clear" w:color="auto" w:fill="auto"/>
            <w:vAlign w:val="center"/>
            <w:hideMark/>
          </w:tcPr>
          <w:p w:rsidR="00CF536D" w:rsidRPr="000907D3" w:rsidRDefault="00CF536D" w:rsidP="001F1E2D">
            <w:pPr>
              <w:spacing w:after="0" w:line="240" w:lineRule="auto"/>
              <w:jc w:val="both"/>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Los actores sociales se empoderan crecientemente y participan en las diversas políticas públicas de manera permanente.</w:t>
            </w:r>
            <w:r w:rsidRPr="000907D3">
              <w:rPr>
                <w:rFonts w:ascii="Adobe Caslon Pro" w:eastAsia="Times New Roman" w:hAnsi="Adobe Caslon Pro" w:cs="Arial"/>
                <w:color w:val="000000"/>
                <w:lang w:eastAsia="es-MX"/>
              </w:rPr>
              <w:br/>
            </w:r>
            <w:r w:rsidRPr="000907D3">
              <w:rPr>
                <w:rFonts w:ascii="Adobe Caslon Pro" w:eastAsia="Times New Roman" w:hAnsi="Adobe Caslon Pro" w:cs="Arial"/>
                <w:color w:val="000000"/>
                <w:lang w:eastAsia="es-MX"/>
              </w:rPr>
              <w:br/>
              <w:t xml:space="preserve">Se diversifican y fortalecen las fuentes de financiamiento de los </w:t>
            </w:r>
            <w:r w:rsidR="0025571B">
              <w:rPr>
                <w:rFonts w:ascii="Adobe Caslon Pro" w:eastAsia="Times New Roman" w:hAnsi="Adobe Caslon Pro" w:cs="Arial"/>
                <w:color w:val="000000"/>
                <w:lang w:eastAsia="es-MX"/>
              </w:rPr>
              <w:t>actores sociales</w:t>
            </w:r>
            <w:r w:rsidRPr="000907D3">
              <w:rPr>
                <w:rFonts w:ascii="Adobe Caslon Pro" w:eastAsia="Times New Roman" w:hAnsi="Adobe Caslon Pro" w:cs="Arial"/>
                <w:color w:val="000000"/>
                <w:lang w:eastAsia="es-MX"/>
              </w:rPr>
              <w:t>.</w:t>
            </w:r>
          </w:p>
        </w:tc>
      </w:tr>
      <w:tr w:rsidR="00CF536D" w:rsidRPr="000907D3" w:rsidTr="003152EF">
        <w:trPr>
          <w:trHeight w:val="2100"/>
        </w:trPr>
        <w:tc>
          <w:tcPr>
            <w:tcW w:w="1504" w:type="pct"/>
            <w:vMerge/>
            <w:tcBorders>
              <w:top w:val="nil"/>
              <w:left w:val="single" w:sz="8" w:space="0" w:color="auto"/>
              <w:bottom w:val="single" w:sz="8" w:space="0" w:color="auto"/>
              <w:right w:val="single" w:sz="8" w:space="0" w:color="auto"/>
            </w:tcBorders>
            <w:vAlign w:val="center"/>
            <w:hideMark/>
          </w:tcPr>
          <w:p w:rsidR="00CF536D" w:rsidRPr="000907D3" w:rsidRDefault="00CF536D" w:rsidP="003152EF">
            <w:pPr>
              <w:spacing w:after="0"/>
              <w:jc w:val="both"/>
              <w:rPr>
                <w:rFonts w:ascii="Adobe Caslon Pro" w:eastAsia="Times New Roman" w:hAnsi="Adobe Caslon Pro" w:cs="Arial"/>
                <w:color w:val="000000"/>
                <w:lang w:eastAsia="es-MX"/>
              </w:rPr>
            </w:pPr>
          </w:p>
        </w:tc>
        <w:tc>
          <w:tcPr>
            <w:tcW w:w="1100" w:type="pct"/>
            <w:tcBorders>
              <w:top w:val="nil"/>
              <w:left w:val="nil"/>
              <w:bottom w:val="single" w:sz="8" w:space="0" w:color="auto"/>
              <w:right w:val="single" w:sz="4" w:space="0" w:color="auto"/>
            </w:tcBorders>
            <w:shd w:val="clear" w:color="auto" w:fill="auto"/>
            <w:vAlign w:val="center"/>
            <w:hideMark/>
          </w:tcPr>
          <w:p w:rsidR="00CF536D" w:rsidRPr="00FF3808" w:rsidRDefault="00CF536D" w:rsidP="001F1E2D">
            <w:pPr>
              <w:spacing w:after="0" w:line="240" w:lineRule="auto"/>
              <w:jc w:val="both"/>
              <w:rPr>
                <w:rFonts w:ascii="Adobe Caslon Pro" w:eastAsia="Times New Roman" w:hAnsi="Adobe Caslon Pro" w:cs="Arial"/>
                <w:color w:val="000000"/>
                <w:lang w:eastAsia="es-MX"/>
              </w:rPr>
            </w:pPr>
            <w:r w:rsidRPr="00FF3808">
              <w:rPr>
                <w:rFonts w:ascii="Adobe Caslon Pro" w:hAnsi="Adobe Caslon Pro" w:cs="Arial"/>
              </w:rPr>
              <w:t xml:space="preserve">Porcentaje de </w:t>
            </w:r>
            <w:r w:rsidR="002F714E" w:rsidRPr="00FF3808">
              <w:rPr>
                <w:rFonts w:ascii="Adobe Caslon Pro" w:hAnsi="Adobe Caslon Pro" w:cs="Arial"/>
              </w:rPr>
              <w:t>OSC</w:t>
            </w:r>
            <w:r w:rsidRPr="00FF3808">
              <w:rPr>
                <w:rFonts w:ascii="Adobe Caslon Pro" w:hAnsi="Adobe Caslon Pro" w:cs="Arial"/>
              </w:rPr>
              <w:t xml:space="preserve"> que participan con acciones de cooperación para el desarrollo comunitario.</w:t>
            </w:r>
          </w:p>
        </w:tc>
        <w:tc>
          <w:tcPr>
            <w:tcW w:w="496" w:type="pct"/>
            <w:tcBorders>
              <w:top w:val="nil"/>
              <w:left w:val="nil"/>
              <w:bottom w:val="single" w:sz="8" w:space="0" w:color="auto"/>
              <w:right w:val="single" w:sz="4" w:space="0" w:color="auto"/>
            </w:tcBorders>
            <w:shd w:val="clear" w:color="auto" w:fill="auto"/>
            <w:vAlign w:val="center"/>
            <w:hideMark/>
          </w:tcPr>
          <w:p w:rsidR="00CF536D" w:rsidRPr="00FF3808" w:rsidRDefault="001D6AAC" w:rsidP="001F1E2D">
            <w:pPr>
              <w:spacing w:after="0" w:line="240" w:lineRule="auto"/>
              <w:jc w:val="both"/>
              <w:rPr>
                <w:rFonts w:ascii="Adobe Caslon Pro" w:eastAsia="Times New Roman" w:hAnsi="Adobe Caslon Pro" w:cs="Arial"/>
                <w:color w:val="000000"/>
                <w:lang w:eastAsia="es-MX"/>
              </w:rPr>
            </w:pPr>
            <w:r w:rsidRPr="00FF3808">
              <w:rPr>
                <w:rFonts w:ascii="Adobe Caslon Pro" w:eastAsia="Times New Roman" w:hAnsi="Adobe Caslon Pro" w:cs="Arial"/>
                <w:color w:val="000000"/>
                <w:lang w:eastAsia="es-MX"/>
              </w:rPr>
              <w:t>bienal</w:t>
            </w:r>
          </w:p>
        </w:tc>
        <w:tc>
          <w:tcPr>
            <w:tcW w:w="728" w:type="pct"/>
            <w:tcBorders>
              <w:top w:val="nil"/>
              <w:left w:val="nil"/>
              <w:bottom w:val="single" w:sz="8" w:space="0" w:color="auto"/>
              <w:right w:val="single" w:sz="8" w:space="0" w:color="auto"/>
            </w:tcBorders>
            <w:shd w:val="clear" w:color="auto" w:fill="auto"/>
            <w:vAlign w:val="center"/>
            <w:hideMark/>
          </w:tcPr>
          <w:p w:rsidR="00CF536D" w:rsidRPr="000907D3" w:rsidRDefault="00CF536D" w:rsidP="001F1E2D">
            <w:pPr>
              <w:spacing w:after="0" w:line="240" w:lineRule="auto"/>
              <w:jc w:val="both"/>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Evaluación externa sobre incidencia en capital social</w:t>
            </w:r>
          </w:p>
        </w:tc>
        <w:tc>
          <w:tcPr>
            <w:tcW w:w="1172" w:type="pct"/>
            <w:vMerge/>
            <w:tcBorders>
              <w:top w:val="nil"/>
              <w:left w:val="single" w:sz="8" w:space="0" w:color="auto"/>
              <w:bottom w:val="single" w:sz="8" w:space="0" w:color="auto"/>
              <w:right w:val="single" w:sz="8" w:space="0" w:color="auto"/>
            </w:tcBorders>
            <w:vAlign w:val="center"/>
            <w:hideMark/>
          </w:tcPr>
          <w:p w:rsidR="00CF536D" w:rsidRPr="000907D3" w:rsidRDefault="00CF536D" w:rsidP="003152EF">
            <w:pPr>
              <w:spacing w:after="0"/>
              <w:jc w:val="both"/>
              <w:rPr>
                <w:rFonts w:ascii="Adobe Caslon Pro" w:eastAsia="Times New Roman" w:hAnsi="Adobe Caslon Pro" w:cs="Arial"/>
                <w:color w:val="000000"/>
                <w:lang w:eastAsia="es-MX"/>
              </w:rPr>
            </w:pPr>
          </w:p>
        </w:tc>
      </w:tr>
    </w:tbl>
    <w:p w:rsidR="00FF3808" w:rsidRDefault="00CF536D" w:rsidP="00026506">
      <w:pPr>
        <w:spacing w:before="240"/>
        <w:jc w:val="both"/>
        <w:rPr>
          <w:rFonts w:ascii="Adobe Caslon Pro" w:hAnsi="Adobe Caslon Pro" w:cs="Arial"/>
        </w:rPr>
      </w:pPr>
      <w:r w:rsidRPr="000907D3">
        <w:rPr>
          <w:rFonts w:ascii="Adobe Caslon Pro" w:hAnsi="Adobe Caslon Pro" w:cs="Arial"/>
        </w:rPr>
        <w:br w:type="page"/>
      </w:r>
    </w:p>
    <w:p w:rsidR="00CF536D" w:rsidRDefault="00CF536D" w:rsidP="00026506">
      <w:pPr>
        <w:spacing w:before="240"/>
        <w:jc w:val="both"/>
        <w:rPr>
          <w:rFonts w:ascii="Adobe Caslon Pro" w:hAnsi="Adobe Caslon Pro" w:cs="Arial"/>
        </w:rPr>
      </w:pPr>
    </w:p>
    <w:tbl>
      <w:tblPr>
        <w:tblW w:w="5000" w:type="pct"/>
        <w:jc w:val="center"/>
        <w:tblCellMar>
          <w:left w:w="70" w:type="dxa"/>
          <w:right w:w="70" w:type="dxa"/>
        </w:tblCellMar>
        <w:tblLook w:val="04A0" w:firstRow="1" w:lastRow="0" w:firstColumn="1" w:lastColumn="0" w:noHBand="0" w:noVBand="1"/>
      </w:tblPr>
      <w:tblGrid>
        <w:gridCol w:w="3822"/>
        <w:gridCol w:w="2796"/>
        <w:gridCol w:w="1261"/>
        <w:gridCol w:w="1850"/>
        <w:gridCol w:w="2979"/>
      </w:tblGrid>
      <w:tr w:rsidR="00FF3808" w:rsidRPr="000907D3" w:rsidTr="001F1E2D">
        <w:trPr>
          <w:trHeight w:val="315"/>
          <w:jc w:val="center"/>
        </w:trPr>
        <w:tc>
          <w:tcPr>
            <w:tcW w:w="5000" w:type="pct"/>
            <w:gridSpan w:val="5"/>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bottom"/>
            <w:hideMark/>
          </w:tcPr>
          <w:p w:rsidR="00FF3808" w:rsidRPr="000D62D1" w:rsidRDefault="00FF3808" w:rsidP="001F1E2D">
            <w:pPr>
              <w:spacing w:after="0" w:line="240" w:lineRule="auto"/>
              <w:jc w:val="center"/>
              <w:rPr>
                <w:rFonts w:ascii="Adobe Caslon Pro" w:eastAsia="Times New Roman" w:hAnsi="Adobe Caslon Pro" w:cs="Arial"/>
                <w:b/>
                <w:bCs/>
                <w:color w:val="000000" w:themeColor="text1"/>
                <w:lang w:eastAsia="es-MX"/>
              </w:rPr>
            </w:pPr>
            <w:r w:rsidRPr="000D62D1">
              <w:rPr>
                <w:rFonts w:ascii="Adobe Caslon Pro" w:eastAsia="Times New Roman" w:hAnsi="Adobe Caslon Pro" w:cs="Arial"/>
                <w:b/>
                <w:bCs/>
                <w:color w:val="000000" w:themeColor="text1"/>
                <w:lang w:eastAsia="es-MX"/>
              </w:rPr>
              <w:t>PROPÓSITO</w:t>
            </w:r>
          </w:p>
        </w:tc>
      </w:tr>
      <w:tr w:rsidR="00FF3808" w:rsidRPr="000907D3" w:rsidTr="001F1E2D">
        <w:trPr>
          <w:trHeight w:val="300"/>
          <w:jc w:val="center"/>
        </w:trPr>
        <w:tc>
          <w:tcPr>
            <w:tcW w:w="1504" w:type="pct"/>
            <w:vMerge w:val="restart"/>
            <w:tcBorders>
              <w:top w:val="nil"/>
              <w:left w:val="single" w:sz="8" w:space="0" w:color="auto"/>
              <w:bottom w:val="single" w:sz="8" w:space="0" w:color="000000"/>
              <w:right w:val="single" w:sz="4" w:space="0" w:color="auto"/>
            </w:tcBorders>
            <w:shd w:val="clear" w:color="auto" w:fill="BFBFBF" w:themeFill="background1" w:themeFillShade="BF"/>
            <w:noWrap/>
            <w:vAlign w:val="center"/>
            <w:hideMark/>
          </w:tcPr>
          <w:p w:rsidR="00FF3808" w:rsidRPr="000D62D1" w:rsidRDefault="00FF3808" w:rsidP="001F1E2D">
            <w:pPr>
              <w:spacing w:after="120" w:line="240" w:lineRule="auto"/>
              <w:jc w:val="center"/>
              <w:rPr>
                <w:rFonts w:ascii="Adobe Caslon Pro" w:eastAsia="Times New Roman" w:hAnsi="Adobe Caslon Pro" w:cs="Arial"/>
                <w:color w:val="000000" w:themeColor="text1"/>
                <w:lang w:eastAsia="es-MX"/>
              </w:rPr>
            </w:pPr>
            <w:r w:rsidRPr="000D62D1">
              <w:rPr>
                <w:rFonts w:ascii="Adobe Caslon Pro" w:eastAsia="Times New Roman" w:hAnsi="Adobe Caslon Pro" w:cs="Arial"/>
                <w:color w:val="000000" w:themeColor="text1"/>
                <w:lang w:eastAsia="es-MX"/>
              </w:rPr>
              <w:t>Objetivos</w:t>
            </w:r>
          </w:p>
        </w:tc>
        <w:tc>
          <w:tcPr>
            <w:tcW w:w="2324" w:type="pct"/>
            <w:gridSpan w:val="3"/>
            <w:tcBorders>
              <w:top w:val="nil"/>
              <w:left w:val="nil"/>
              <w:bottom w:val="single" w:sz="4" w:space="0" w:color="auto"/>
              <w:right w:val="single" w:sz="4" w:space="0" w:color="auto"/>
            </w:tcBorders>
            <w:shd w:val="clear" w:color="auto" w:fill="BFBFBF" w:themeFill="background1" w:themeFillShade="BF"/>
            <w:noWrap/>
            <w:vAlign w:val="bottom"/>
            <w:hideMark/>
          </w:tcPr>
          <w:p w:rsidR="00FF3808" w:rsidRPr="000D62D1" w:rsidRDefault="00FF3808" w:rsidP="001F1E2D">
            <w:pPr>
              <w:spacing w:after="120" w:line="240" w:lineRule="auto"/>
              <w:jc w:val="center"/>
              <w:rPr>
                <w:rFonts w:ascii="Adobe Caslon Pro" w:eastAsia="Times New Roman" w:hAnsi="Adobe Caslon Pro" w:cs="Arial"/>
                <w:color w:val="000000" w:themeColor="text1"/>
                <w:lang w:eastAsia="es-MX"/>
              </w:rPr>
            </w:pPr>
            <w:r w:rsidRPr="000D62D1">
              <w:rPr>
                <w:rFonts w:ascii="Adobe Caslon Pro" w:eastAsia="Times New Roman" w:hAnsi="Adobe Caslon Pro" w:cs="Arial"/>
                <w:color w:val="000000" w:themeColor="text1"/>
                <w:lang w:eastAsia="es-MX"/>
              </w:rPr>
              <w:t>Indicador</w:t>
            </w:r>
          </w:p>
        </w:tc>
        <w:tc>
          <w:tcPr>
            <w:tcW w:w="1172" w:type="pct"/>
            <w:vMerge w:val="restart"/>
            <w:tcBorders>
              <w:top w:val="nil"/>
              <w:left w:val="single" w:sz="4" w:space="0" w:color="auto"/>
              <w:bottom w:val="single" w:sz="8" w:space="0" w:color="000000"/>
              <w:right w:val="single" w:sz="8" w:space="0" w:color="auto"/>
            </w:tcBorders>
            <w:shd w:val="clear" w:color="auto" w:fill="BFBFBF" w:themeFill="background1" w:themeFillShade="BF"/>
            <w:noWrap/>
            <w:vAlign w:val="center"/>
            <w:hideMark/>
          </w:tcPr>
          <w:p w:rsidR="00FF3808" w:rsidRPr="000D62D1" w:rsidRDefault="00FF3808" w:rsidP="001F1E2D">
            <w:pPr>
              <w:spacing w:after="120" w:line="240" w:lineRule="auto"/>
              <w:jc w:val="center"/>
              <w:rPr>
                <w:rFonts w:ascii="Adobe Caslon Pro" w:eastAsia="Times New Roman" w:hAnsi="Adobe Caslon Pro" w:cs="Arial"/>
                <w:color w:val="000000" w:themeColor="text1"/>
                <w:lang w:eastAsia="es-MX"/>
              </w:rPr>
            </w:pPr>
            <w:r w:rsidRPr="000D62D1">
              <w:rPr>
                <w:rFonts w:ascii="Adobe Caslon Pro" w:eastAsia="Times New Roman" w:hAnsi="Adobe Caslon Pro" w:cs="Arial"/>
                <w:color w:val="000000" w:themeColor="text1"/>
                <w:lang w:eastAsia="es-MX"/>
              </w:rPr>
              <w:t>Supuestos/Riesgos</w:t>
            </w:r>
          </w:p>
        </w:tc>
      </w:tr>
      <w:tr w:rsidR="00FF3808" w:rsidRPr="000907D3" w:rsidTr="001F1E2D">
        <w:trPr>
          <w:trHeight w:val="315"/>
          <w:jc w:val="center"/>
        </w:trPr>
        <w:tc>
          <w:tcPr>
            <w:tcW w:w="1504" w:type="pct"/>
            <w:vMerge/>
            <w:tcBorders>
              <w:top w:val="nil"/>
              <w:left w:val="single" w:sz="8" w:space="0" w:color="auto"/>
              <w:bottom w:val="single" w:sz="8" w:space="0" w:color="000000"/>
              <w:right w:val="single" w:sz="4" w:space="0" w:color="auto"/>
            </w:tcBorders>
            <w:shd w:val="clear" w:color="auto" w:fill="4F6228" w:themeFill="accent3" w:themeFillShade="80"/>
            <w:vAlign w:val="center"/>
            <w:hideMark/>
          </w:tcPr>
          <w:p w:rsidR="00FF3808" w:rsidRPr="000907D3" w:rsidRDefault="00FF3808" w:rsidP="001F1E2D">
            <w:pPr>
              <w:spacing w:before="240"/>
              <w:jc w:val="center"/>
              <w:rPr>
                <w:rFonts w:ascii="Adobe Caslon Pro" w:eastAsia="Times New Roman" w:hAnsi="Adobe Caslon Pro" w:cs="Arial"/>
                <w:color w:val="FFFFFF"/>
                <w:lang w:eastAsia="es-MX"/>
              </w:rPr>
            </w:pPr>
          </w:p>
        </w:tc>
        <w:tc>
          <w:tcPr>
            <w:tcW w:w="1100" w:type="pct"/>
            <w:tcBorders>
              <w:top w:val="nil"/>
              <w:left w:val="nil"/>
              <w:bottom w:val="single" w:sz="8" w:space="0" w:color="auto"/>
              <w:right w:val="single" w:sz="4" w:space="0" w:color="auto"/>
            </w:tcBorders>
            <w:shd w:val="clear" w:color="auto" w:fill="BFBFBF" w:themeFill="background1" w:themeFillShade="BF"/>
            <w:vAlign w:val="center"/>
            <w:hideMark/>
          </w:tcPr>
          <w:p w:rsidR="00FF3808" w:rsidRPr="000D62D1" w:rsidRDefault="00FF3808" w:rsidP="001F1E2D">
            <w:pPr>
              <w:spacing w:after="120" w:line="240" w:lineRule="auto"/>
              <w:jc w:val="center"/>
              <w:rPr>
                <w:rFonts w:ascii="Adobe Caslon Pro" w:eastAsia="Times New Roman" w:hAnsi="Adobe Caslon Pro" w:cs="Arial"/>
                <w:color w:val="000000" w:themeColor="text1"/>
                <w:lang w:eastAsia="es-MX"/>
              </w:rPr>
            </w:pPr>
            <w:r w:rsidRPr="000D62D1">
              <w:rPr>
                <w:rFonts w:ascii="Adobe Caslon Pro" w:eastAsia="Times New Roman" w:hAnsi="Adobe Caslon Pro" w:cs="Arial"/>
                <w:color w:val="000000" w:themeColor="text1"/>
                <w:lang w:eastAsia="es-MX"/>
              </w:rPr>
              <w:t>Nombre del Indicador</w:t>
            </w:r>
          </w:p>
        </w:tc>
        <w:tc>
          <w:tcPr>
            <w:tcW w:w="496" w:type="pct"/>
            <w:tcBorders>
              <w:top w:val="nil"/>
              <w:left w:val="nil"/>
              <w:bottom w:val="single" w:sz="8" w:space="0" w:color="auto"/>
              <w:right w:val="single" w:sz="4" w:space="0" w:color="auto"/>
            </w:tcBorders>
            <w:shd w:val="clear" w:color="auto" w:fill="BFBFBF" w:themeFill="background1" w:themeFillShade="BF"/>
            <w:noWrap/>
            <w:vAlign w:val="center"/>
            <w:hideMark/>
          </w:tcPr>
          <w:p w:rsidR="00FF3808" w:rsidRPr="000D62D1" w:rsidRDefault="00FF3808" w:rsidP="001F1E2D">
            <w:pPr>
              <w:spacing w:after="120" w:line="240" w:lineRule="auto"/>
              <w:jc w:val="center"/>
              <w:rPr>
                <w:rFonts w:ascii="Adobe Caslon Pro" w:eastAsia="Times New Roman" w:hAnsi="Adobe Caslon Pro" w:cs="Arial"/>
                <w:color w:val="000000" w:themeColor="text1"/>
                <w:lang w:eastAsia="es-MX"/>
              </w:rPr>
            </w:pPr>
            <w:r w:rsidRPr="000D62D1">
              <w:rPr>
                <w:rFonts w:ascii="Adobe Caslon Pro" w:eastAsia="Times New Roman" w:hAnsi="Adobe Caslon Pro" w:cs="Arial"/>
                <w:color w:val="000000" w:themeColor="text1"/>
                <w:lang w:eastAsia="es-MX"/>
              </w:rPr>
              <w:t>Periodicidad</w:t>
            </w:r>
          </w:p>
        </w:tc>
        <w:tc>
          <w:tcPr>
            <w:tcW w:w="728" w:type="pct"/>
            <w:tcBorders>
              <w:top w:val="nil"/>
              <w:left w:val="nil"/>
              <w:bottom w:val="single" w:sz="8" w:space="0" w:color="auto"/>
              <w:right w:val="single" w:sz="4" w:space="0" w:color="auto"/>
            </w:tcBorders>
            <w:shd w:val="clear" w:color="auto" w:fill="BFBFBF" w:themeFill="background1" w:themeFillShade="BF"/>
            <w:noWrap/>
            <w:vAlign w:val="center"/>
            <w:hideMark/>
          </w:tcPr>
          <w:p w:rsidR="00FF3808" w:rsidRPr="000D62D1" w:rsidRDefault="00FF3808" w:rsidP="001F1E2D">
            <w:pPr>
              <w:spacing w:after="120" w:line="240" w:lineRule="auto"/>
              <w:jc w:val="center"/>
              <w:rPr>
                <w:rFonts w:ascii="Adobe Caslon Pro" w:eastAsia="Times New Roman" w:hAnsi="Adobe Caslon Pro" w:cs="Arial"/>
                <w:color w:val="000000" w:themeColor="text1"/>
                <w:lang w:eastAsia="es-MX"/>
              </w:rPr>
            </w:pPr>
            <w:r w:rsidRPr="000D62D1">
              <w:rPr>
                <w:rFonts w:ascii="Adobe Caslon Pro" w:eastAsia="Times New Roman" w:hAnsi="Adobe Caslon Pro" w:cs="Arial"/>
                <w:color w:val="000000" w:themeColor="text1"/>
                <w:lang w:eastAsia="es-MX"/>
              </w:rPr>
              <w:t>Fuente</w:t>
            </w:r>
          </w:p>
        </w:tc>
        <w:tc>
          <w:tcPr>
            <w:tcW w:w="1172" w:type="pct"/>
            <w:vMerge/>
            <w:tcBorders>
              <w:top w:val="nil"/>
              <w:left w:val="single" w:sz="4" w:space="0" w:color="auto"/>
              <w:bottom w:val="single" w:sz="8" w:space="0" w:color="000000"/>
              <w:right w:val="single" w:sz="8" w:space="0" w:color="auto"/>
            </w:tcBorders>
            <w:shd w:val="clear" w:color="auto" w:fill="4F6228" w:themeFill="accent3" w:themeFillShade="80"/>
            <w:vAlign w:val="center"/>
            <w:hideMark/>
          </w:tcPr>
          <w:p w:rsidR="00FF3808" w:rsidRPr="000907D3" w:rsidRDefault="00FF3808" w:rsidP="001F1E2D">
            <w:pPr>
              <w:spacing w:before="240"/>
              <w:jc w:val="center"/>
              <w:rPr>
                <w:rFonts w:ascii="Adobe Caslon Pro" w:eastAsia="Times New Roman" w:hAnsi="Adobe Caslon Pro" w:cs="Arial"/>
                <w:color w:val="FFFFFF"/>
                <w:lang w:eastAsia="es-MX"/>
              </w:rPr>
            </w:pPr>
          </w:p>
        </w:tc>
      </w:tr>
      <w:tr w:rsidR="00FF3808" w:rsidRPr="000907D3" w:rsidTr="001F1E2D">
        <w:trPr>
          <w:trHeight w:val="1875"/>
          <w:jc w:val="center"/>
        </w:trPr>
        <w:tc>
          <w:tcPr>
            <w:tcW w:w="1504" w:type="pct"/>
            <w:vMerge w:val="restart"/>
            <w:tcBorders>
              <w:top w:val="nil"/>
              <w:left w:val="single" w:sz="8" w:space="0" w:color="auto"/>
              <w:bottom w:val="nil"/>
              <w:right w:val="single" w:sz="8" w:space="0" w:color="auto"/>
            </w:tcBorders>
            <w:shd w:val="clear" w:color="auto" w:fill="auto"/>
            <w:vAlign w:val="center"/>
            <w:hideMark/>
          </w:tcPr>
          <w:p w:rsidR="00FF3808" w:rsidRPr="000907D3" w:rsidRDefault="00FF3808" w:rsidP="001F1E2D">
            <w:pPr>
              <w:spacing w:after="0" w:line="240" w:lineRule="auto"/>
              <w:jc w:val="both"/>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Actores sociales fortalecen su capacidad para instrumentar acciones de fomento a la cohesión y al capital social de grupos y regiones que viven en situación de vulnerabilidad y exclusión</w:t>
            </w:r>
            <w:r>
              <w:rPr>
                <w:rFonts w:ascii="Adobe Caslon Pro" w:eastAsia="Times New Roman" w:hAnsi="Adobe Caslon Pro" w:cs="Arial"/>
                <w:color w:val="000000"/>
                <w:lang w:eastAsia="es-MX"/>
              </w:rPr>
              <w:t>.</w:t>
            </w:r>
          </w:p>
        </w:tc>
        <w:tc>
          <w:tcPr>
            <w:tcW w:w="1100" w:type="pct"/>
            <w:tcBorders>
              <w:top w:val="nil"/>
              <w:left w:val="nil"/>
              <w:bottom w:val="nil"/>
              <w:right w:val="single" w:sz="4" w:space="0" w:color="auto"/>
            </w:tcBorders>
            <w:shd w:val="clear" w:color="auto" w:fill="auto"/>
            <w:vAlign w:val="center"/>
            <w:hideMark/>
          </w:tcPr>
          <w:p w:rsidR="00FF3808" w:rsidRPr="000907D3" w:rsidRDefault="00FF3808" w:rsidP="001F1E2D">
            <w:pPr>
              <w:spacing w:after="0" w:line="240" w:lineRule="auto"/>
              <w:jc w:val="both"/>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Porcentaje de actores sociales que incrementaron su inversión en infraestructura respecto del total apoyado</w:t>
            </w:r>
            <w:r>
              <w:rPr>
                <w:rFonts w:ascii="Adobe Caslon Pro" w:eastAsia="Times New Roman" w:hAnsi="Adobe Caslon Pro" w:cs="Arial"/>
                <w:color w:val="000000"/>
                <w:lang w:eastAsia="es-MX"/>
              </w:rPr>
              <w:t>.</w:t>
            </w:r>
          </w:p>
        </w:tc>
        <w:tc>
          <w:tcPr>
            <w:tcW w:w="496" w:type="pct"/>
            <w:tcBorders>
              <w:top w:val="nil"/>
              <w:left w:val="nil"/>
              <w:bottom w:val="nil"/>
              <w:right w:val="single" w:sz="4" w:space="0" w:color="auto"/>
            </w:tcBorders>
            <w:shd w:val="clear" w:color="auto" w:fill="auto"/>
            <w:vAlign w:val="center"/>
            <w:hideMark/>
          </w:tcPr>
          <w:p w:rsidR="00FF3808" w:rsidRPr="000907D3" w:rsidRDefault="00FF3808" w:rsidP="001F1E2D">
            <w:pPr>
              <w:spacing w:after="0" w:line="240" w:lineRule="auto"/>
              <w:jc w:val="both"/>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anual</w:t>
            </w:r>
          </w:p>
        </w:tc>
        <w:tc>
          <w:tcPr>
            <w:tcW w:w="728" w:type="pct"/>
            <w:tcBorders>
              <w:top w:val="nil"/>
              <w:left w:val="nil"/>
              <w:bottom w:val="nil"/>
              <w:right w:val="single" w:sz="8" w:space="0" w:color="auto"/>
            </w:tcBorders>
            <w:shd w:val="clear" w:color="auto" w:fill="auto"/>
            <w:vAlign w:val="center"/>
            <w:hideMark/>
          </w:tcPr>
          <w:p w:rsidR="00FF3808" w:rsidRPr="000907D3" w:rsidRDefault="0001559B" w:rsidP="001F1E2D">
            <w:pPr>
              <w:spacing w:after="0" w:line="240" w:lineRule="auto"/>
              <w:jc w:val="both"/>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Sistema de Gestión de Proyectos</w:t>
            </w:r>
          </w:p>
        </w:tc>
        <w:tc>
          <w:tcPr>
            <w:tcW w:w="1172" w:type="pct"/>
            <w:vMerge w:val="restart"/>
            <w:tcBorders>
              <w:top w:val="nil"/>
              <w:left w:val="single" w:sz="8" w:space="0" w:color="auto"/>
              <w:bottom w:val="nil"/>
              <w:right w:val="single" w:sz="8" w:space="0" w:color="auto"/>
            </w:tcBorders>
            <w:shd w:val="clear" w:color="auto" w:fill="auto"/>
            <w:vAlign w:val="center"/>
            <w:hideMark/>
          </w:tcPr>
          <w:p w:rsidR="00FF3808" w:rsidRPr="000907D3" w:rsidRDefault="0001559B" w:rsidP="001F1E2D">
            <w:pPr>
              <w:spacing w:after="0" w:line="240" w:lineRule="auto"/>
              <w:jc w:val="both"/>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Los actores sociales aplican los apoyos para el fortalecimiento de su capacidad de autogestión y desarrollan actividades</w:t>
            </w:r>
            <w:r>
              <w:rPr>
                <w:rFonts w:ascii="Adobe Caslon Pro" w:eastAsia="Times New Roman" w:hAnsi="Adobe Caslon Pro" w:cs="Arial"/>
                <w:color w:val="000000"/>
                <w:lang w:eastAsia="es-MX"/>
              </w:rPr>
              <w:t xml:space="preserve"> </w:t>
            </w:r>
            <w:r w:rsidRPr="000907D3">
              <w:rPr>
                <w:rFonts w:ascii="Adobe Caslon Pro" w:eastAsia="Times New Roman" w:hAnsi="Adobe Caslon Pro" w:cs="Arial"/>
                <w:color w:val="000000"/>
                <w:lang w:eastAsia="es-MX"/>
              </w:rPr>
              <w:t>de fomento a la cohesión y al capital social en regiones en situación de vulnerabilidad.</w:t>
            </w:r>
          </w:p>
        </w:tc>
      </w:tr>
      <w:tr w:rsidR="00FF3808" w:rsidRPr="000907D3" w:rsidTr="001F1E2D">
        <w:trPr>
          <w:trHeight w:val="2100"/>
          <w:jc w:val="center"/>
        </w:trPr>
        <w:tc>
          <w:tcPr>
            <w:tcW w:w="1504" w:type="pct"/>
            <w:vMerge/>
            <w:tcBorders>
              <w:top w:val="nil"/>
              <w:left w:val="single" w:sz="8" w:space="0" w:color="auto"/>
              <w:bottom w:val="single" w:sz="8" w:space="0" w:color="auto"/>
              <w:right w:val="single" w:sz="8" w:space="0" w:color="auto"/>
            </w:tcBorders>
            <w:vAlign w:val="center"/>
            <w:hideMark/>
          </w:tcPr>
          <w:p w:rsidR="00FF3808" w:rsidRPr="000907D3" w:rsidRDefault="00FF3808" w:rsidP="001F1E2D">
            <w:pPr>
              <w:spacing w:after="0" w:line="240" w:lineRule="auto"/>
              <w:jc w:val="both"/>
              <w:rPr>
                <w:rFonts w:ascii="Adobe Caslon Pro" w:eastAsia="Times New Roman" w:hAnsi="Adobe Caslon Pro" w:cs="Arial"/>
                <w:color w:val="000000"/>
                <w:lang w:eastAsia="es-MX"/>
              </w:rPr>
            </w:pPr>
          </w:p>
        </w:tc>
        <w:tc>
          <w:tcPr>
            <w:tcW w:w="1100" w:type="pct"/>
            <w:tcBorders>
              <w:top w:val="nil"/>
              <w:left w:val="nil"/>
              <w:bottom w:val="single" w:sz="8" w:space="0" w:color="auto"/>
              <w:right w:val="single" w:sz="4" w:space="0" w:color="auto"/>
            </w:tcBorders>
            <w:shd w:val="clear" w:color="auto" w:fill="auto"/>
            <w:vAlign w:val="center"/>
            <w:hideMark/>
          </w:tcPr>
          <w:p w:rsidR="00FF3808" w:rsidRPr="00FF3808" w:rsidRDefault="00FF3808" w:rsidP="001F1E2D">
            <w:pPr>
              <w:spacing w:after="0" w:line="240" w:lineRule="auto"/>
              <w:jc w:val="both"/>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Índice de Fortalecimiento Institucional</w:t>
            </w:r>
            <w:r>
              <w:rPr>
                <w:rFonts w:ascii="Adobe Caslon Pro" w:eastAsia="Times New Roman" w:hAnsi="Adobe Caslon Pro" w:cs="Arial"/>
                <w:color w:val="000000"/>
                <w:lang w:eastAsia="es-MX"/>
              </w:rPr>
              <w:t>.</w:t>
            </w:r>
          </w:p>
        </w:tc>
        <w:tc>
          <w:tcPr>
            <w:tcW w:w="496" w:type="pct"/>
            <w:tcBorders>
              <w:top w:val="nil"/>
              <w:left w:val="nil"/>
              <w:bottom w:val="single" w:sz="8" w:space="0" w:color="auto"/>
              <w:right w:val="single" w:sz="4" w:space="0" w:color="auto"/>
            </w:tcBorders>
            <w:shd w:val="clear" w:color="auto" w:fill="auto"/>
            <w:vAlign w:val="center"/>
            <w:hideMark/>
          </w:tcPr>
          <w:p w:rsidR="00FF3808" w:rsidRPr="00FF3808" w:rsidRDefault="00FF3808" w:rsidP="001F1E2D">
            <w:pPr>
              <w:spacing w:after="0" w:line="240" w:lineRule="auto"/>
              <w:jc w:val="both"/>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anual</w:t>
            </w:r>
          </w:p>
        </w:tc>
        <w:tc>
          <w:tcPr>
            <w:tcW w:w="728" w:type="pct"/>
            <w:tcBorders>
              <w:top w:val="nil"/>
              <w:left w:val="nil"/>
              <w:bottom w:val="single" w:sz="8" w:space="0" w:color="auto"/>
              <w:right w:val="single" w:sz="8" w:space="0" w:color="auto"/>
            </w:tcBorders>
            <w:shd w:val="clear" w:color="auto" w:fill="auto"/>
            <w:vAlign w:val="center"/>
            <w:hideMark/>
          </w:tcPr>
          <w:p w:rsidR="00FF3808" w:rsidRPr="000907D3" w:rsidRDefault="0001559B" w:rsidP="001F1E2D">
            <w:pPr>
              <w:spacing w:after="0" w:line="240" w:lineRule="auto"/>
              <w:jc w:val="both"/>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 xml:space="preserve">Evaluación del fortalecimiento institucional de las OSC beneficiarias por </w:t>
            </w:r>
            <w:r>
              <w:rPr>
                <w:rFonts w:ascii="Adobe Caslon Pro" w:eastAsia="Times New Roman" w:hAnsi="Adobe Caslon Pro" w:cs="Arial"/>
                <w:color w:val="000000"/>
                <w:lang w:eastAsia="es-MX"/>
              </w:rPr>
              <w:t>INDESOL</w:t>
            </w:r>
          </w:p>
        </w:tc>
        <w:tc>
          <w:tcPr>
            <w:tcW w:w="1172" w:type="pct"/>
            <w:vMerge/>
            <w:tcBorders>
              <w:top w:val="nil"/>
              <w:left w:val="single" w:sz="8" w:space="0" w:color="auto"/>
              <w:bottom w:val="single" w:sz="8" w:space="0" w:color="auto"/>
              <w:right w:val="single" w:sz="8" w:space="0" w:color="auto"/>
            </w:tcBorders>
            <w:vAlign w:val="center"/>
            <w:hideMark/>
          </w:tcPr>
          <w:p w:rsidR="00FF3808" w:rsidRPr="000907D3" w:rsidRDefault="00FF3808" w:rsidP="00026506">
            <w:pPr>
              <w:spacing w:before="240"/>
              <w:jc w:val="both"/>
              <w:rPr>
                <w:rFonts w:ascii="Adobe Caslon Pro" w:eastAsia="Times New Roman" w:hAnsi="Adobe Caslon Pro" w:cs="Arial"/>
                <w:color w:val="000000"/>
                <w:lang w:eastAsia="es-MX"/>
              </w:rPr>
            </w:pPr>
          </w:p>
        </w:tc>
      </w:tr>
    </w:tbl>
    <w:p w:rsidR="00FF3808" w:rsidRDefault="00FF3808" w:rsidP="00026506">
      <w:pPr>
        <w:spacing w:before="240"/>
        <w:jc w:val="both"/>
        <w:rPr>
          <w:rFonts w:ascii="Adobe Caslon Pro" w:hAnsi="Adobe Caslon Pro" w:cs="Arial"/>
        </w:rPr>
      </w:pPr>
    </w:p>
    <w:p w:rsidR="00FF3808" w:rsidRDefault="00FF3808" w:rsidP="00026506">
      <w:pPr>
        <w:spacing w:before="240"/>
        <w:jc w:val="both"/>
        <w:rPr>
          <w:rFonts w:ascii="Adobe Caslon Pro" w:hAnsi="Adobe Caslon Pro" w:cs="Arial"/>
        </w:rPr>
      </w:pPr>
    </w:p>
    <w:p w:rsidR="00FF3808" w:rsidRDefault="00FF3808" w:rsidP="00026506">
      <w:pPr>
        <w:spacing w:before="240"/>
        <w:jc w:val="both"/>
        <w:rPr>
          <w:rFonts w:ascii="Adobe Caslon Pro" w:hAnsi="Adobe Caslon Pro" w:cs="Arial"/>
        </w:rPr>
      </w:pPr>
    </w:p>
    <w:p w:rsidR="00FF3808" w:rsidRPr="000907D3" w:rsidRDefault="00FF3808" w:rsidP="00026506">
      <w:pPr>
        <w:spacing w:before="240"/>
        <w:jc w:val="both"/>
        <w:rPr>
          <w:rFonts w:ascii="Adobe Caslon Pro" w:hAnsi="Adobe Caslon Pro" w:cs="Arial"/>
        </w:rPr>
      </w:pPr>
    </w:p>
    <w:p w:rsidR="0001559B" w:rsidRDefault="0001559B" w:rsidP="00026506">
      <w:pPr>
        <w:spacing w:before="240"/>
        <w:jc w:val="both"/>
        <w:rPr>
          <w:rFonts w:ascii="Adobe Caslon Pro" w:hAnsi="Adobe Caslon Pro" w:cs="Arial"/>
        </w:rPr>
      </w:pPr>
    </w:p>
    <w:tbl>
      <w:tblPr>
        <w:tblW w:w="12633" w:type="dxa"/>
        <w:jc w:val="center"/>
        <w:tblInd w:w="55" w:type="dxa"/>
        <w:tblCellMar>
          <w:left w:w="70" w:type="dxa"/>
          <w:right w:w="70" w:type="dxa"/>
        </w:tblCellMar>
        <w:tblLook w:val="04A0" w:firstRow="1" w:lastRow="0" w:firstColumn="1" w:lastColumn="0" w:noHBand="0" w:noVBand="1"/>
      </w:tblPr>
      <w:tblGrid>
        <w:gridCol w:w="3800"/>
        <w:gridCol w:w="2776"/>
        <w:gridCol w:w="1257"/>
        <w:gridCol w:w="1840"/>
        <w:gridCol w:w="2960"/>
      </w:tblGrid>
      <w:tr w:rsidR="00CF536D" w:rsidRPr="000907D3" w:rsidTr="00DB54B1">
        <w:trPr>
          <w:trHeight w:val="315"/>
          <w:jc w:val="center"/>
        </w:trPr>
        <w:tc>
          <w:tcPr>
            <w:tcW w:w="12633" w:type="dxa"/>
            <w:gridSpan w:val="5"/>
            <w:tcBorders>
              <w:top w:val="single" w:sz="8" w:space="0" w:color="auto"/>
              <w:left w:val="single" w:sz="8" w:space="0" w:color="auto"/>
              <w:bottom w:val="single" w:sz="4" w:space="0" w:color="auto"/>
              <w:right w:val="single" w:sz="8" w:space="0" w:color="000000"/>
            </w:tcBorders>
            <w:shd w:val="clear" w:color="auto" w:fill="BFBFBF" w:themeFill="background1" w:themeFillShade="BF"/>
            <w:noWrap/>
            <w:vAlign w:val="bottom"/>
            <w:hideMark/>
          </w:tcPr>
          <w:p w:rsidR="00CF536D" w:rsidRPr="000D62D1" w:rsidRDefault="00CF536D" w:rsidP="00DB54B1">
            <w:pPr>
              <w:spacing w:after="0" w:line="240" w:lineRule="auto"/>
              <w:jc w:val="center"/>
              <w:rPr>
                <w:rFonts w:ascii="Adobe Caslon Pro" w:eastAsia="Times New Roman" w:hAnsi="Adobe Caslon Pro" w:cs="Arial"/>
                <w:b/>
                <w:bCs/>
                <w:color w:val="000000" w:themeColor="text1"/>
                <w:lang w:eastAsia="es-MX"/>
              </w:rPr>
            </w:pPr>
            <w:r w:rsidRPr="000D62D1">
              <w:rPr>
                <w:rFonts w:ascii="Adobe Caslon Pro" w:eastAsia="Times New Roman" w:hAnsi="Adobe Caslon Pro" w:cs="Arial"/>
                <w:b/>
                <w:bCs/>
                <w:color w:val="000000" w:themeColor="text1"/>
                <w:lang w:eastAsia="es-MX"/>
              </w:rPr>
              <w:t>COMPONENTES</w:t>
            </w:r>
          </w:p>
        </w:tc>
      </w:tr>
      <w:tr w:rsidR="00CF536D" w:rsidRPr="000907D3" w:rsidTr="00DB54B1">
        <w:trPr>
          <w:trHeight w:val="300"/>
          <w:jc w:val="center"/>
        </w:trPr>
        <w:tc>
          <w:tcPr>
            <w:tcW w:w="3800" w:type="dxa"/>
            <w:vMerge w:val="restart"/>
            <w:tcBorders>
              <w:top w:val="nil"/>
              <w:left w:val="single" w:sz="8" w:space="0" w:color="auto"/>
              <w:bottom w:val="single" w:sz="4" w:space="0" w:color="auto"/>
              <w:right w:val="nil"/>
            </w:tcBorders>
            <w:shd w:val="clear" w:color="auto" w:fill="BFBFBF" w:themeFill="background1" w:themeFillShade="BF"/>
            <w:noWrap/>
            <w:vAlign w:val="center"/>
            <w:hideMark/>
          </w:tcPr>
          <w:p w:rsidR="00CF536D" w:rsidRPr="000907D3" w:rsidRDefault="00CF536D" w:rsidP="00DB54B1">
            <w:pPr>
              <w:spacing w:after="0" w:line="240" w:lineRule="auto"/>
              <w:jc w:val="center"/>
              <w:rPr>
                <w:rFonts w:ascii="Adobe Caslon Pro" w:eastAsia="Times New Roman" w:hAnsi="Adobe Caslon Pro" w:cs="Arial"/>
                <w:color w:val="FFFFFF"/>
                <w:lang w:eastAsia="es-MX"/>
              </w:rPr>
            </w:pPr>
            <w:r w:rsidRPr="000D62D1">
              <w:rPr>
                <w:rFonts w:ascii="Adobe Caslon Pro" w:eastAsia="Times New Roman" w:hAnsi="Adobe Caslon Pro" w:cs="Arial"/>
                <w:color w:val="000000" w:themeColor="text1"/>
                <w:lang w:eastAsia="es-MX"/>
              </w:rPr>
              <w:t>Objetivos</w:t>
            </w:r>
          </w:p>
        </w:tc>
        <w:tc>
          <w:tcPr>
            <w:tcW w:w="5873" w:type="dxa"/>
            <w:gridSpan w:val="3"/>
            <w:tcBorders>
              <w:top w:val="single" w:sz="8" w:space="0" w:color="auto"/>
              <w:left w:val="single" w:sz="8" w:space="0" w:color="auto"/>
              <w:bottom w:val="single" w:sz="4" w:space="0" w:color="auto"/>
              <w:right w:val="single" w:sz="8" w:space="0" w:color="000000"/>
            </w:tcBorders>
            <w:shd w:val="clear" w:color="auto" w:fill="BFBFBF" w:themeFill="background1" w:themeFillShade="BF"/>
            <w:noWrap/>
            <w:vAlign w:val="bottom"/>
            <w:hideMark/>
          </w:tcPr>
          <w:p w:rsidR="00CF536D" w:rsidRPr="000D62D1" w:rsidRDefault="00CF536D" w:rsidP="00DB54B1">
            <w:pPr>
              <w:spacing w:after="0" w:line="240" w:lineRule="auto"/>
              <w:jc w:val="center"/>
              <w:rPr>
                <w:rFonts w:ascii="Adobe Caslon Pro" w:eastAsia="Times New Roman" w:hAnsi="Adobe Caslon Pro" w:cs="Arial"/>
                <w:color w:val="000000" w:themeColor="text1"/>
                <w:lang w:eastAsia="es-MX"/>
              </w:rPr>
            </w:pPr>
            <w:r w:rsidRPr="000D62D1">
              <w:rPr>
                <w:rFonts w:ascii="Adobe Caslon Pro" w:eastAsia="Times New Roman" w:hAnsi="Adobe Caslon Pro" w:cs="Arial"/>
                <w:color w:val="000000" w:themeColor="text1"/>
                <w:lang w:eastAsia="es-MX"/>
              </w:rPr>
              <w:t>Indicador</w:t>
            </w:r>
          </w:p>
        </w:tc>
        <w:tc>
          <w:tcPr>
            <w:tcW w:w="2960" w:type="dxa"/>
            <w:vMerge w:val="restart"/>
            <w:tcBorders>
              <w:top w:val="nil"/>
              <w:left w:val="nil"/>
              <w:bottom w:val="single" w:sz="8" w:space="0" w:color="000000"/>
              <w:right w:val="single" w:sz="8" w:space="0" w:color="auto"/>
            </w:tcBorders>
            <w:shd w:val="clear" w:color="auto" w:fill="BFBFBF" w:themeFill="background1" w:themeFillShade="BF"/>
            <w:noWrap/>
            <w:vAlign w:val="center"/>
            <w:hideMark/>
          </w:tcPr>
          <w:p w:rsidR="00CF536D" w:rsidRPr="000907D3" w:rsidRDefault="00CF536D" w:rsidP="00DB54B1">
            <w:pPr>
              <w:spacing w:before="240"/>
              <w:jc w:val="center"/>
              <w:rPr>
                <w:rFonts w:ascii="Adobe Caslon Pro" w:eastAsia="Times New Roman" w:hAnsi="Adobe Caslon Pro" w:cs="Arial"/>
                <w:color w:val="FFFFFF"/>
                <w:lang w:eastAsia="es-MX"/>
              </w:rPr>
            </w:pPr>
            <w:r w:rsidRPr="000D62D1">
              <w:rPr>
                <w:rFonts w:ascii="Adobe Caslon Pro" w:eastAsia="Times New Roman" w:hAnsi="Adobe Caslon Pro" w:cs="Arial"/>
                <w:color w:val="000000" w:themeColor="text1"/>
                <w:lang w:eastAsia="es-MX"/>
              </w:rPr>
              <w:t>Supuestos/Riesgos</w:t>
            </w:r>
          </w:p>
        </w:tc>
      </w:tr>
      <w:tr w:rsidR="00CF536D" w:rsidRPr="000907D3" w:rsidTr="00DB54B1">
        <w:trPr>
          <w:trHeight w:val="315"/>
          <w:jc w:val="center"/>
        </w:trPr>
        <w:tc>
          <w:tcPr>
            <w:tcW w:w="3800" w:type="dxa"/>
            <w:vMerge/>
            <w:tcBorders>
              <w:top w:val="nil"/>
              <w:left w:val="single" w:sz="8" w:space="0" w:color="auto"/>
              <w:bottom w:val="single" w:sz="4" w:space="0" w:color="auto"/>
              <w:right w:val="nil"/>
            </w:tcBorders>
            <w:shd w:val="clear" w:color="auto" w:fill="4F6228" w:themeFill="accent3" w:themeFillShade="80"/>
            <w:vAlign w:val="center"/>
            <w:hideMark/>
          </w:tcPr>
          <w:p w:rsidR="00CF536D" w:rsidRPr="000907D3" w:rsidRDefault="00CF536D" w:rsidP="00DB54B1">
            <w:pPr>
              <w:spacing w:after="0" w:line="240" w:lineRule="auto"/>
              <w:jc w:val="both"/>
              <w:rPr>
                <w:rFonts w:ascii="Adobe Caslon Pro" w:eastAsia="Times New Roman" w:hAnsi="Adobe Caslon Pro" w:cs="Arial"/>
                <w:color w:val="FFFFFF"/>
                <w:lang w:eastAsia="es-MX"/>
              </w:rPr>
            </w:pPr>
          </w:p>
        </w:tc>
        <w:tc>
          <w:tcPr>
            <w:tcW w:w="2776" w:type="dxa"/>
            <w:tcBorders>
              <w:top w:val="nil"/>
              <w:left w:val="single" w:sz="8" w:space="0" w:color="auto"/>
              <w:bottom w:val="nil"/>
              <w:right w:val="single" w:sz="4" w:space="0" w:color="auto"/>
            </w:tcBorders>
            <w:shd w:val="clear" w:color="auto" w:fill="BFBFBF" w:themeFill="background1" w:themeFillShade="BF"/>
            <w:vAlign w:val="center"/>
            <w:hideMark/>
          </w:tcPr>
          <w:p w:rsidR="00CF536D" w:rsidRPr="000D62D1" w:rsidRDefault="00CF536D" w:rsidP="00DB54B1">
            <w:pPr>
              <w:spacing w:after="0" w:line="240" w:lineRule="auto"/>
              <w:jc w:val="center"/>
              <w:rPr>
                <w:rFonts w:ascii="Adobe Caslon Pro" w:eastAsia="Times New Roman" w:hAnsi="Adobe Caslon Pro" w:cs="Arial"/>
                <w:color w:val="000000" w:themeColor="text1"/>
                <w:lang w:eastAsia="es-MX"/>
              </w:rPr>
            </w:pPr>
            <w:r w:rsidRPr="000D62D1">
              <w:rPr>
                <w:rFonts w:ascii="Adobe Caslon Pro" w:eastAsia="Times New Roman" w:hAnsi="Adobe Caslon Pro" w:cs="Arial"/>
                <w:color w:val="000000" w:themeColor="text1"/>
                <w:lang w:eastAsia="es-MX"/>
              </w:rPr>
              <w:t>Nombre del Indicador</w:t>
            </w:r>
          </w:p>
        </w:tc>
        <w:tc>
          <w:tcPr>
            <w:tcW w:w="1257" w:type="dxa"/>
            <w:tcBorders>
              <w:top w:val="nil"/>
              <w:left w:val="nil"/>
              <w:bottom w:val="nil"/>
              <w:right w:val="single" w:sz="4" w:space="0" w:color="auto"/>
            </w:tcBorders>
            <w:shd w:val="clear" w:color="auto" w:fill="BFBFBF" w:themeFill="background1" w:themeFillShade="BF"/>
            <w:noWrap/>
            <w:vAlign w:val="center"/>
            <w:hideMark/>
          </w:tcPr>
          <w:p w:rsidR="00CF536D" w:rsidRPr="000D62D1" w:rsidRDefault="00CF536D" w:rsidP="00DB54B1">
            <w:pPr>
              <w:spacing w:after="0" w:line="240" w:lineRule="auto"/>
              <w:jc w:val="center"/>
              <w:rPr>
                <w:rFonts w:ascii="Adobe Caslon Pro" w:eastAsia="Times New Roman" w:hAnsi="Adobe Caslon Pro" w:cs="Arial"/>
                <w:color w:val="000000" w:themeColor="text1"/>
                <w:lang w:eastAsia="es-MX"/>
              </w:rPr>
            </w:pPr>
            <w:r w:rsidRPr="000D62D1">
              <w:rPr>
                <w:rFonts w:ascii="Adobe Caslon Pro" w:eastAsia="Times New Roman" w:hAnsi="Adobe Caslon Pro" w:cs="Arial"/>
                <w:color w:val="000000" w:themeColor="text1"/>
                <w:lang w:eastAsia="es-MX"/>
              </w:rPr>
              <w:t>Periodicidad</w:t>
            </w:r>
          </w:p>
        </w:tc>
        <w:tc>
          <w:tcPr>
            <w:tcW w:w="1840" w:type="dxa"/>
            <w:tcBorders>
              <w:top w:val="nil"/>
              <w:left w:val="nil"/>
              <w:bottom w:val="nil"/>
              <w:right w:val="single" w:sz="8" w:space="0" w:color="auto"/>
            </w:tcBorders>
            <w:shd w:val="clear" w:color="auto" w:fill="BFBFBF" w:themeFill="background1" w:themeFillShade="BF"/>
            <w:noWrap/>
            <w:vAlign w:val="center"/>
            <w:hideMark/>
          </w:tcPr>
          <w:p w:rsidR="00CF536D" w:rsidRPr="000D62D1" w:rsidRDefault="00CF536D" w:rsidP="00DB54B1">
            <w:pPr>
              <w:spacing w:after="0" w:line="240" w:lineRule="auto"/>
              <w:jc w:val="center"/>
              <w:rPr>
                <w:rFonts w:ascii="Adobe Caslon Pro" w:eastAsia="Times New Roman" w:hAnsi="Adobe Caslon Pro" w:cs="Arial"/>
                <w:color w:val="000000" w:themeColor="text1"/>
                <w:lang w:eastAsia="es-MX"/>
              </w:rPr>
            </w:pPr>
            <w:r w:rsidRPr="000D62D1">
              <w:rPr>
                <w:rFonts w:ascii="Adobe Caslon Pro" w:eastAsia="Times New Roman" w:hAnsi="Adobe Caslon Pro" w:cs="Arial"/>
                <w:color w:val="000000" w:themeColor="text1"/>
                <w:lang w:eastAsia="es-MX"/>
              </w:rPr>
              <w:t>Fuente</w:t>
            </w:r>
          </w:p>
        </w:tc>
        <w:tc>
          <w:tcPr>
            <w:tcW w:w="2960" w:type="dxa"/>
            <w:vMerge/>
            <w:tcBorders>
              <w:top w:val="nil"/>
              <w:left w:val="nil"/>
              <w:bottom w:val="single" w:sz="8" w:space="0" w:color="000000"/>
              <w:right w:val="single" w:sz="8" w:space="0" w:color="auto"/>
            </w:tcBorders>
            <w:shd w:val="clear" w:color="auto" w:fill="4F6228" w:themeFill="accent3" w:themeFillShade="80"/>
            <w:vAlign w:val="center"/>
            <w:hideMark/>
          </w:tcPr>
          <w:p w:rsidR="00CF536D" w:rsidRPr="000907D3" w:rsidRDefault="00CF536D" w:rsidP="00026506">
            <w:pPr>
              <w:spacing w:before="240"/>
              <w:jc w:val="both"/>
              <w:rPr>
                <w:rFonts w:ascii="Adobe Caslon Pro" w:eastAsia="Times New Roman" w:hAnsi="Adobe Caslon Pro" w:cs="Arial"/>
                <w:color w:val="FFFFFF"/>
                <w:lang w:eastAsia="es-MX"/>
              </w:rPr>
            </w:pPr>
          </w:p>
        </w:tc>
      </w:tr>
      <w:tr w:rsidR="00CF536D" w:rsidRPr="000907D3" w:rsidTr="00DB54B1">
        <w:trPr>
          <w:trHeight w:val="1500"/>
          <w:jc w:val="center"/>
        </w:trPr>
        <w:tc>
          <w:tcPr>
            <w:tcW w:w="3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536D" w:rsidRPr="000907D3" w:rsidRDefault="00CF536D" w:rsidP="00DB54B1">
            <w:pPr>
              <w:spacing w:after="0" w:line="240" w:lineRule="auto"/>
              <w:jc w:val="both"/>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Proyectos de Promoción del Desarrollo Humano y Social realizados</w:t>
            </w:r>
          </w:p>
        </w:tc>
        <w:tc>
          <w:tcPr>
            <w:tcW w:w="2776" w:type="dxa"/>
            <w:tcBorders>
              <w:top w:val="single" w:sz="4" w:space="0" w:color="auto"/>
              <w:left w:val="nil"/>
              <w:bottom w:val="single" w:sz="4" w:space="0" w:color="auto"/>
              <w:right w:val="single" w:sz="4" w:space="0" w:color="auto"/>
            </w:tcBorders>
            <w:shd w:val="clear" w:color="auto" w:fill="auto"/>
            <w:hideMark/>
          </w:tcPr>
          <w:p w:rsidR="00CF536D" w:rsidRPr="000907D3" w:rsidRDefault="00CF536D" w:rsidP="00DB54B1">
            <w:pPr>
              <w:spacing w:after="0" w:line="240" w:lineRule="auto"/>
              <w:jc w:val="both"/>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Porcentaje de proyectos apoyados a través de la vertiente de Promoción del Desarrollo Humano y Social</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rsidR="00CF536D" w:rsidRPr="000907D3" w:rsidRDefault="00CF536D" w:rsidP="00DB54B1">
            <w:pPr>
              <w:spacing w:after="0" w:line="240" w:lineRule="auto"/>
              <w:jc w:val="both"/>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semestral</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CF536D" w:rsidRPr="000907D3" w:rsidRDefault="00291EE5" w:rsidP="00DB54B1">
            <w:pPr>
              <w:spacing w:after="0" w:line="240" w:lineRule="auto"/>
              <w:jc w:val="both"/>
              <w:rPr>
                <w:rFonts w:ascii="Adobe Caslon Pro" w:eastAsia="Times New Roman" w:hAnsi="Adobe Caslon Pro" w:cs="Arial"/>
                <w:color w:val="000000"/>
                <w:lang w:eastAsia="es-MX"/>
              </w:rPr>
            </w:pPr>
            <w:r>
              <w:rPr>
                <w:rFonts w:ascii="Adobe Caslon Pro" w:eastAsia="Times New Roman" w:hAnsi="Adobe Caslon Pro" w:cs="Arial"/>
                <w:color w:val="000000"/>
                <w:lang w:eastAsia="es-MX"/>
              </w:rPr>
              <w:t>R</w:t>
            </w:r>
            <w:r w:rsidR="00CF536D" w:rsidRPr="000907D3">
              <w:rPr>
                <w:rFonts w:ascii="Adobe Caslon Pro" w:eastAsia="Times New Roman" w:hAnsi="Adobe Caslon Pro" w:cs="Arial"/>
                <w:color w:val="000000"/>
                <w:lang w:eastAsia="es-MX"/>
              </w:rPr>
              <w:t>eporte semestral de avances de la vertiente de certificación de OSC.</w:t>
            </w:r>
          </w:p>
        </w:tc>
        <w:tc>
          <w:tcPr>
            <w:tcW w:w="2960" w:type="dxa"/>
            <w:vMerge w:val="restart"/>
            <w:tcBorders>
              <w:top w:val="nil"/>
              <w:left w:val="nil"/>
              <w:bottom w:val="nil"/>
              <w:right w:val="single" w:sz="8" w:space="0" w:color="auto"/>
            </w:tcBorders>
            <w:shd w:val="clear" w:color="auto" w:fill="auto"/>
            <w:vAlign w:val="center"/>
            <w:hideMark/>
          </w:tcPr>
          <w:p w:rsidR="00CF536D" w:rsidRPr="000907D3" w:rsidRDefault="00CF536D" w:rsidP="00DB54B1">
            <w:pPr>
              <w:spacing w:after="0" w:line="240" w:lineRule="auto"/>
              <w:jc w:val="both"/>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 xml:space="preserve">Los </w:t>
            </w:r>
            <w:r w:rsidR="00160981">
              <w:rPr>
                <w:rFonts w:ascii="Adobe Caslon Pro" w:eastAsia="Times New Roman" w:hAnsi="Adobe Caslon Pro" w:cs="Arial"/>
                <w:color w:val="000000"/>
                <w:lang w:eastAsia="es-MX"/>
              </w:rPr>
              <w:t>AREP</w:t>
            </w:r>
            <w:r w:rsidRPr="000907D3">
              <w:rPr>
                <w:rFonts w:ascii="Adobe Caslon Pro" w:eastAsia="Times New Roman" w:hAnsi="Adobe Caslon Pro" w:cs="Arial"/>
                <w:color w:val="000000"/>
                <w:lang w:eastAsia="es-MX"/>
              </w:rPr>
              <w:t xml:space="preserve"> cumplen</w:t>
            </w:r>
            <w:r w:rsidRPr="000907D3">
              <w:rPr>
                <w:rFonts w:ascii="Adobe Caslon Pro" w:eastAsia="Times New Roman" w:hAnsi="Adobe Caslon Pro" w:cs="Arial"/>
                <w:color w:val="000000"/>
                <w:lang w:eastAsia="es-MX"/>
              </w:rPr>
              <w:br/>
              <w:t xml:space="preserve">con los compromisos adquiridos en el convenio. </w:t>
            </w:r>
            <w:r w:rsidRPr="000907D3">
              <w:rPr>
                <w:rFonts w:ascii="Adobe Caslon Pro" w:eastAsia="Times New Roman" w:hAnsi="Adobe Caslon Pro" w:cs="Arial"/>
                <w:color w:val="000000"/>
                <w:lang w:eastAsia="es-MX"/>
              </w:rPr>
              <w:br/>
              <w:t xml:space="preserve"> Los </w:t>
            </w:r>
            <w:r w:rsidR="00160981">
              <w:rPr>
                <w:rFonts w:ascii="Adobe Caslon Pro" w:eastAsia="Times New Roman" w:hAnsi="Adobe Caslon Pro" w:cs="Arial"/>
                <w:color w:val="000000"/>
                <w:lang w:eastAsia="es-MX"/>
              </w:rPr>
              <w:t>AREP</w:t>
            </w:r>
            <w:r w:rsidRPr="000907D3">
              <w:rPr>
                <w:rFonts w:ascii="Adobe Caslon Pro" w:eastAsia="Times New Roman" w:hAnsi="Adobe Caslon Pro" w:cs="Arial"/>
                <w:color w:val="000000"/>
                <w:lang w:eastAsia="es-MX"/>
              </w:rPr>
              <w:t xml:space="preserve"> apoyados por el PCS cuentan con los activos suficientes, en las instituciones gubernamentales, arraigo en las comunidades,</w:t>
            </w:r>
            <w:r w:rsidRPr="000907D3">
              <w:rPr>
                <w:rFonts w:ascii="Adobe Caslon Pro" w:eastAsia="Times New Roman" w:hAnsi="Adobe Caslon Pro" w:cs="Arial"/>
                <w:color w:val="000000"/>
                <w:lang w:eastAsia="es-MX"/>
              </w:rPr>
              <w:br/>
              <w:t>conocimiento en los temas específico. Los AREP cuentan con mecanismos de vinculación y participac</w:t>
            </w:r>
            <w:r w:rsidR="00DB54B1">
              <w:rPr>
                <w:rFonts w:ascii="Adobe Caslon Pro" w:eastAsia="Times New Roman" w:hAnsi="Adobe Caslon Pro" w:cs="Arial"/>
                <w:color w:val="000000"/>
                <w:lang w:eastAsia="es-MX"/>
              </w:rPr>
              <w:t xml:space="preserve">ión con su población objetivo. </w:t>
            </w:r>
          </w:p>
        </w:tc>
      </w:tr>
      <w:tr w:rsidR="00CF536D" w:rsidRPr="000907D3" w:rsidTr="00DB54B1">
        <w:trPr>
          <w:trHeight w:val="1500"/>
          <w:jc w:val="center"/>
        </w:trPr>
        <w:tc>
          <w:tcPr>
            <w:tcW w:w="3800" w:type="dxa"/>
            <w:tcBorders>
              <w:top w:val="nil"/>
              <w:left w:val="single" w:sz="4" w:space="0" w:color="auto"/>
              <w:bottom w:val="single" w:sz="4" w:space="0" w:color="auto"/>
              <w:right w:val="single" w:sz="4" w:space="0" w:color="auto"/>
            </w:tcBorders>
            <w:shd w:val="clear" w:color="auto" w:fill="auto"/>
            <w:vAlign w:val="center"/>
            <w:hideMark/>
          </w:tcPr>
          <w:p w:rsidR="00CF536D" w:rsidRPr="000907D3" w:rsidRDefault="00CF536D" w:rsidP="00DB54B1">
            <w:pPr>
              <w:spacing w:after="0" w:line="240" w:lineRule="auto"/>
              <w:jc w:val="both"/>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Proyectos de Fortalecimiento y Profesionalización realizados</w:t>
            </w:r>
          </w:p>
        </w:tc>
        <w:tc>
          <w:tcPr>
            <w:tcW w:w="2776" w:type="dxa"/>
            <w:tcBorders>
              <w:top w:val="nil"/>
              <w:left w:val="nil"/>
              <w:bottom w:val="single" w:sz="4" w:space="0" w:color="auto"/>
              <w:right w:val="single" w:sz="4" w:space="0" w:color="auto"/>
            </w:tcBorders>
            <w:shd w:val="clear" w:color="auto" w:fill="auto"/>
            <w:hideMark/>
          </w:tcPr>
          <w:p w:rsidR="00CF536D" w:rsidRPr="000907D3" w:rsidRDefault="00CF536D" w:rsidP="00DB54B1">
            <w:pPr>
              <w:spacing w:after="0" w:line="240" w:lineRule="auto"/>
              <w:jc w:val="both"/>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Porcentaje de proyectos apoyados a través de la vertiente de Fortalecimiento y Profesionalización.</w:t>
            </w:r>
          </w:p>
        </w:tc>
        <w:tc>
          <w:tcPr>
            <w:tcW w:w="1257" w:type="dxa"/>
            <w:tcBorders>
              <w:top w:val="nil"/>
              <w:left w:val="nil"/>
              <w:bottom w:val="single" w:sz="4" w:space="0" w:color="auto"/>
              <w:right w:val="single" w:sz="4" w:space="0" w:color="auto"/>
            </w:tcBorders>
            <w:shd w:val="clear" w:color="auto" w:fill="auto"/>
            <w:vAlign w:val="center"/>
            <w:hideMark/>
          </w:tcPr>
          <w:p w:rsidR="00CF536D" w:rsidRPr="000907D3" w:rsidRDefault="00CF536D" w:rsidP="00DB54B1">
            <w:pPr>
              <w:spacing w:after="0" w:line="240" w:lineRule="auto"/>
              <w:jc w:val="both"/>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semestral</w:t>
            </w:r>
          </w:p>
        </w:tc>
        <w:tc>
          <w:tcPr>
            <w:tcW w:w="1840" w:type="dxa"/>
            <w:tcBorders>
              <w:top w:val="nil"/>
              <w:left w:val="nil"/>
              <w:bottom w:val="single" w:sz="4" w:space="0" w:color="auto"/>
              <w:right w:val="single" w:sz="4" w:space="0" w:color="auto"/>
            </w:tcBorders>
            <w:shd w:val="clear" w:color="auto" w:fill="auto"/>
            <w:vAlign w:val="center"/>
            <w:hideMark/>
          </w:tcPr>
          <w:p w:rsidR="00CF536D" w:rsidRPr="000907D3" w:rsidRDefault="00CF536D" w:rsidP="00DB54B1">
            <w:pPr>
              <w:spacing w:after="0" w:line="240" w:lineRule="auto"/>
              <w:jc w:val="both"/>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Reporte semestral de avances de la vertiente de certificación de OSC.</w:t>
            </w:r>
          </w:p>
        </w:tc>
        <w:tc>
          <w:tcPr>
            <w:tcW w:w="2960" w:type="dxa"/>
            <w:vMerge/>
            <w:tcBorders>
              <w:top w:val="nil"/>
              <w:left w:val="nil"/>
              <w:bottom w:val="nil"/>
              <w:right w:val="single" w:sz="8" w:space="0" w:color="auto"/>
            </w:tcBorders>
            <w:vAlign w:val="center"/>
            <w:hideMark/>
          </w:tcPr>
          <w:p w:rsidR="00CF536D" w:rsidRPr="000907D3" w:rsidRDefault="00CF536D" w:rsidP="00026506">
            <w:pPr>
              <w:spacing w:before="240"/>
              <w:jc w:val="both"/>
              <w:rPr>
                <w:rFonts w:ascii="Adobe Caslon Pro" w:eastAsia="Times New Roman" w:hAnsi="Adobe Caslon Pro" w:cs="Arial"/>
                <w:color w:val="000000"/>
                <w:lang w:eastAsia="es-MX"/>
              </w:rPr>
            </w:pPr>
          </w:p>
        </w:tc>
      </w:tr>
      <w:tr w:rsidR="00CF536D" w:rsidRPr="000907D3" w:rsidTr="00DB54B1">
        <w:trPr>
          <w:trHeight w:val="2370"/>
          <w:jc w:val="center"/>
        </w:trPr>
        <w:tc>
          <w:tcPr>
            <w:tcW w:w="3800" w:type="dxa"/>
            <w:tcBorders>
              <w:top w:val="nil"/>
              <w:left w:val="single" w:sz="4" w:space="0" w:color="auto"/>
              <w:bottom w:val="single" w:sz="8" w:space="0" w:color="auto"/>
              <w:right w:val="single" w:sz="4" w:space="0" w:color="auto"/>
            </w:tcBorders>
            <w:shd w:val="clear" w:color="auto" w:fill="auto"/>
            <w:vAlign w:val="center"/>
            <w:hideMark/>
          </w:tcPr>
          <w:p w:rsidR="00CF536D" w:rsidRPr="000907D3" w:rsidRDefault="00CF536D" w:rsidP="00DB54B1">
            <w:pPr>
              <w:spacing w:after="0" w:line="240" w:lineRule="auto"/>
              <w:jc w:val="both"/>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Proyectos de investigación y generación de conocimientos realizados</w:t>
            </w:r>
          </w:p>
        </w:tc>
        <w:tc>
          <w:tcPr>
            <w:tcW w:w="2776" w:type="dxa"/>
            <w:tcBorders>
              <w:top w:val="nil"/>
              <w:left w:val="nil"/>
              <w:bottom w:val="single" w:sz="8" w:space="0" w:color="auto"/>
              <w:right w:val="single" w:sz="4" w:space="0" w:color="auto"/>
            </w:tcBorders>
            <w:shd w:val="clear" w:color="auto" w:fill="auto"/>
            <w:hideMark/>
          </w:tcPr>
          <w:p w:rsidR="00CF536D" w:rsidRPr="000907D3" w:rsidRDefault="00CF536D" w:rsidP="00DB54B1">
            <w:pPr>
              <w:spacing w:after="0" w:line="240" w:lineRule="auto"/>
              <w:jc w:val="both"/>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Porcentaje de proyectos apoyados a través de la vertiente de investigación y generación de conocimientos</w:t>
            </w:r>
          </w:p>
        </w:tc>
        <w:tc>
          <w:tcPr>
            <w:tcW w:w="1257" w:type="dxa"/>
            <w:tcBorders>
              <w:top w:val="nil"/>
              <w:left w:val="nil"/>
              <w:bottom w:val="single" w:sz="8" w:space="0" w:color="auto"/>
              <w:right w:val="single" w:sz="4" w:space="0" w:color="auto"/>
            </w:tcBorders>
            <w:shd w:val="clear" w:color="auto" w:fill="auto"/>
            <w:vAlign w:val="center"/>
            <w:hideMark/>
          </w:tcPr>
          <w:p w:rsidR="00CF536D" w:rsidRPr="000907D3" w:rsidRDefault="00CF536D" w:rsidP="00DB54B1">
            <w:pPr>
              <w:spacing w:after="0" w:line="240" w:lineRule="auto"/>
              <w:jc w:val="both"/>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semestral</w:t>
            </w:r>
          </w:p>
        </w:tc>
        <w:tc>
          <w:tcPr>
            <w:tcW w:w="1840" w:type="dxa"/>
            <w:tcBorders>
              <w:top w:val="nil"/>
              <w:left w:val="nil"/>
              <w:bottom w:val="single" w:sz="8" w:space="0" w:color="auto"/>
              <w:right w:val="single" w:sz="4" w:space="0" w:color="auto"/>
            </w:tcBorders>
            <w:shd w:val="clear" w:color="auto" w:fill="auto"/>
            <w:vAlign w:val="center"/>
            <w:hideMark/>
          </w:tcPr>
          <w:p w:rsidR="00CF536D" w:rsidRPr="000907D3" w:rsidRDefault="00CF536D" w:rsidP="00DB54B1">
            <w:pPr>
              <w:spacing w:after="0" w:line="240" w:lineRule="auto"/>
              <w:jc w:val="both"/>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Reporte semestral de avances de la vertiente de certificación de OSC.</w:t>
            </w:r>
          </w:p>
        </w:tc>
        <w:tc>
          <w:tcPr>
            <w:tcW w:w="2960" w:type="dxa"/>
            <w:vMerge/>
            <w:tcBorders>
              <w:top w:val="nil"/>
              <w:left w:val="nil"/>
              <w:bottom w:val="single" w:sz="8" w:space="0" w:color="auto"/>
              <w:right w:val="single" w:sz="8" w:space="0" w:color="auto"/>
            </w:tcBorders>
            <w:vAlign w:val="center"/>
            <w:hideMark/>
          </w:tcPr>
          <w:p w:rsidR="00CF536D" w:rsidRPr="000907D3" w:rsidRDefault="00CF536D" w:rsidP="00026506">
            <w:pPr>
              <w:spacing w:before="240"/>
              <w:jc w:val="both"/>
              <w:rPr>
                <w:rFonts w:ascii="Adobe Caslon Pro" w:eastAsia="Times New Roman" w:hAnsi="Adobe Caslon Pro" w:cs="Arial"/>
                <w:color w:val="000000"/>
                <w:lang w:eastAsia="es-MX"/>
              </w:rPr>
            </w:pPr>
          </w:p>
        </w:tc>
      </w:tr>
    </w:tbl>
    <w:p w:rsidR="00CF536D" w:rsidRPr="000907D3" w:rsidRDefault="00CF536D" w:rsidP="00026506">
      <w:pPr>
        <w:spacing w:before="240"/>
        <w:jc w:val="both"/>
        <w:rPr>
          <w:rFonts w:ascii="Adobe Caslon Pro" w:hAnsi="Adobe Caslon Pro" w:cs="Arial"/>
        </w:rPr>
      </w:pPr>
      <w:r w:rsidRPr="000907D3">
        <w:rPr>
          <w:rFonts w:ascii="Adobe Caslon Pro" w:hAnsi="Adobe Caslon Pro" w:cs="Arial"/>
        </w:rPr>
        <w:br w:type="page"/>
      </w:r>
    </w:p>
    <w:tbl>
      <w:tblPr>
        <w:tblW w:w="12633" w:type="dxa"/>
        <w:tblCellMar>
          <w:left w:w="70" w:type="dxa"/>
          <w:right w:w="70" w:type="dxa"/>
        </w:tblCellMar>
        <w:tblLook w:val="04A0" w:firstRow="1" w:lastRow="0" w:firstColumn="1" w:lastColumn="0" w:noHBand="0" w:noVBand="1"/>
      </w:tblPr>
      <w:tblGrid>
        <w:gridCol w:w="3800"/>
        <w:gridCol w:w="2776"/>
        <w:gridCol w:w="1257"/>
        <w:gridCol w:w="1840"/>
        <w:gridCol w:w="2960"/>
      </w:tblGrid>
      <w:tr w:rsidR="00CF536D" w:rsidRPr="000907D3" w:rsidTr="00B55DFD">
        <w:trPr>
          <w:trHeight w:val="315"/>
        </w:trPr>
        <w:tc>
          <w:tcPr>
            <w:tcW w:w="12633" w:type="dxa"/>
            <w:gridSpan w:val="5"/>
            <w:tcBorders>
              <w:top w:val="single" w:sz="8" w:space="0" w:color="auto"/>
              <w:left w:val="single" w:sz="8" w:space="0" w:color="auto"/>
              <w:bottom w:val="single" w:sz="4" w:space="0" w:color="auto"/>
              <w:right w:val="single" w:sz="8" w:space="0" w:color="000000"/>
            </w:tcBorders>
            <w:shd w:val="clear" w:color="auto" w:fill="BFBFBF" w:themeFill="background1" w:themeFillShade="BF"/>
            <w:noWrap/>
            <w:vAlign w:val="bottom"/>
            <w:hideMark/>
          </w:tcPr>
          <w:p w:rsidR="00CF536D" w:rsidRPr="000D62D1" w:rsidRDefault="00CF536D" w:rsidP="00B55DFD">
            <w:pPr>
              <w:spacing w:after="0" w:line="240" w:lineRule="auto"/>
              <w:jc w:val="center"/>
              <w:rPr>
                <w:rFonts w:ascii="Adobe Caslon Pro" w:eastAsia="Times New Roman" w:hAnsi="Adobe Caslon Pro" w:cs="Arial"/>
                <w:b/>
                <w:bCs/>
                <w:color w:val="000000" w:themeColor="text1"/>
                <w:lang w:eastAsia="es-MX"/>
              </w:rPr>
            </w:pPr>
            <w:r w:rsidRPr="000D62D1">
              <w:rPr>
                <w:rFonts w:ascii="Adobe Caslon Pro" w:eastAsia="Times New Roman" w:hAnsi="Adobe Caslon Pro" w:cs="Arial"/>
                <w:b/>
                <w:bCs/>
                <w:color w:val="000000" w:themeColor="text1"/>
                <w:lang w:eastAsia="es-MX"/>
              </w:rPr>
              <w:lastRenderedPageBreak/>
              <w:t>ACTIVIDADES</w:t>
            </w:r>
          </w:p>
        </w:tc>
      </w:tr>
      <w:tr w:rsidR="00CF536D" w:rsidRPr="000907D3" w:rsidTr="00B55DFD">
        <w:trPr>
          <w:trHeight w:val="300"/>
        </w:trPr>
        <w:tc>
          <w:tcPr>
            <w:tcW w:w="3800" w:type="dxa"/>
            <w:vMerge w:val="restart"/>
            <w:tcBorders>
              <w:top w:val="nil"/>
              <w:left w:val="single" w:sz="8" w:space="0" w:color="auto"/>
              <w:bottom w:val="single" w:sz="4" w:space="0" w:color="auto"/>
              <w:right w:val="nil"/>
            </w:tcBorders>
            <w:shd w:val="clear" w:color="auto" w:fill="BFBFBF" w:themeFill="background1" w:themeFillShade="BF"/>
            <w:noWrap/>
            <w:vAlign w:val="center"/>
            <w:hideMark/>
          </w:tcPr>
          <w:p w:rsidR="00CF536D" w:rsidRPr="000D62D1" w:rsidRDefault="00CF536D" w:rsidP="00B55DFD">
            <w:pPr>
              <w:spacing w:after="0" w:line="240" w:lineRule="auto"/>
              <w:jc w:val="center"/>
              <w:rPr>
                <w:rFonts w:ascii="Adobe Caslon Pro" w:eastAsia="Times New Roman" w:hAnsi="Adobe Caslon Pro" w:cs="Arial"/>
                <w:b/>
                <w:color w:val="000000" w:themeColor="text1"/>
                <w:lang w:eastAsia="es-MX"/>
              </w:rPr>
            </w:pPr>
            <w:r w:rsidRPr="000D62D1">
              <w:rPr>
                <w:rFonts w:ascii="Adobe Caslon Pro" w:eastAsia="Times New Roman" w:hAnsi="Adobe Caslon Pro" w:cs="Arial"/>
                <w:b/>
                <w:color w:val="000000" w:themeColor="text1"/>
                <w:lang w:eastAsia="es-MX"/>
              </w:rPr>
              <w:t>Resumen de la mecánica operativa</w:t>
            </w:r>
          </w:p>
        </w:tc>
        <w:tc>
          <w:tcPr>
            <w:tcW w:w="5873" w:type="dxa"/>
            <w:gridSpan w:val="3"/>
            <w:tcBorders>
              <w:top w:val="single" w:sz="8" w:space="0" w:color="auto"/>
              <w:left w:val="single" w:sz="8" w:space="0" w:color="auto"/>
              <w:bottom w:val="single" w:sz="4" w:space="0" w:color="auto"/>
              <w:right w:val="single" w:sz="8" w:space="0" w:color="000000"/>
            </w:tcBorders>
            <w:shd w:val="clear" w:color="auto" w:fill="BFBFBF" w:themeFill="background1" w:themeFillShade="BF"/>
            <w:noWrap/>
            <w:vAlign w:val="bottom"/>
            <w:hideMark/>
          </w:tcPr>
          <w:p w:rsidR="00CF536D" w:rsidRPr="000D62D1" w:rsidRDefault="00CF536D" w:rsidP="00B55DFD">
            <w:pPr>
              <w:spacing w:after="0" w:line="240" w:lineRule="auto"/>
              <w:jc w:val="center"/>
              <w:rPr>
                <w:rFonts w:ascii="Adobe Caslon Pro" w:eastAsia="Times New Roman" w:hAnsi="Adobe Caslon Pro" w:cs="Arial"/>
                <w:color w:val="000000" w:themeColor="text1"/>
                <w:lang w:eastAsia="es-MX"/>
              </w:rPr>
            </w:pPr>
            <w:r w:rsidRPr="000D62D1">
              <w:rPr>
                <w:rFonts w:ascii="Adobe Caslon Pro" w:eastAsia="Times New Roman" w:hAnsi="Adobe Caslon Pro" w:cs="Arial"/>
                <w:color w:val="000000" w:themeColor="text1"/>
                <w:lang w:eastAsia="es-MX"/>
              </w:rPr>
              <w:t>Indicador</w:t>
            </w:r>
          </w:p>
        </w:tc>
        <w:tc>
          <w:tcPr>
            <w:tcW w:w="2960" w:type="dxa"/>
            <w:vMerge w:val="restart"/>
            <w:tcBorders>
              <w:top w:val="nil"/>
              <w:left w:val="nil"/>
              <w:bottom w:val="single" w:sz="8" w:space="0" w:color="000000"/>
              <w:right w:val="single" w:sz="8" w:space="0" w:color="auto"/>
            </w:tcBorders>
            <w:shd w:val="clear" w:color="auto" w:fill="BFBFBF" w:themeFill="background1" w:themeFillShade="BF"/>
            <w:noWrap/>
            <w:vAlign w:val="center"/>
            <w:hideMark/>
          </w:tcPr>
          <w:p w:rsidR="00CF536D" w:rsidRPr="000D62D1" w:rsidRDefault="00CF536D" w:rsidP="00B55DFD">
            <w:pPr>
              <w:spacing w:after="0" w:line="240" w:lineRule="auto"/>
              <w:jc w:val="center"/>
              <w:rPr>
                <w:rFonts w:ascii="Adobe Caslon Pro" w:eastAsia="Times New Roman" w:hAnsi="Adobe Caslon Pro" w:cs="Arial"/>
                <w:color w:val="000000" w:themeColor="text1"/>
                <w:lang w:eastAsia="es-MX"/>
              </w:rPr>
            </w:pPr>
            <w:r w:rsidRPr="000D62D1">
              <w:rPr>
                <w:rFonts w:ascii="Adobe Caslon Pro" w:eastAsia="Times New Roman" w:hAnsi="Adobe Caslon Pro" w:cs="Arial"/>
                <w:color w:val="000000" w:themeColor="text1"/>
                <w:lang w:eastAsia="es-MX"/>
              </w:rPr>
              <w:t>Supuestos/Riesgos</w:t>
            </w:r>
          </w:p>
        </w:tc>
      </w:tr>
      <w:tr w:rsidR="00CF536D" w:rsidRPr="000907D3" w:rsidTr="00B55DFD">
        <w:trPr>
          <w:trHeight w:val="315"/>
        </w:trPr>
        <w:tc>
          <w:tcPr>
            <w:tcW w:w="3800" w:type="dxa"/>
            <w:vMerge/>
            <w:tcBorders>
              <w:top w:val="nil"/>
              <w:left w:val="single" w:sz="8" w:space="0" w:color="auto"/>
              <w:bottom w:val="single" w:sz="4" w:space="0" w:color="auto"/>
              <w:right w:val="nil"/>
            </w:tcBorders>
            <w:shd w:val="clear" w:color="auto" w:fill="4F6228" w:themeFill="accent3" w:themeFillShade="80"/>
            <w:vAlign w:val="center"/>
            <w:hideMark/>
          </w:tcPr>
          <w:p w:rsidR="00CF536D" w:rsidRPr="000907D3" w:rsidRDefault="00CF536D" w:rsidP="00B55DFD">
            <w:pPr>
              <w:spacing w:after="0" w:line="240" w:lineRule="auto"/>
              <w:jc w:val="both"/>
              <w:rPr>
                <w:rFonts w:ascii="Adobe Caslon Pro" w:eastAsia="Times New Roman" w:hAnsi="Adobe Caslon Pro" w:cs="Arial"/>
                <w:color w:val="FFFFFF"/>
                <w:lang w:eastAsia="es-MX"/>
              </w:rPr>
            </w:pPr>
          </w:p>
        </w:tc>
        <w:tc>
          <w:tcPr>
            <w:tcW w:w="2780" w:type="dxa"/>
            <w:tcBorders>
              <w:top w:val="nil"/>
              <w:left w:val="single" w:sz="8" w:space="0" w:color="auto"/>
              <w:bottom w:val="nil"/>
              <w:right w:val="single" w:sz="4" w:space="0" w:color="auto"/>
            </w:tcBorders>
            <w:shd w:val="clear" w:color="auto" w:fill="BFBFBF" w:themeFill="background1" w:themeFillShade="BF"/>
            <w:vAlign w:val="center"/>
            <w:hideMark/>
          </w:tcPr>
          <w:p w:rsidR="00CF536D" w:rsidRPr="000D62D1" w:rsidRDefault="00CF536D" w:rsidP="00B55DFD">
            <w:pPr>
              <w:spacing w:after="0" w:line="240" w:lineRule="auto"/>
              <w:jc w:val="center"/>
              <w:rPr>
                <w:rFonts w:ascii="Adobe Caslon Pro" w:eastAsia="Times New Roman" w:hAnsi="Adobe Caslon Pro" w:cs="Arial"/>
                <w:color w:val="000000" w:themeColor="text1"/>
                <w:lang w:eastAsia="es-MX"/>
              </w:rPr>
            </w:pPr>
            <w:r w:rsidRPr="000D62D1">
              <w:rPr>
                <w:rFonts w:ascii="Adobe Caslon Pro" w:eastAsia="Times New Roman" w:hAnsi="Adobe Caslon Pro" w:cs="Arial"/>
                <w:color w:val="000000" w:themeColor="text1"/>
                <w:lang w:eastAsia="es-MX"/>
              </w:rPr>
              <w:t>Nombre del Indicador</w:t>
            </w:r>
          </w:p>
        </w:tc>
        <w:tc>
          <w:tcPr>
            <w:tcW w:w="1253" w:type="dxa"/>
            <w:tcBorders>
              <w:top w:val="nil"/>
              <w:left w:val="nil"/>
              <w:bottom w:val="nil"/>
              <w:right w:val="single" w:sz="4" w:space="0" w:color="auto"/>
            </w:tcBorders>
            <w:shd w:val="clear" w:color="auto" w:fill="BFBFBF" w:themeFill="background1" w:themeFillShade="BF"/>
            <w:noWrap/>
            <w:vAlign w:val="center"/>
            <w:hideMark/>
          </w:tcPr>
          <w:p w:rsidR="00CF536D" w:rsidRPr="000D62D1" w:rsidRDefault="00CF536D" w:rsidP="00B55DFD">
            <w:pPr>
              <w:spacing w:after="0" w:line="240" w:lineRule="auto"/>
              <w:jc w:val="center"/>
              <w:rPr>
                <w:rFonts w:ascii="Adobe Caslon Pro" w:eastAsia="Times New Roman" w:hAnsi="Adobe Caslon Pro" w:cs="Arial"/>
                <w:color w:val="000000" w:themeColor="text1"/>
                <w:lang w:eastAsia="es-MX"/>
              </w:rPr>
            </w:pPr>
            <w:r w:rsidRPr="000D62D1">
              <w:rPr>
                <w:rFonts w:ascii="Adobe Caslon Pro" w:eastAsia="Times New Roman" w:hAnsi="Adobe Caslon Pro" w:cs="Arial"/>
                <w:color w:val="000000" w:themeColor="text1"/>
                <w:lang w:eastAsia="es-MX"/>
              </w:rPr>
              <w:t>Periodicidad</w:t>
            </w:r>
          </w:p>
        </w:tc>
        <w:tc>
          <w:tcPr>
            <w:tcW w:w="1840" w:type="dxa"/>
            <w:tcBorders>
              <w:top w:val="nil"/>
              <w:left w:val="nil"/>
              <w:bottom w:val="nil"/>
              <w:right w:val="single" w:sz="8" w:space="0" w:color="auto"/>
            </w:tcBorders>
            <w:shd w:val="clear" w:color="auto" w:fill="BFBFBF" w:themeFill="background1" w:themeFillShade="BF"/>
            <w:noWrap/>
            <w:vAlign w:val="center"/>
            <w:hideMark/>
          </w:tcPr>
          <w:p w:rsidR="00CF536D" w:rsidRPr="000D62D1" w:rsidRDefault="00CF536D" w:rsidP="00B55DFD">
            <w:pPr>
              <w:spacing w:after="0" w:line="240" w:lineRule="auto"/>
              <w:jc w:val="center"/>
              <w:rPr>
                <w:rFonts w:ascii="Adobe Caslon Pro" w:eastAsia="Times New Roman" w:hAnsi="Adobe Caslon Pro" w:cs="Arial"/>
                <w:color w:val="000000" w:themeColor="text1"/>
                <w:lang w:eastAsia="es-MX"/>
              </w:rPr>
            </w:pPr>
            <w:r w:rsidRPr="000D62D1">
              <w:rPr>
                <w:rFonts w:ascii="Adobe Caslon Pro" w:eastAsia="Times New Roman" w:hAnsi="Adobe Caslon Pro" w:cs="Arial"/>
                <w:color w:val="000000" w:themeColor="text1"/>
                <w:lang w:eastAsia="es-MX"/>
              </w:rPr>
              <w:t>Fuente</w:t>
            </w:r>
          </w:p>
        </w:tc>
        <w:tc>
          <w:tcPr>
            <w:tcW w:w="2960" w:type="dxa"/>
            <w:vMerge/>
            <w:tcBorders>
              <w:top w:val="nil"/>
              <w:left w:val="nil"/>
              <w:bottom w:val="single" w:sz="8" w:space="0" w:color="000000"/>
              <w:right w:val="single" w:sz="8" w:space="0" w:color="auto"/>
            </w:tcBorders>
            <w:shd w:val="clear" w:color="auto" w:fill="4F6228" w:themeFill="accent3" w:themeFillShade="80"/>
            <w:vAlign w:val="center"/>
            <w:hideMark/>
          </w:tcPr>
          <w:p w:rsidR="00CF536D" w:rsidRPr="000907D3" w:rsidRDefault="00CF536D" w:rsidP="00B55DFD">
            <w:pPr>
              <w:spacing w:after="0" w:line="240" w:lineRule="auto"/>
              <w:jc w:val="both"/>
              <w:rPr>
                <w:rFonts w:ascii="Adobe Caslon Pro" w:eastAsia="Times New Roman" w:hAnsi="Adobe Caslon Pro" w:cs="Arial"/>
                <w:color w:val="FFFFFF"/>
                <w:lang w:eastAsia="es-MX"/>
              </w:rPr>
            </w:pPr>
          </w:p>
        </w:tc>
      </w:tr>
      <w:tr w:rsidR="00CF536D" w:rsidRPr="000907D3" w:rsidTr="00B55DFD">
        <w:trPr>
          <w:trHeight w:val="870"/>
        </w:trPr>
        <w:tc>
          <w:tcPr>
            <w:tcW w:w="3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536D" w:rsidRPr="000907D3" w:rsidRDefault="00CF536D" w:rsidP="00B55DFD">
            <w:pPr>
              <w:spacing w:after="0" w:line="240" w:lineRule="auto"/>
              <w:jc w:val="both"/>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Recepción del proyecto</w:t>
            </w:r>
          </w:p>
        </w:tc>
        <w:tc>
          <w:tcPr>
            <w:tcW w:w="2780" w:type="dxa"/>
            <w:tcBorders>
              <w:top w:val="single" w:sz="8" w:space="0" w:color="auto"/>
              <w:left w:val="nil"/>
              <w:bottom w:val="single" w:sz="4" w:space="0" w:color="auto"/>
              <w:right w:val="single" w:sz="4" w:space="0" w:color="auto"/>
            </w:tcBorders>
            <w:shd w:val="clear" w:color="auto" w:fill="auto"/>
            <w:vAlign w:val="center"/>
            <w:hideMark/>
          </w:tcPr>
          <w:p w:rsidR="00CF536D" w:rsidRPr="000907D3" w:rsidRDefault="00CF536D" w:rsidP="00B55DFD">
            <w:pPr>
              <w:spacing w:after="0" w:line="240" w:lineRule="auto"/>
              <w:jc w:val="both"/>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Proyectos recibidos completos respecto al total de proyectos</w:t>
            </w:r>
            <w:r w:rsidR="00D855D9">
              <w:rPr>
                <w:rFonts w:ascii="Adobe Caslon Pro" w:eastAsia="Times New Roman" w:hAnsi="Adobe Caslon Pro" w:cs="Arial"/>
                <w:color w:val="000000"/>
                <w:lang w:eastAsia="es-MX"/>
              </w:rPr>
              <w:t>.</w:t>
            </w:r>
          </w:p>
        </w:tc>
        <w:tc>
          <w:tcPr>
            <w:tcW w:w="1253" w:type="dxa"/>
            <w:tcBorders>
              <w:top w:val="single" w:sz="8" w:space="0" w:color="auto"/>
              <w:left w:val="nil"/>
              <w:bottom w:val="single" w:sz="4" w:space="0" w:color="auto"/>
              <w:right w:val="single" w:sz="4" w:space="0" w:color="auto"/>
            </w:tcBorders>
            <w:shd w:val="clear" w:color="auto" w:fill="auto"/>
            <w:vAlign w:val="center"/>
            <w:hideMark/>
          </w:tcPr>
          <w:p w:rsidR="00CF536D" w:rsidRPr="000907D3" w:rsidRDefault="00CF536D" w:rsidP="00B55DFD">
            <w:pPr>
              <w:spacing w:after="0" w:line="240" w:lineRule="auto"/>
              <w:jc w:val="both"/>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trimestral</w:t>
            </w:r>
          </w:p>
        </w:tc>
        <w:tc>
          <w:tcPr>
            <w:tcW w:w="1840" w:type="dxa"/>
            <w:tcBorders>
              <w:top w:val="single" w:sz="8" w:space="0" w:color="auto"/>
              <w:left w:val="nil"/>
              <w:bottom w:val="single" w:sz="4" w:space="0" w:color="auto"/>
              <w:right w:val="single" w:sz="8" w:space="0" w:color="auto"/>
            </w:tcBorders>
            <w:shd w:val="clear" w:color="auto" w:fill="auto"/>
            <w:vAlign w:val="center"/>
            <w:hideMark/>
          </w:tcPr>
          <w:p w:rsidR="00CF536D" w:rsidRPr="000907D3" w:rsidRDefault="00CF536D" w:rsidP="00B55DFD">
            <w:pPr>
              <w:spacing w:after="0" w:line="240" w:lineRule="auto"/>
              <w:jc w:val="both"/>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Reporte integra</w:t>
            </w:r>
          </w:p>
        </w:tc>
        <w:tc>
          <w:tcPr>
            <w:tcW w:w="2960" w:type="dxa"/>
            <w:vMerge w:val="restart"/>
            <w:tcBorders>
              <w:top w:val="nil"/>
              <w:left w:val="single" w:sz="8" w:space="0" w:color="auto"/>
              <w:bottom w:val="single" w:sz="8" w:space="0" w:color="000000"/>
              <w:right w:val="single" w:sz="8" w:space="0" w:color="auto"/>
            </w:tcBorders>
            <w:shd w:val="clear" w:color="auto" w:fill="auto"/>
            <w:vAlign w:val="center"/>
            <w:hideMark/>
          </w:tcPr>
          <w:p w:rsidR="00CF536D" w:rsidRPr="000907D3" w:rsidRDefault="00CF536D" w:rsidP="00B55DFD">
            <w:pPr>
              <w:spacing w:after="0" w:line="240" w:lineRule="auto"/>
              <w:jc w:val="both"/>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Existen proyectos que presentan los Actores sociales que cumplen con los requisitos establecidos en las Reglas de Operación.</w:t>
            </w:r>
            <w:r w:rsidRPr="000907D3">
              <w:rPr>
                <w:rFonts w:ascii="Adobe Caslon Pro" w:eastAsia="Times New Roman" w:hAnsi="Adobe Caslon Pro" w:cs="Arial"/>
                <w:color w:val="000000"/>
                <w:lang w:eastAsia="es-MX"/>
              </w:rPr>
              <w:br/>
              <w:t xml:space="preserve">Los </w:t>
            </w:r>
            <w:r w:rsidR="0025571B">
              <w:rPr>
                <w:rFonts w:ascii="Adobe Caslon Pro" w:eastAsia="Times New Roman" w:hAnsi="Adobe Caslon Pro" w:cs="Arial"/>
                <w:color w:val="000000"/>
                <w:lang w:eastAsia="es-MX"/>
              </w:rPr>
              <w:t>actores sociales</w:t>
            </w:r>
            <w:r w:rsidRPr="000907D3">
              <w:rPr>
                <w:rFonts w:ascii="Adobe Caslon Pro" w:eastAsia="Times New Roman" w:hAnsi="Adobe Caslon Pro" w:cs="Arial"/>
                <w:color w:val="000000"/>
                <w:lang w:eastAsia="es-MX"/>
              </w:rPr>
              <w:t xml:space="preserve"> participan en el</w:t>
            </w:r>
            <w:r w:rsidR="00F24615">
              <w:rPr>
                <w:rFonts w:ascii="Adobe Caslon Pro" w:eastAsia="Times New Roman" w:hAnsi="Adobe Caslon Pro" w:cs="Arial"/>
                <w:color w:val="000000"/>
                <w:lang w:eastAsia="es-MX"/>
              </w:rPr>
              <w:t xml:space="preserve"> PCS</w:t>
            </w:r>
            <w:r w:rsidRPr="000907D3">
              <w:rPr>
                <w:rFonts w:ascii="Adobe Caslon Pro" w:eastAsia="Times New Roman" w:hAnsi="Adobe Caslon Pro" w:cs="Arial"/>
                <w:color w:val="000000"/>
                <w:lang w:eastAsia="es-MX"/>
              </w:rPr>
              <w:t xml:space="preserve"> con proyectos que cumplen con los criterios de viabilidad técnica,</w:t>
            </w:r>
            <w:r w:rsidRPr="000907D3">
              <w:rPr>
                <w:rFonts w:ascii="Adobe Caslon Pro" w:eastAsia="Times New Roman" w:hAnsi="Adobe Caslon Pro" w:cs="Arial"/>
                <w:color w:val="000000"/>
                <w:lang w:eastAsia="es-MX"/>
              </w:rPr>
              <w:br/>
              <w:t>metodológica, financiera y que</w:t>
            </w:r>
            <w:r w:rsidRPr="000907D3">
              <w:rPr>
                <w:rFonts w:ascii="Adobe Caslon Pro" w:eastAsia="Times New Roman" w:hAnsi="Adobe Caslon Pro" w:cs="Arial"/>
                <w:color w:val="000000"/>
                <w:lang w:eastAsia="es-MX"/>
              </w:rPr>
              <w:br/>
              <w:t>contribuyen a la generación del</w:t>
            </w:r>
            <w:r w:rsidRPr="000907D3">
              <w:rPr>
                <w:rFonts w:ascii="Adobe Caslon Pro" w:eastAsia="Times New Roman" w:hAnsi="Adobe Caslon Pro" w:cs="Arial"/>
                <w:color w:val="000000"/>
                <w:lang w:eastAsia="es-MX"/>
              </w:rPr>
              <w:br/>
              <w:t>capital social.</w:t>
            </w:r>
          </w:p>
        </w:tc>
      </w:tr>
      <w:tr w:rsidR="00CF536D" w:rsidRPr="000907D3" w:rsidTr="00B55DFD">
        <w:trPr>
          <w:trHeight w:val="570"/>
        </w:trPr>
        <w:tc>
          <w:tcPr>
            <w:tcW w:w="3800" w:type="dxa"/>
            <w:tcBorders>
              <w:top w:val="nil"/>
              <w:left w:val="single" w:sz="4" w:space="0" w:color="auto"/>
              <w:bottom w:val="single" w:sz="4" w:space="0" w:color="auto"/>
              <w:right w:val="single" w:sz="4" w:space="0" w:color="auto"/>
            </w:tcBorders>
            <w:shd w:val="clear" w:color="auto" w:fill="auto"/>
            <w:vAlign w:val="center"/>
            <w:hideMark/>
          </w:tcPr>
          <w:p w:rsidR="00CF536D" w:rsidRPr="000907D3" w:rsidRDefault="00CF536D" w:rsidP="00B55DFD">
            <w:pPr>
              <w:spacing w:after="0" w:line="240" w:lineRule="auto"/>
              <w:jc w:val="both"/>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Dictaminación del proyecto</w:t>
            </w:r>
          </w:p>
        </w:tc>
        <w:tc>
          <w:tcPr>
            <w:tcW w:w="2780" w:type="dxa"/>
            <w:tcBorders>
              <w:top w:val="nil"/>
              <w:left w:val="nil"/>
              <w:bottom w:val="single" w:sz="4" w:space="0" w:color="auto"/>
              <w:right w:val="single" w:sz="4" w:space="0" w:color="auto"/>
            </w:tcBorders>
            <w:shd w:val="clear" w:color="auto" w:fill="auto"/>
            <w:vAlign w:val="center"/>
            <w:hideMark/>
          </w:tcPr>
          <w:p w:rsidR="00CF536D" w:rsidRPr="000907D3" w:rsidRDefault="00CF536D" w:rsidP="00B55DFD">
            <w:pPr>
              <w:spacing w:after="0" w:line="240" w:lineRule="auto"/>
              <w:jc w:val="both"/>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Porcentaje de proyectos dictaminados.</w:t>
            </w:r>
          </w:p>
        </w:tc>
        <w:tc>
          <w:tcPr>
            <w:tcW w:w="1253" w:type="dxa"/>
            <w:tcBorders>
              <w:top w:val="single" w:sz="8" w:space="0" w:color="auto"/>
              <w:left w:val="nil"/>
              <w:bottom w:val="single" w:sz="4" w:space="0" w:color="auto"/>
              <w:right w:val="single" w:sz="4" w:space="0" w:color="auto"/>
            </w:tcBorders>
            <w:shd w:val="clear" w:color="auto" w:fill="auto"/>
            <w:vAlign w:val="center"/>
            <w:hideMark/>
          </w:tcPr>
          <w:p w:rsidR="00CF536D" w:rsidRPr="000907D3" w:rsidRDefault="00CF536D" w:rsidP="00B55DFD">
            <w:pPr>
              <w:spacing w:after="0" w:line="240" w:lineRule="auto"/>
              <w:jc w:val="both"/>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trimestral</w:t>
            </w:r>
          </w:p>
        </w:tc>
        <w:tc>
          <w:tcPr>
            <w:tcW w:w="1840" w:type="dxa"/>
            <w:tcBorders>
              <w:top w:val="single" w:sz="8" w:space="0" w:color="auto"/>
              <w:left w:val="nil"/>
              <w:bottom w:val="single" w:sz="4" w:space="0" w:color="auto"/>
              <w:right w:val="single" w:sz="8" w:space="0" w:color="auto"/>
            </w:tcBorders>
            <w:shd w:val="clear" w:color="auto" w:fill="auto"/>
            <w:vAlign w:val="center"/>
            <w:hideMark/>
          </w:tcPr>
          <w:p w:rsidR="00CF536D" w:rsidRPr="000907D3" w:rsidRDefault="00CF536D" w:rsidP="00B55DFD">
            <w:pPr>
              <w:spacing w:after="0" w:line="240" w:lineRule="auto"/>
              <w:jc w:val="both"/>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Reporte integra</w:t>
            </w:r>
          </w:p>
        </w:tc>
        <w:tc>
          <w:tcPr>
            <w:tcW w:w="2960" w:type="dxa"/>
            <w:vMerge/>
            <w:tcBorders>
              <w:top w:val="nil"/>
              <w:left w:val="single" w:sz="8" w:space="0" w:color="auto"/>
              <w:bottom w:val="single" w:sz="8" w:space="0" w:color="000000"/>
              <w:right w:val="single" w:sz="8" w:space="0" w:color="auto"/>
            </w:tcBorders>
            <w:vAlign w:val="center"/>
            <w:hideMark/>
          </w:tcPr>
          <w:p w:rsidR="00CF536D" w:rsidRPr="000907D3" w:rsidRDefault="00CF536D" w:rsidP="00B55DFD">
            <w:pPr>
              <w:spacing w:after="0" w:line="240" w:lineRule="auto"/>
              <w:jc w:val="both"/>
              <w:rPr>
                <w:rFonts w:ascii="Adobe Caslon Pro" w:eastAsia="Times New Roman" w:hAnsi="Adobe Caslon Pro" w:cs="Arial"/>
                <w:color w:val="000000"/>
                <w:lang w:eastAsia="es-MX"/>
              </w:rPr>
            </w:pPr>
          </w:p>
        </w:tc>
      </w:tr>
      <w:tr w:rsidR="00CF536D" w:rsidRPr="000907D3" w:rsidTr="00B55DFD">
        <w:trPr>
          <w:trHeight w:val="780"/>
        </w:trPr>
        <w:tc>
          <w:tcPr>
            <w:tcW w:w="3800" w:type="dxa"/>
            <w:tcBorders>
              <w:top w:val="nil"/>
              <w:left w:val="single" w:sz="4" w:space="0" w:color="auto"/>
              <w:bottom w:val="single" w:sz="4" w:space="0" w:color="auto"/>
              <w:right w:val="single" w:sz="4" w:space="0" w:color="auto"/>
            </w:tcBorders>
            <w:shd w:val="clear" w:color="auto" w:fill="auto"/>
            <w:vAlign w:val="center"/>
            <w:hideMark/>
          </w:tcPr>
          <w:p w:rsidR="00CF536D" w:rsidRPr="000907D3" w:rsidRDefault="00CF536D" w:rsidP="00B55DFD">
            <w:pPr>
              <w:spacing w:after="0" w:line="240" w:lineRule="auto"/>
              <w:jc w:val="both"/>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 xml:space="preserve">Otorgar apoyo a los </w:t>
            </w:r>
            <w:r w:rsidR="0025571B">
              <w:rPr>
                <w:rFonts w:ascii="Adobe Caslon Pro" w:eastAsia="Times New Roman" w:hAnsi="Adobe Caslon Pro" w:cs="Arial"/>
                <w:color w:val="000000"/>
                <w:lang w:eastAsia="es-MX"/>
              </w:rPr>
              <w:t>actores sociales</w:t>
            </w:r>
            <w:r w:rsidRPr="000907D3">
              <w:rPr>
                <w:rFonts w:ascii="Adobe Caslon Pro" w:eastAsia="Times New Roman" w:hAnsi="Adobe Caslon Pro" w:cs="Arial"/>
                <w:color w:val="000000"/>
                <w:lang w:eastAsia="es-MX"/>
              </w:rPr>
              <w:t xml:space="preserve"> </w:t>
            </w:r>
          </w:p>
        </w:tc>
        <w:tc>
          <w:tcPr>
            <w:tcW w:w="2780" w:type="dxa"/>
            <w:tcBorders>
              <w:top w:val="nil"/>
              <w:left w:val="nil"/>
              <w:bottom w:val="single" w:sz="4" w:space="0" w:color="auto"/>
              <w:right w:val="single" w:sz="4" w:space="0" w:color="auto"/>
            </w:tcBorders>
            <w:shd w:val="clear" w:color="auto" w:fill="auto"/>
            <w:vAlign w:val="center"/>
            <w:hideMark/>
          </w:tcPr>
          <w:p w:rsidR="00CF536D" w:rsidRPr="000907D3" w:rsidRDefault="00CF536D" w:rsidP="00B55DFD">
            <w:pPr>
              <w:spacing w:after="0" w:line="240" w:lineRule="auto"/>
              <w:jc w:val="both"/>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 xml:space="preserve">Porcentaje de </w:t>
            </w:r>
            <w:r w:rsidR="0025571B">
              <w:rPr>
                <w:rFonts w:ascii="Adobe Caslon Pro" w:eastAsia="Times New Roman" w:hAnsi="Adobe Caslon Pro" w:cs="Arial"/>
                <w:color w:val="000000"/>
                <w:lang w:eastAsia="es-MX"/>
              </w:rPr>
              <w:t>actores sociales</w:t>
            </w:r>
            <w:r w:rsidRPr="000907D3">
              <w:rPr>
                <w:rFonts w:ascii="Adobe Caslon Pro" w:eastAsia="Times New Roman" w:hAnsi="Adobe Caslon Pro" w:cs="Arial"/>
                <w:color w:val="000000"/>
                <w:lang w:eastAsia="es-MX"/>
              </w:rPr>
              <w:t xml:space="preserve"> que reciben apoyo.</w:t>
            </w:r>
          </w:p>
        </w:tc>
        <w:tc>
          <w:tcPr>
            <w:tcW w:w="1253" w:type="dxa"/>
            <w:tcBorders>
              <w:top w:val="single" w:sz="8" w:space="0" w:color="auto"/>
              <w:left w:val="nil"/>
              <w:bottom w:val="single" w:sz="4" w:space="0" w:color="auto"/>
              <w:right w:val="single" w:sz="4" w:space="0" w:color="auto"/>
            </w:tcBorders>
            <w:shd w:val="clear" w:color="auto" w:fill="auto"/>
            <w:vAlign w:val="center"/>
            <w:hideMark/>
          </w:tcPr>
          <w:p w:rsidR="00CF536D" w:rsidRPr="000907D3" w:rsidRDefault="00CF536D" w:rsidP="00B55DFD">
            <w:pPr>
              <w:spacing w:after="0" w:line="240" w:lineRule="auto"/>
              <w:jc w:val="both"/>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trimestral</w:t>
            </w:r>
          </w:p>
        </w:tc>
        <w:tc>
          <w:tcPr>
            <w:tcW w:w="1840" w:type="dxa"/>
            <w:tcBorders>
              <w:top w:val="single" w:sz="8" w:space="0" w:color="auto"/>
              <w:left w:val="nil"/>
              <w:bottom w:val="single" w:sz="4" w:space="0" w:color="auto"/>
              <w:right w:val="single" w:sz="8" w:space="0" w:color="auto"/>
            </w:tcBorders>
            <w:shd w:val="clear" w:color="auto" w:fill="auto"/>
            <w:vAlign w:val="center"/>
            <w:hideMark/>
          </w:tcPr>
          <w:p w:rsidR="00CF536D" w:rsidRPr="000907D3" w:rsidRDefault="00CF536D" w:rsidP="00B55DFD">
            <w:pPr>
              <w:spacing w:after="0" w:line="240" w:lineRule="auto"/>
              <w:jc w:val="both"/>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Reporte integra</w:t>
            </w:r>
          </w:p>
        </w:tc>
        <w:tc>
          <w:tcPr>
            <w:tcW w:w="2960" w:type="dxa"/>
            <w:vMerge/>
            <w:tcBorders>
              <w:top w:val="nil"/>
              <w:left w:val="single" w:sz="8" w:space="0" w:color="auto"/>
              <w:bottom w:val="single" w:sz="8" w:space="0" w:color="000000"/>
              <w:right w:val="single" w:sz="8" w:space="0" w:color="auto"/>
            </w:tcBorders>
            <w:vAlign w:val="center"/>
            <w:hideMark/>
          </w:tcPr>
          <w:p w:rsidR="00CF536D" w:rsidRPr="000907D3" w:rsidRDefault="00CF536D" w:rsidP="00B55DFD">
            <w:pPr>
              <w:spacing w:after="0" w:line="240" w:lineRule="auto"/>
              <w:jc w:val="both"/>
              <w:rPr>
                <w:rFonts w:ascii="Adobe Caslon Pro" w:eastAsia="Times New Roman" w:hAnsi="Adobe Caslon Pro" w:cs="Arial"/>
                <w:color w:val="000000"/>
                <w:lang w:eastAsia="es-MX"/>
              </w:rPr>
            </w:pPr>
          </w:p>
        </w:tc>
      </w:tr>
      <w:tr w:rsidR="00CF536D" w:rsidRPr="000907D3" w:rsidTr="00B55DFD">
        <w:trPr>
          <w:trHeight w:val="3690"/>
        </w:trPr>
        <w:tc>
          <w:tcPr>
            <w:tcW w:w="3800" w:type="dxa"/>
            <w:tcBorders>
              <w:top w:val="nil"/>
              <w:left w:val="single" w:sz="4" w:space="0" w:color="auto"/>
              <w:bottom w:val="single" w:sz="4" w:space="0" w:color="auto"/>
              <w:right w:val="single" w:sz="4" w:space="0" w:color="auto"/>
            </w:tcBorders>
            <w:shd w:val="clear" w:color="auto" w:fill="auto"/>
            <w:vAlign w:val="center"/>
            <w:hideMark/>
          </w:tcPr>
          <w:p w:rsidR="00CF536D" w:rsidRPr="000907D3" w:rsidRDefault="00CF536D" w:rsidP="00B55DFD">
            <w:pPr>
              <w:spacing w:after="0" w:line="240" w:lineRule="auto"/>
              <w:jc w:val="both"/>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Capacitación para la ejecución de proyectos</w:t>
            </w:r>
          </w:p>
        </w:tc>
        <w:tc>
          <w:tcPr>
            <w:tcW w:w="2780" w:type="dxa"/>
            <w:tcBorders>
              <w:top w:val="nil"/>
              <w:left w:val="nil"/>
              <w:bottom w:val="single" w:sz="8" w:space="0" w:color="auto"/>
              <w:right w:val="single" w:sz="4" w:space="0" w:color="auto"/>
            </w:tcBorders>
            <w:shd w:val="clear" w:color="auto" w:fill="auto"/>
            <w:vAlign w:val="center"/>
            <w:hideMark/>
          </w:tcPr>
          <w:p w:rsidR="00CF536D" w:rsidRPr="000907D3" w:rsidRDefault="00CF536D" w:rsidP="00B55DFD">
            <w:pPr>
              <w:spacing w:after="0" w:line="240" w:lineRule="auto"/>
              <w:jc w:val="both"/>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 xml:space="preserve">Porcentaje de </w:t>
            </w:r>
            <w:r w:rsidR="0025571B">
              <w:rPr>
                <w:rFonts w:ascii="Adobe Caslon Pro" w:eastAsia="Times New Roman" w:hAnsi="Adobe Caslon Pro" w:cs="Arial"/>
                <w:color w:val="000000"/>
                <w:lang w:eastAsia="es-MX"/>
              </w:rPr>
              <w:t>actores sociales</w:t>
            </w:r>
            <w:r w:rsidRPr="000907D3">
              <w:rPr>
                <w:rFonts w:ascii="Adobe Caslon Pro" w:eastAsia="Times New Roman" w:hAnsi="Adobe Caslon Pro" w:cs="Arial"/>
                <w:color w:val="000000"/>
                <w:lang w:eastAsia="es-MX"/>
              </w:rPr>
              <w:t xml:space="preserve"> que reciben capacitación para la ejecución de sus proyectos</w:t>
            </w:r>
            <w:r w:rsidR="00D855D9">
              <w:rPr>
                <w:rFonts w:ascii="Adobe Caslon Pro" w:eastAsia="Times New Roman" w:hAnsi="Adobe Caslon Pro" w:cs="Arial"/>
                <w:color w:val="000000"/>
                <w:lang w:eastAsia="es-MX"/>
              </w:rPr>
              <w:t>.</w:t>
            </w:r>
          </w:p>
        </w:tc>
        <w:tc>
          <w:tcPr>
            <w:tcW w:w="1253" w:type="dxa"/>
            <w:tcBorders>
              <w:top w:val="single" w:sz="8" w:space="0" w:color="auto"/>
              <w:left w:val="nil"/>
              <w:bottom w:val="single" w:sz="4" w:space="0" w:color="auto"/>
              <w:right w:val="single" w:sz="4" w:space="0" w:color="auto"/>
            </w:tcBorders>
            <w:shd w:val="clear" w:color="auto" w:fill="auto"/>
            <w:vAlign w:val="center"/>
            <w:hideMark/>
          </w:tcPr>
          <w:p w:rsidR="00CF536D" w:rsidRPr="000907D3" w:rsidRDefault="00CF536D" w:rsidP="00B55DFD">
            <w:pPr>
              <w:spacing w:after="0" w:line="240" w:lineRule="auto"/>
              <w:jc w:val="both"/>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trimestral</w:t>
            </w:r>
          </w:p>
        </w:tc>
        <w:tc>
          <w:tcPr>
            <w:tcW w:w="1840" w:type="dxa"/>
            <w:tcBorders>
              <w:top w:val="single" w:sz="8" w:space="0" w:color="auto"/>
              <w:left w:val="nil"/>
              <w:bottom w:val="single" w:sz="4" w:space="0" w:color="auto"/>
              <w:right w:val="single" w:sz="8" w:space="0" w:color="auto"/>
            </w:tcBorders>
            <w:shd w:val="clear" w:color="auto" w:fill="auto"/>
            <w:vAlign w:val="center"/>
            <w:hideMark/>
          </w:tcPr>
          <w:p w:rsidR="00CF536D" w:rsidRPr="000907D3" w:rsidRDefault="00CF536D" w:rsidP="00B55DFD">
            <w:pPr>
              <w:spacing w:after="0" w:line="240" w:lineRule="auto"/>
              <w:jc w:val="both"/>
              <w:rPr>
                <w:rFonts w:ascii="Adobe Caslon Pro" w:eastAsia="Times New Roman" w:hAnsi="Adobe Caslon Pro" w:cs="Arial"/>
                <w:color w:val="000000"/>
                <w:lang w:eastAsia="es-MX"/>
              </w:rPr>
            </w:pPr>
            <w:r w:rsidRPr="000907D3">
              <w:rPr>
                <w:rFonts w:ascii="Adobe Caslon Pro" w:eastAsia="Times New Roman" w:hAnsi="Adobe Caslon Pro" w:cs="Arial"/>
                <w:color w:val="000000"/>
                <w:lang w:eastAsia="es-MX"/>
              </w:rPr>
              <w:t>Reporte integra</w:t>
            </w:r>
          </w:p>
        </w:tc>
        <w:tc>
          <w:tcPr>
            <w:tcW w:w="2960" w:type="dxa"/>
            <w:vMerge/>
            <w:tcBorders>
              <w:top w:val="nil"/>
              <w:left w:val="single" w:sz="8" w:space="0" w:color="auto"/>
              <w:bottom w:val="single" w:sz="8" w:space="0" w:color="000000"/>
              <w:right w:val="single" w:sz="8" w:space="0" w:color="auto"/>
            </w:tcBorders>
            <w:vAlign w:val="center"/>
            <w:hideMark/>
          </w:tcPr>
          <w:p w:rsidR="00CF536D" w:rsidRPr="000907D3" w:rsidRDefault="00CF536D" w:rsidP="00B55DFD">
            <w:pPr>
              <w:spacing w:after="0" w:line="240" w:lineRule="auto"/>
              <w:jc w:val="both"/>
              <w:rPr>
                <w:rFonts w:ascii="Adobe Caslon Pro" w:eastAsia="Times New Roman" w:hAnsi="Adobe Caslon Pro" w:cs="Arial"/>
                <w:color w:val="000000"/>
                <w:lang w:eastAsia="es-MX"/>
              </w:rPr>
            </w:pPr>
          </w:p>
        </w:tc>
      </w:tr>
    </w:tbl>
    <w:p w:rsidR="00CF536D" w:rsidRPr="000907D3" w:rsidRDefault="00CF536D" w:rsidP="00026506">
      <w:pPr>
        <w:spacing w:before="240"/>
        <w:jc w:val="both"/>
        <w:rPr>
          <w:rFonts w:ascii="Adobe Caslon Pro" w:hAnsi="Adobe Caslon Pro" w:cs="Arial"/>
        </w:rPr>
      </w:pPr>
      <w:r w:rsidRPr="000907D3">
        <w:rPr>
          <w:rFonts w:ascii="Adobe Caslon Pro" w:hAnsi="Adobe Caslon Pro" w:cs="Arial"/>
        </w:rPr>
        <w:br w:type="page"/>
      </w:r>
    </w:p>
    <w:p w:rsidR="00CF536D" w:rsidRPr="000907D3" w:rsidRDefault="00CF536D" w:rsidP="00026506">
      <w:pPr>
        <w:pStyle w:val="Ttulo2"/>
        <w:spacing w:before="240" w:after="240"/>
        <w:jc w:val="both"/>
        <w:rPr>
          <w:rFonts w:cs="Arial"/>
          <w:sz w:val="22"/>
          <w:szCs w:val="22"/>
        </w:rPr>
        <w:sectPr w:rsidR="00CF536D" w:rsidRPr="000907D3" w:rsidSect="0019290A">
          <w:pgSz w:w="15840" w:h="12240" w:orient="landscape" w:code="1"/>
          <w:pgMar w:top="1514" w:right="1854" w:bottom="1338" w:left="1418" w:header="720" w:footer="720" w:gutter="0"/>
          <w:cols w:space="720"/>
          <w:noEndnote/>
          <w:docGrid w:linePitch="299"/>
        </w:sectPr>
      </w:pPr>
    </w:p>
    <w:p w:rsidR="00CF536D" w:rsidRPr="000907D3" w:rsidRDefault="009A7A25" w:rsidP="00026506">
      <w:pPr>
        <w:pStyle w:val="Ttulo3"/>
        <w:spacing w:before="240" w:after="240"/>
        <w:jc w:val="both"/>
        <w:rPr>
          <w:rFonts w:cs="Arial"/>
        </w:rPr>
      </w:pPr>
      <w:bookmarkStart w:id="156" w:name="_Toc374381013"/>
      <w:bookmarkStart w:id="157" w:name="_Toc380855733"/>
      <w:bookmarkStart w:id="158" w:name="_Toc263896853"/>
      <w:bookmarkStart w:id="159" w:name="_Toc391925233"/>
      <w:r>
        <w:rPr>
          <w:rFonts w:cs="Arial"/>
        </w:rPr>
        <w:lastRenderedPageBreak/>
        <w:t xml:space="preserve">3.3.3 </w:t>
      </w:r>
      <w:r w:rsidR="00CF536D" w:rsidRPr="000907D3">
        <w:rPr>
          <w:rFonts w:cs="Arial"/>
        </w:rPr>
        <w:t>Objetivos del Programa</w:t>
      </w:r>
      <w:bookmarkEnd w:id="156"/>
      <w:bookmarkEnd w:id="157"/>
      <w:bookmarkEnd w:id="158"/>
      <w:bookmarkEnd w:id="159"/>
    </w:p>
    <w:p w:rsidR="00CF536D" w:rsidRPr="000907D3" w:rsidRDefault="00CF536D" w:rsidP="00026506">
      <w:pPr>
        <w:pStyle w:val="Default"/>
        <w:spacing w:before="240" w:after="240" w:line="276" w:lineRule="auto"/>
        <w:jc w:val="both"/>
        <w:rPr>
          <w:rFonts w:ascii="Adobe Caslon Pro" w:hAnsi="Adobe Caslon Pro" w:cs="Arial"/>
          <w:b/>
          <w:bCs/>
          <w:iCs/>
          <w:sz w:val="22"/>
          <w:szCs w:val="22"/>
        </w:rPr>
      </w:pPr>
      <w:r w:rsidRPr="000907D3">
        <w:rPr>
          <w:rFonts w:ascii="Adobe Caslon Pro" w:hAnsi="Adobe Caslon Pro" w:cs="Arial"/>
          <w:b/>
          <w:bCs/>
          <w:iCs/>
          <w:sz w:val="22"/>
          <w:szCs w:val="22"/>
        </w:rPr>
        <w:t>Objetivo general del programa</w:t>
      </w:r>
    </w:p>
    <w:p w:rsidR="00CF536D" w:rsidRDefault="007F1C7F" w:rsidP="00141B08">
      <w:pPr>
        <w:pStyle w:val="Normal2"/>
        <w:spacing w:after="120"/>
        <w:jc w:val="both"/>
        <w:rPr>
          <w:rFonts w:ascii="Adobe Caslon Pro" w:hAnsi="Adobe Caslon Pro"/>
          <w:sz w:val="22"/>
          <w:szCs w:val="22"/>
        </w:rPr>
      </w:pPr>
      <w:r w:rsidRPr="000907D3">
        <w:rPr>
          <w:rFonts w:ascii="Adobe Caslon Pro" w:hAnsi="Adobe Caslon Pro"/>
          <w:sz w:val="22"/>
          <w:szCs w:val="22"/>
        </w:rPr>
        <w:t>Contribuir al fortalecimiento de la participación social, a través del im</w:t>
      </w:r>
      <w:r w:rsidR="00F812CF" w:rsidRPr="000907D3">
        <w:rPr>
          <w:rFonts w:ascii="Adobe Caslon Pro" w:hAnsi="Adobe Caslon Pro"/>
          <w:sz w:val="22"/>
          <w:szCs w:val="22"/>
        </w:rPr>
        <w:t>pulso a las capacidades de los actores s</w:t>
      </w:r>
      <w:r w:rsidRPr="000907D3">
        <w:rPr>
          <w:rFonts w:ascii="Adobe Caslon Pro" w:hAnsi="Adobe Caslon Pro"/>
          <w:sz w:val="22"/>
          <w:szCs w:val="22"/>
        </w:rPr>
        <w:t xml:space="preserve">ociales. </w:t>
      </w:r>
    </w:p>
    <w:p w:rsidR="0018237B" w:rsidRPr="000907D3" w:rsidRDefault="0018237B" w:rsidP="00141B08">
      <w:pPr>
        <w:pStyle w:val="Normal2"/>
        <w:spacing w:after="120"/>
        <w:jc w:val="both"/>
        <w:rPr>
          <w:rFonts w:ascii="Adobe Caslon Pro" w:hAnsi="Adobe Caslon Pro"/>
          <w:sz w:val="22"/>
          <w:szCs w:val="22"/>
        </w:rPr>
      </w:pPr>
    </w:p>
    <w:p w:rsidR="00CF536D" w:rsidRPr="000907D3" w:rsidRDefault="00CF536D" w:rsidP="00141B08">
      <w:pPr>
        <w:pStyle w:val="Default"/>
        <w:spacing w:after="120" w:line="276" w:lineRule="auto"/>
        <w:jc w:val="both"/>
        <w:rPr>
          <w:rFonts w:ascii="Adobe Caslon Pro" w:hAnsi="Adobe Caslon Pro" w:cs="Arial"/>
          <w:b/>
          <w:bCs/>
          <w:iCs/>
          <w:sz w:val="22"/>
          <w:szCs w:val="22"/>
        </w:rPr>
      </w:pPr>
      <w:r w:rsidRPr="000907D3">
        <w:rPr>
          <w:rFonts w:ascii="Adobe Caslon Pro" w:hAnsi="Adobe Caslon Pro" w:cs="Arial"/>
          <w:b/>
          <w:bCs/>
          <w:iCs/>
          <w:sz w:val="22"/>
          <w:szCs w:val="22"/>
        </w:rPr>
        <w:t>Objetivo específico</w:t>
      </w:r>
    </w:p>
    <w:p w:rsidR="00E82993" w:rsidRDefault="00BF7F18" w:rsidP="00026506">
      <w:pPr>
        <w:pStyle w:val="Normal2"/>
        <w:spacing w:before="240"/>
        <w:jc w:val="both"/>
        <w:rPr>
          <w:rFonts w:ascii="Adobe Caslon Pro" w:hAnsi="Adobe Caslon Pro"/>
          <w:sz w:val="22"/>
          <w:szCs w:val="22"/>
        </w:rPr>
      </w:pPr>
      <w:r w:rsidRPr="000907D3">
        <w:rPr>
          <w:rFonts w:ascii="Adobe Caslon Pro" w:hAnsi="Adobe Caslon Pro"/>
          <w:sz w:val="22"/>
          <w:szCs w:val="22"/>
        </w:rPr>
        <w:t>Fortalecer a los actores sociales para que desarrollen acciones de fomento a la cohesión y al capital social</w:t>
      </w:r>
      <w:r w:rsidRPr="000907D3">
        <w:rPr>
          <w:rStyle w:val="Refdenotaalpie"/>
          <w:rFonts w:ascii="Adobe Caslon Pro" w:hAnsi="Adobe Caslon Pro"/>
          <w:sz w:val="22"/>
          <w:szCs w:val="22"/>
        </w:rPr>
        <w:footnoteReference w:id="29"/>
      </w:r>
      <w:r w:rsidRPr="000907D3">
        <w:rPr>
          <w:rFonts w:ascii="Adobe Caslon Pro" w:hAnsi="Adobe Caslon Pro"/>
          <w:sz w:val="22"/>
          <w:szCs w:val="22"/>
        </w:rPr>
        <w:t xml:space="preserve"> de grupos y regiones que viven en situación</w:t>
      </w:r>
      <w:r w:rsidR="00141B08">
        <w:rPr>
          <w:rFonts w:ascii="Adobe Caslon Pro" w:hAnsi="Adobe Caslon Pro"/>
          <w:sz w:val="22"/>
          <w:szCs w:val="22"/>
        </w:rPr>
        <w:t xml:space="preserve"> de vulnerabilidad y exclusión.</w:t>
      </w:r>
    </w:p>
    <w:p w:rsidR="00077760" w:rsidRPr="000907D3" w:rsidRDefault="00077760" w:rsidP="00026506">
      <w:pPr>
        <w:pStyle w:val="Normal2"/>
        <w:spacing w:before="240"/>
        <w:jc w:val="both"/>
        <w:rPr>
          <w:rFonts w:ascii="Adobe Caslon Pro" w:hAnsi="Adobe Caslon Pro"/>
          <w:sz w:val="22"/>
          <w:szCs w:val="22"/>
        </w:rPr>
      </w:pPr>
      <w:r w:rsidRPr="000907D3">
        <w:rPr>
          <w:rFonts w:ascii="Adobe Caslon Pro" w:hAnsi="Adobe Caslon Pro"/>
          <w:sz w:val="22"/>
          <w:szCs w:val="22"/>
        </w:rPr>
        <w:t xml:space="preserve">Lo anterior </w:t>
      </w:r>
      <w:r w:rsidR="00F812CF" w:rsidRPr="000907D3">
        <w:rPr>
          <w:rFonts w:ascii="Adobe Caslon Pro" w:hAnsi="Adobe Caslon Pro"/>
          <w:sz w:val="22"/>
          <w:szCs w:val="22"/>
        </w:rPr>
        <w:t>tiene como implicaciones</w:t>
      </w:r>
      <w:r w:rsidRPr="000907D3">
        <w:rPr>
          <w:rFonts w:ascii="Adobe Caslon Pro" w:hAnsi="Adobe Caslon Pro"/>
          <w:sz w:val="22"/>
          <w:szCs w:val="22"/>
        </w:rPr>
        <w:t xml:space="preserve">: </w:t>
      </w:r>
    </w:p>
    <w:p w:rsidR="00CF536D" w:rsidRPr="000907D3" w:rsidRDefault="00CF536D" w:rsidP="00026506">
      <w:pPr>
        <w:pStyle w:val="Default"/>
        <w:numPr>
          <w:ilvl w:val="0"/>
          <w:numId w:val="18"/>
        </w:numPr>
        <w:spacing w:before="240" w:after="240" w:line="276" w:lineRule="auto"/>
        <w:jc w:val="both"/>
        <w:rPr>
          <w:rFonts w:ascii="Adobe Caslon Pro" w:hAnsi="Adobe Caslon Pro" w:cs="Arial"/>
          <w:sz w:val="22"/>
          <w:szCs w:val="22"/>
        </w:rPr>
      </w:pPr>
      <w:r w:rsidRPr="000907D3">
        <w:rPr>
          <w:rFonts w:ascii="Adobe Caslon Pro" w:hAnsi="Adobe Caslon Pro" w:cs="Arial"/>
          <w:sz w:val="22"/>
          <w:szCs w:val="22"/>
        </w:rPr>
        <w:t>Desarrollar las capacidades institucionales y autogestivas de los actores sociales.</w:t>
      </w:r>
    </w:p>
    <w:p w:rsidR="00CF536D" w:rsidRPr="000907D3" w:rsidRDefault="00CF536D" w:rsidP="00026506">
      <w:pPr>
        <w:pStyle w:val="Default"/>
        <w:numPr>
          <w:ilvl w:val="0"/>
          <w:numId w:val="18"/>
        </w:numPr>
        <w:spacing w:before="240" w:after="240" w:line="276" w:lineRule="auto"/>
        <w:jc w:val="both"/>
        <w:rPr>
          <w:rFonts w:ascii="Adobe Caslon Pro" w:hAnsi="Adobe Caslon Pro" w:cs="Arial"/>
          <w:sz w:val="22"/>
          <w:szCs w:val="22"/>
        </w:rPr>
      </w:pPr>
      <w:r w:rsidRPr="000907D3">
        <w:rPr>
          <w:rFonts w:ascii="Adobe Caslon Pro" w:hAnsi="Adobe Caslon Pro" w:cs="Arial"/>
          <w:sz w:val="22"/>
          <w:szCs w:val="22"/>
        </w:rPr>
        <w:t>Desarrollar espacios de participación, vinculación e incidencia relevante de los actores sociales en el diseño, instrumentación y evaluación de políticas públicas sociales.</w:t>
      </w:r>
    </w:p>
    <w:p w:rsidR="00CF536D" w:rsidRPr="000907D3" w:rsidRDefault="00CF536D" w:rsidP="00026506">
      <w:pPr>
        <w:pStyle w:val="Default"/>
        <w:numPr>
          <w:ilvl w:val="0"/>
          <w:numId w:val="18"/>
        </w:numPr>
        <w:spacing w:before="240" w:after="240" w:line="276" w:lineRule="auto"/>
        <w:jc w:val="both"/>
        <w:rPr>
          <w:rFonts w:ascii="Adobe Caslon Pro" w:hAnsi="Adobe Caslon Pro" w:cs="Arial"/>
          <w:sz w:val="22"/>
          <w:szCs w:val="22"/>
        </w:rPr>
      </w:pPr>
      <w:r w:rsidRPr="000907D3">
        <w:rPr>
          <w:rFonts w:ascii="Adobe Caslon Pro" w:hAnsi="Adobe Caslon Pro" w:cs="Arial"/>
          <w:sz w:val="22"/>
          <w:szCs w:val="22"/>
        </w:rPr>
        <w:t>Desarrollar y aprovechar el conocimiento, propuestas, metodologías y recomendaciones en torno al desarrollo social en</w:t>
      </w:r>
      <w:r w:rsidR="00E82993">
        <w:rPr>
          <w:rFonts w:ascii="Adobe Caslon Pro" w:hAnsi="Adobe Caslon Pro" w:cs="Arial"/>
          <w:sz w:val="22"/>
          <w:szCs w:val="22"/>
        </w:rPr>
        <w:t xml:space="preserve"> su conjunto, y particularmente de aquellas propuestas, metodologías y recomendaciones que contribuyan a</w:t>
      </w:r>
      <w:r w:rsidRPr="000907D3">
        <w:rPr>
          <w:rFonts w:ascii="Adobe Caslon Pro" w:hAnsi="Adobe Caslon Pro" w:cs="Arial"/>
          <w:sz w:val="22"/>
          <w:szCs w:val="22"/>
        </w:rPr>
        <w:t xml:space="preserve">l conocimiento y fortalecimiento de la sociedad civil organizada. </w:t>
      </w:r>
    </w:p>
    <w:p w:rsidR="00CF536D" w:rsidRPr="00A037D2" w:rsidRDefault="009A7A25" w:rsidP="00026506">
      <w:pPr>
        <w:pStyle w:val="Ttulo3"/>
        <w:spacing w:before="240" w:after="240"/>
        <w:jc w:val="both"/>
      </w:pPr>
      <w:bookmarkStart w:id="160" w:name="_Toc374381014"/>
      <w:bookmarkStart w:id="161" w:name="_Toc380855734"/>
      <w:bookmarkStart w:id="162" w:name="_Toc263896854"/>
      <w:bookmarkStart w:id="163" w:name="_Toc391925234"/>
      <w:r>
        <w:t xml:space="preserve">3.3.4 </w:t>
      </w:r>
      <w:r w:rsidR="00CF536D" w:rsidRPr="00A037D2">
        <w:t>Población potencial</w:t>
      </w:r>
      <w:bookmarkEnd w:id="160"/>
      <w:bookmarkEnd w:id="161"/>
      <w:bookmarkEnd w:id="162"/>
      <w:bookmarkEnd w:id="163"/>
    </w:p>
    <w:p w:rsidR="0018237B" w:rsidRDefault="00CF536D" w:rsidP="00026506">
      <w:pPr>
        <w:spacing w:before="240"/>
        <w:jc w:val="both"/>
        <w:rPr>
          <w:rFonts w:ascii="Adobe Caslon Pro" w:hAnsi="Adobe Caslon Pro" w:cs="Arial"/>
        </w:rPr>
      </w:pPr>
      <w:r w:rsidRPr="00172394">
        <w:rPr>
          <w:rFonts w:ascii="Adobe Caslon Pro" w:hAnsi="Adobe Caslon Pro" w:cs="Arial"/>
        </w:rPr>
        <w:t xml:space="preserve">Con base en el árbol de problemas desarrollado en el diagnóstico, </w:t>
      </w:r>
      <w:r w:rsidR="00FC6121" w:rsidRPr="00172394">
        <w:rPr>
          <w:rFonts w:ascii="Adobe Caslon Pro" w:hAnsi="Adobe Caslon Pro" w:cs="Arial"/>
        </w:rPr>
        <w:t>la población potencial se define como “la población que presenta la necesidad y/o problema que el programa busca resolver y que por ende pudiera ser elegible para su atención”. En este sentido</w:t>
      </w:r>
      <w:r w:rsidR="00C404A0" w:rsidRPr="00172394">
        <w:rPr>
          <w:rFonts w:ascii="Adobe Caslon Pro" w:hAnsi="Adobe Caslon Pro" w:cs="Arial"/>
        </w:rPr>
        <w:t>, la población potencial está constituida</w:t>
      </w:r>
      <w:r w:rsidR="00FC6121" w:rsidRPr="00172394">
        <w:rPr>
          <w:rFonts w:ascii="Adobe Caslon Pro" w:hAnsi="Adobe Caslon Pro" w:cs="Arial"/>
        </w:rPr>
        <w:t xml:space="preserve"> </w:t>
      </w:r>
      <w:r w:rsidR="00C404A0" w:rsidRPr="00172394">
        <w:rPr>
          <w:rFonts w:ascii="Adobe Caslon Pro" w:hAnsi="Adobe Caslon Pro" w:cs="Arial"/>
        </w:rPr>
        <w:t xml:space="preserve">por </w:t>
      </w:r>
      <w:r w:rsidR="00FC6121" w:rsidRPr="00172394">
        <w:rPr>
          <w:rFonts w:ascii="Adobe Caslon Pro" w:hAnsi="Adobe Caslon Pro" w:cs="Arial"/>
          <w:b/>
        </w:rPr>
        <w:t xml:space="preserve">los actores </w:t>
      </w:r>
      <w:r w:rsidR="00FC6121" w:rsidRPr="00172394">
        <w:rPr>
          <w:rFonts w:ascii="Adobe Caslon Pro" w:hAnsi="Adobe Caslon Pro" w:cs="Arial"/>
          <w:b/>
        </w:rPr>
        <w:lastRenderedPageBreak/>
        <w:t>sociales que cuentan con proyectos de desarrollo social que coadyuvan al desarrollo de grupos y regiones que viven en situación de vulnerabilidad y rezago</w:t>
      </w:r>
      <w:r w:rsidR="00FC6121" w:rsidRPr="00172394">
        <w:rPr>
          <w:rFonts w:ascii="Adobe Caslon Pro" w:hAnsi="Adobe Caslon Pro" w:cs="Arial"/>
        </w:rPr>
        <w:t>, misma que asciende a</w:t>
      </w:r>
      <w:r w:rsidR="00FC6121" w:rsidRPr="00172394">
        <w:rPr>
          <w:rFonts w:ascii="Adobe Caslon Pro" w:hAnsi="Adobe Caslon Pro" w:cs="Arial"/>
          <w:b/>
        </w:rPr>
        <w:t xml:space="preserve"> 7,014 actores sociales </w:t>
      </w:r>
      <w:r w:rsidR="00FC6121" w:rsidRPr="00172394">
        <w:rPr>
          <w:rFonts w:ascii="Adobe Caslon Pro" w:hAnsi="Adobe Caslon Pro" w:cs="Arial"/>
        </w:rPr>
        <w:t>al cierre de 2013</w:t>
      </w:r>
      <w:r w:rsidR="00FC6121" w:rsidRPr="00172394">
        <w:rPr>
          <w:rFonts w:ascii="Adobe Caslon Pro" w:hAnsi="Adobe Caslon Pro" w:cs="Arial"/>
          <w:b/>
        </w:rPr>
        <w:t>.</w:t>
      </w:r>
    </w:p>
    <w:p w:rsidR="00CF536D" w:rsidRPr="000907D3" w:rsidRDefault="00CF536D" w:rsidP="00026506">
      <w:pPr>
        <w:spacing w:before="240"/>
        <w:jc w:val="both"/>
        <w:rPr>
          <w:rFonts w:ascii="Adobe Caslon Pro" w:hAnsi="Adobe Caslon Pro" w:cs="Arial"/>
        </w:rPr>
      </w:pPr>
      <w:r w:rsidRPr="000907D3">
        <w:rPr>
          <w:rFonts w:ascii="Adobe Caslon Pro" w:hAnsi="Adobe Caslon Pro" w:cs="Arial"/>
        </w:rPr>
        <w:t>De la definición de población potencial se desprenden dos s</w:t>
      </w:r>
      <w:r w:rsidR="00F21057">
        <w:rPr>
          <w:rFonts w:ascii="Adobe Caslon Pro" w:hAnsi="Adobe Caslon Pro" w:cs="Arial"/>
        </w:rPr>
        <w:t>ubconjuntos de actores sociales:</w:t>
      </w:r>
    </w:p>
    <w:p w:rsidR="00CF536D" w:rsidRPr="000907D3" w:rsidRDefault="00CF536D" w:rsidP="00026506">
      <w:pPr>
        <w:pStyle w:val="Prrafodelista"/>
        <w:numPr>
          <w:ilvl w:val="0"/>
          <w:numId w:val="30"/>
        </w:numPr>
        <w:spacing w:before="240"/>
        <w:jc w:val="both"/>
        <w:rPr>
          <w:rFonts w:ascii="Adobe Caslon Pro" w:hAnsi="Adobe Caslon Pro" w:cs="Arial"/>
        </w:rPr>
      </w:pPr>
      <w:r w:rsidRPr="000907D3">
        <w:rPr>
          <w:rFonts w:ascii="Adobe Caslon Pro" w:hAnsi="Adobe Caslon Pro" w:cs="Arial"/>
        </w:rPr>
        <w:t xml:space="preserve">Por un lado se encuentran las OCS. Al respecto, la LFFAROSC define que para que una organización sea sujeta de los apoyos y beneficios de los programas de orden federal, debe estar registrada en </w:t>
      </w:r>
      <w:r w:rsidR="00327AFF">
        <w:rPr>
          <w:rFonts w:ascii="Adobe Caslon Pro" w:hAnsi="Adobe Caslon Pro" w:cs="Arial"/>
        </w:rPr>
        <w:t xml:space="preserve">el </w:t>
      </w:r>
      <w:r w:rsidRPr="000907D3">
        <w:rPr>
          <w:rFonts w:ascii="Adobe Caslon Pro" w:hAnsi="Adobe Caslon Pro" w:cs="Arial"/>
        </w:rPr>
        <w:t xml:space="preserve">RFOSC y contar con la </w:t>
      </w:r>
      <w:r w:rsidR="00940E10">
        <w:rPr>
          <w:rFonts w:ascii="Adobe Caslon Pro" w:hAnsi="Adobe Caslon Pro" w:cs="Arial"/>
        </w:rPr>
        <w:t>CLUNI</w:t>
      </w:r>
      <w:r w:rsidRPr="000907D3">
        <w:rPr>
          <w:rFonts w:ascii="Adobe Caslon Pro" w:hAnsi="Adobe Caslon Pro" w:cs="Arial"/>
        </w:rPr>
        <w:t xml:space="preserve">. </w:t>
      </w:r>
    </w:p>
    <w:p w:rsidR="00CF536D" w:rsidRPr="000907D3" w:rsidRDefault="00CF536D" w:rsidP="00026506">
      <w:pPr>
        <w:pStyle w:val="Prrafodelista"/>
        <w:numPr>
          <w:ilvl w:val="0"/>
          <w:numId w:val="30"/>
        </w:numPr>
        <w:spacing w:before="240"/>
        <w:jc w:val="both"/>
        <w:rPr>
          <w:rFonts w:ascii="Adobe Caslon Pro" w:hAnsi="Adobe Caslon Pro" w:cs="Arial"/>
        </w:rPr>
      </w:pPr>
      <w:r w:rsidRPr="000907D3">
        <w:rPr>
          <w:rFonts w:ascii="Adobe Caslon Pro" w:hAnsi="Adobe Caslon Pro" w:cs="Arial"/>
        </w:rPr>
        <w:t xml:space="preserve">Por otro lado, considerando que entre las causas del problema central se encuentra la insuficiente información sobre el quehacer de los actores sociales y sus bajos niveles de desarrollo institucional, se considera que las </w:t>
      </w:r>
      <w:r w:rsidR="00160981">
        <w:rPr>
          <w:rFonts w:ascii="Adobe Caslon Pro" w:hAnsi="Adobe Caslon Pro" w:cs="Arial"/>
        </w:rPr>
        <w:t>IES</w:t>
      </w:r>
      <w:r w:rsidRPr="000907D3">
        <w:rPr>
          <w:rFonts w:ascii="Adobe Caslon Pro" w:hAnsi="Adobe Caslon Pro" w:cs="Arial"/>
        </w:rPr>
        <w:t xml:space="preserve"> y los </w:t>
      </w:r>
      <w:r w:rsidR="00160981">
        <w:rPr>
          <w:rFonts w:ascii="Adobe Caslon Pro" w:hAnsi="Adobe Caslon Pro" w:cs="Arial"/>
        </w:rPr>
        <w:t>CI</w:t>
      </w:r>
      <w:r w:rsidRPr="000907D3">
        <w:rPr>
          <w:rFonts w:ascii="Adobe Caslon Pro" w:hAnsi="Adobe Caslon Pro" w:cs="Arial"/>
        </w:rPr>
        <w:t xml:space="preserve"> son actores clave que tendrían que ser incluidos en una estrategia de intervención a fin de atender estas causas generando acciones de investigación y desarrollo de capacidades, principalmente.</w:t>
      </w:r>
    </w:p>
    <w:p w:rsidR="00CF536D" w:rsidRPr="000907D3" w:rsidRDefault="00CF536D" w:rsidP="00026506">
      <w:pPr>
        <w:spacing w:before="240"/>
        <w:jc w:val="both"/>
        <w:rPr>
          <w:rFonts w:ascii="Adobe Caslon Pro" w:hAnsi="Adobe Caslon Pro" w:cs="Arial"/>
          <w:b/>
          <w:bCs/>
        </w:rPr>
      </w:pPr>
      <w:r w:rsidRPr="000907D3">
        <w:rPr>
          <w:rFonts w:ascii="Adobe Caslon Pro" w:hAnsi="Adobe Caslon Pro" w:cs="Arial"/>
        </w:rPr>
        <w:t xml:space="preserve">Con base en el Registro Federal de </w:t>
      </w:r>
      <w:r w:rsidR="002F714E">
        <w:rPr>
          <w:rFonts w:ascii="Adobe Caslon Pro" w:hAnsi="Adobe Caslon Pro" w:cs="Arial"/>
        </w:rPr>
        <w:t>OSC</w:t>
      </w:r>
      <w:r w:rsidRPr="000907D3">
        <w:rPr>
          <w:rFonts w:ascii="Adobe Caslon Pro" w:hAnsi="Adobe Caslon Pro" w:cs="Arial"/>
        </w:rPr>
        <w:t>, y al aplicar la caracterización de la población potencial desarrollad</w:t>
      </w:r>
      <w:r w:rsidR="00A24ADC" w:rsidRPr="000907D3">
        <w:rPr>
          <w:rFonts w:ascii="Adobe Caslon Pro" w:hAnsi="Adobe Caslon Pro" w:cs="Arial"/>
        </w:rPr>
        <w:t>a</w:t>
      </w:r>
      <w:r w:rsidRPr="000907D3">
        <w:rPr>
          <w:rFonts w:ascii="Adobe Caslon Pro" w:hAnsi="Adobe Caslon Pro" w:cs="Arial"/>
        </w:rPr>
        <w:t xml:space="preserve"> en el Diagnóstico del PCS, la cuantificación de la población potencial se muestra en el cuadro</w:t>
      </w:r>
      <w:r w:rsidR="008F5529">
        <w:rPr>
          <w:rFonts w:ascii="Adobe Caslon Pro" w:hAnsi="Adobe Caslon Pro" w:cs="Arial"/>
        </w:rPr>
        <w:t xml:space="preserve"> 11</w:t>
      </w:r>
      <w:r w:rsidRPr="000907D3">
        <w:rPr>
          <w:rFonts w:ascii="Adobe Caslon Pro" w:hAnsi="Adobe Caslon Pro" w:cs="Arial"/>
          <w:vertAlign w:val="superscript"/>
        </w:rPr>
        <w:footnoteReference w:id="30"/>
      </w:r>
      <w:r w:rsidRPr="000907D3">
        <w:rPr>
          <w:rFonts w:ascii="Adobe Caslon Pro" w:hAnsi="Adobe Caslon Pro" w:cs="Arial"/>
        </w:rPr>
        <w:t>.</w:t>
      </w:r>
    </w:p>
    <w:p w:rsidR="00CF536D" w:rsidRPr="00D059D9" w:rsidRDefault="00CF536D" w:rsidP="00444030">
      <w:pPr>
        <w:pStyle w:val="CuadroTitulo"/>
        <w:spacing w:before="240" w:after="240" w:line="276" w:lineRule="auto"/>
        <w:rPr>
          <w:rFonts w:ascii="Adobe Caslon Pro" w:hAnsi="Adobe Caslon Pro" w:cs="Arial"/>
          <w:color w:val="000000" w:themeColor="text1"/>
          <w:sz w:val="20"/>
          <w:szCs w:val="20"/>
        </w:rPr>
      </w:pPr>
      <w:bookmarkStart w:id="164" w:name="_Toc376103663"/>
      <w:bookmarkStart w:id="165" w:name="_Toc374381015"/>
      <w:r w:rsidRPr="00D059D9">
        <w:rPr>
          <w:rFonts w:ascii="Adobe Caslon Pro" w:hAnsi="Adobe Caslon Pro" w:cs="Arial"/>
          <w:color w:val="000000" w:themeColor="text1"/>
          <w:sz w:val="20"/>
          <w:szCs w:val="20"/>
        </w:rPr>
        <w:t xml:space="preserve">Cuadro </w:t>
      </w:r>
      <w:r w:rsidR="001E24D5" w:rsidRPr="00D059D9">
        <w:rPr>
          <w:rFonts w:ascii="Adobe Caslon Pro" w:hAnsi="Adobe Caslon Pro" w:cs="Arial"/>
          <w:color w:val="000000" w:themeColor="text1"/>
          <w:sz w:val="20"/>
          <w:szCs w:val="20"/>
        </w:rPr>
        <w:t>11</w:t>
      </w:r>
      <w:r w:rsidRPr="00D059D9">
        <w:rPr>
          <w:rFonts w:ascii="Adobe Caslon Pro" w:hAnsi="Adobe Caslon Pro" w:cs="Arial"/>
          <w:color w:val="000000" w:themeColor="text1"/>
          <w:sz w:val="20"/>
          <w:szCs w:val="20"/>
        </w:rPr>
        <w:t>. Población potencial del PCS</w:t>
      </w:r>
      <w:bookmarkEnd w:id="164"/>
    </w:p>
    <w:tbl>
      <w:tblPr>
        <w:tblW w:w="2350" w:type="dxa"/>
        <w:jc w:val="center"/>
        <w:tblInd w:w="55" w:type="dxa"/>
        <w:tblCellMar>
          <w:left w:w="70" w:type="dxa"/>
          <w:right w:w="70" w:type="dxa"/>
        </w:tblCellMar>
        <w:tblLook w:val="04A0" w:firstRow="1" w:lastRow="0" w:firstColumn="1" w:lastColumn="0" w:noHBand="0" w:noVBand="1"/>
      </w:tblPr>
      <w:tblGrid>
        <w:gridCol w:w="1710"/>
        <w:gridCol w:w="640"/>
      </w:tblGrid>
      <w:tr w:rsidR="000D62D1" w:rsidRPr="000D62D1" w:rsidTr="00271526">
        <w:trPr>
          <w:trHeight w:val="420"/>
          <w:jc w:val="center"/>
        </w:trPr>
        <w:tc>
          <w:tcPr>
            <w:tcW w:w="171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0D62D1" w:rsidRPr="000D62D1" w:rsidRDefault="000D62D1" w:rsidP="00271526">
            <w:pPr>
              <w:spacing w:after="0" w:line="240" w:lineRule="auto"/>
              <w:contextualSpacing/>
              <w:jc w:val="center"/>
              <w:rPr>
                <w:rFonts w:ascii="Adobe Caslon Pro" w:eastAsia="Times New Roman" w:hAnsi="Adobe Caslon Pro"/>
                <w:b/>
                <w:bCs/>
                <w:color w:val="000000"/>
                <w:lang w:eastAsia="es-MX"/>
              </w:rPr>
            </w:pPr>
            <w:r w:rsidRPr="000D62D1">
              <w:rPr>
                <w:rFonts w:ascii="Adobe Caslon Pro" w:eastAsia="Times New Roman" w:hAnsi="Adobe Caslon Pro" w:cs="Arial"/>
                <w:b/>
                <w:bCs/>
                <w:color w:val="000000"/>
                <w:lang w:eastAsia="es-MX"/>
              </w:rPr>
              <w:t>Actores Sociales</w:t>
            </w:r>
          </w:p>
        </w:tc>
        <w:tc>
          <w:tcPr>
            <w:tcW w:w="640" w:type="dxa"/>
            <w:tcBorders>
              <w:top w:val="single" w:sz="4" w:space="0" w:color="auto"/>
              <w:left w:val="nil"/>
              <w:bottom w:val="single" w:sz="4" w:space="0" w:color="auto"/>
              <w:right w:val="single" w:sz="4" w:space="0" w:color="auto"/>
            </w:tcBorders>
            <w:shd w:val="clear" w:color="000000" w:fill="BFBFBF"/>
            <w:vAlign w:val="center"/>
            <w:hideMark/>
          </w:tcPr>
          <w:p w:rsidR="000D62D1" w:rsidRPr="000D62D1" w:rsidRDefault="000D62D1" w:rsidP="00271526">
            <w:pPr>
              <w:spacing w:after="0" w:line="240" w:lineRule="auto"/>
              <w:contextualSpacing/>
              <w:jc w:val="both"/>
              <w:rPr>
                <w:rFonts w:ascii="Adobe Caslon Pro" w:eastAsia="Times New Roman" w:hAnsi="Adobe Caslon Pro"/>
                <w:b/>
                <w:bCs/>
                <w:color w:val="000000"/>
                <w:lang w:eastAsia="es-MX"/>
              </w:rPr>
            </w:pPr>
            <w:r w:rsidRPr="000D62D1">
              <w:rPr>
                <w:rFonts w:ascii="Adobe Caslon Pro" w:eastAsia="Times New Roman" w:hAnsi="Adobe Caslon Pro" w:cs="Arial"/>
                <w:b/>
                <w:bCs/>
                <w:color w:val="000000"/>
                <w:lang w:eastAsia="es-MX"/>
              </w:rPr>
              <w:t>Total</w:t>
            </w:r>
          </w:p>
        </w:tc>
      </w:tr>
      <w:tr w:rsidR="000D62D1" w:rsidRPr="000D62D1" w:rsidTr="00271526">
        <w:trPr>
          <w:trHeight w:val="420"/>
          <w:jc w:val="center"/>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0D62D1" w:rsidRPr="000D62D1" w:rsidRDefault="002F714E" w:rsidP="00271526">
            <w:pPr>
              <w:spacing w:after="0" w:line="240" w:lineRule="auto"/>
              <w:contextualSpacing/>
              <w:jc w:val="center"/>
              <w:rPr>
                <w:rFonts w:ascii="Adobe Caslon Pro" w:eastAsia="Times New Roman" w:hAnsi="Adobe Caslon Pro"/>
                <w:color w:val="000000"/>
                <w:lang w:eastAsia="es-MX"/>
              </w:rPr>
            </w:pPr>
            <w:r>
              <w:rPr>
                <w:rFonts w:ascii="Adobe Caslon Pro" w:eastAsia="Times New Roman" w:hAnsi="Adobe Caslon Pro" w:cs="Arial"/>
                <w:color w:val="000000"/>
                <w:lang w:eastAsia="es-MX"/>
              </w:rPr>
              <w:t>OSC</w:t>
            </w:r>
            <w:r w:rsidR="000D62D1" w:rsidRPr="000D62D1">
              <w:rPr>
                <w:rFonts w:ascii="Adobe Caslon Pro" w:eastAsia="Times New Roman" w:hAnsi="Adobe Caslon Pro" w:cs="Arial"/>
                <w:color w:val="000000"/>
                <w:lang w:eastAsia="es-MX"/>
              </w:rPr>
              <w:t xml:space="preserve"> activas</w:t>
            </w:r>
          </w:p>
        </w:tc>
        <w:tc>
          <w:tcPr>
            <w:tcW w:w="640" w:type="dxa"/>
            <w:tcBorders>
              <w:top w:val="nil"/>
              <w:left w:val="nil"/>
              <w:bottom w:val="single" w:sz="4" w:space="0" w:color="auto"/>
              <w:right w:val="single" w:sz="4" w:space="0" w:color="auto"/>
            </w:tcBorders>
            <w:shd w:val="clear" w:color="auto" w:fill="auto"/>
            <w:vAlign w:val="center"/>
            <w:hideMark/>
          </w:tcPr>
          <w:p w:rsidR="000D62D1" w:rsidRPr="000D62D1" w:rsidRDefault="000D62D1" w:rsidP="00271526">
            <w:pPr>
              <w:spacing w:after="0" w:line="240" w:lineRule="auto"/>
              <w:contextualSpacing/>
              <w:jc w:val="center"/>
              <w:rPr>
                <w:rFonts w:ascii="Adobe Caslon Pro" w:eastAsia="Times New Roman" w:hAnsi="Adobe Caslon Pro"/>
                <w:color w:val="000000"/>
                <w:lang w:eastAsia="es-MX"/>
              </w:rPr>
            </w:pPr>
            <w:r w:rsidRPr="000D62D1">
              <w:rPr>
                <w:rFonts w:ascii="Adobe Caslon Pro" w:eastAsia="Times New Roman" w:hAnsi="Adobe Caslon Pro" w:cs="Arial"/>
                <w:color w:val="000000"/>
                <w:lang w:eastAsia="es-MX"/>
              </w:rPr>
              <w:t>6,925</w:t>
            </w:r>
          </w:p>
        </w:tc>
      </w:tr>
      <w:tr w:rsidR="000D62D1" w:rsidRPr="000D62D1" w:rsidTr="00271526">
        <w:trPr>
          <w:trHeight w:val="420"/>
          <w:jc w:val="center"/>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0D62D1" w:rsidRPr="000D62D1" w:rsidRDefault="00160981" w:rsidP="00271526">
            <w:pPr>
              <w:spacing w:after="0" w:line="240" w:lineRule="auto"/>
              <w:contextualSpacing/>
              <w:jc w:val="center"/>
              <w:rPr>
                <w:rFonts w:ascii="Adobe Caslon Pro" w:eastAsia="Times New Roman" w:hAnsi="Adobe Caslon Pro"/>
                <w:color w:val="000000"/>
                <w:lang w:eastAsia="es-MX"/>
              </w:rPr>
            </w:pPr>
            <w:r>
              <w:rPr>
                <w:rFonts w:ascii="Adobe Caslon Pro" w:eastAsia="Times New Roman" w:hAnsi="Adobe Caslon Pro" w:cs="Arial"/>
                <w:color w:val="000000"/>
                <w:lang w:eastAsia="es-MX"/>
              </w:rPr>
              <w:t>IES</w:t>
            </w:r>
            <w:r w:rsidR="000D62D1" w:rsidRPr="000D62D1">
              <w:rPr>
                <w:rFonts w:ascii="Adobe Caslon Pro" w:eastAsia="Times New Roman" w:hAnsi="Adobe Caslon Pro" w:cs="Arial"/>
                <w:color w:val="000000"/>
                <w:lang w:eastAsia="es-MX"/>
              </w:rPr>
              <w:t xml:space="preserve"> y </w:t>
            </w:r>
            <w:r>
              <w:rPr>
                <w:rFonts w:ascii="Adobe Caslon Pro" w:eastAsia="Times New Roman" w:hAnsi="Adobe Caslon Pro" w:cs="Arial"/>
                <w:color w:val="000000"/>
                <w:lang w:eastAsia="es-MX"/>
              </w:rPr>
              <w:t>CI</w:t>
            </w:r>
          </w:p>
        </w:tc>
        <w:tc>
          <w:tcPr>
            <w:tcW w:w="640" w:type="dxa"/>
            <w:tcBorders>
              <w:top w:val="nil"/>
              <w:left w:val="nil"/>
              <w:bottom w:val="single" w:sz="4" w:space="0" w:color="auto"/>
              <w:right w:val="single" w:sz="4" w:space="0" w:color="auto"/>
            </w:tcBorders>
            <w:shd w:val="clear" w:color="auto" w:fill="auto"/>
            <w:vAlign w:val="center"/>
            <w:hideMark/>
          </w:tcPr>
          <w:p w:rsidR="000D62D1" w:rsidRPr="000D62D1" w:rsidRDefault="000D62D1" w:rsidP="00271526">
            <w:pPr>
              <w:spacing w:after="0" w:line="240" w:lineRule="auto"/>
              <w:contextualSpacing/>
              <w:jc w:val="center"/>
              <w:rPr>
                <w:rFonts w:ascii="Adobe Caslon Pro" w:eastAsia="Times New Roman" w:hAnsi="Adobe Caslon Pro"/>
                <w:color w:val="000000"/>
                <w:lang w:eastAsia="es-MX"/>
              </w:rPr>
            </w:pPr>
            <w:r w:rsidRPr="000D62D1">
              <w:rPr>
                <w:rFonts w:ascii="Adobe Caslon Pro" w:eastAsia="Times New Roman" w:hAnsi="Adobe Caslon Pro" w:cs="Arial"/>
                <w:color w:val="000000"/>
                <w:lang w:eastAsia="es-MX"/>
              </w:rPr>
              <w:t>89</w:t>
            </w:r>
          </w:p>
        </w:tc>
      </w:tr>
      <w:tr w:rsidR="000D62D1" w:rsidRPr="000D62D1" w:rsidTr="00271526">
        <w:trPr>
          <w:trHeight w:val="420"/>
          <w:jc w:val="center"/>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0D62D1" w:rsidRPr="000D62D1" w:rsidRDefault="000D62D1" w:rsidP="00271526">
            <w:pPr>
              <w:spacing w:after="0" w:line="240" w:lineRule="auto"/>
              <w:contextualSpacing/>
              <w:jc w:val="center"/>
              <w:rPr>
                <w:rFonts w:ascii="Adobe Caslon Pro" w:eastAsia="Times New Roman" w:hAnsi="Adobe Caslon Pro"/>
                <w:color w:val="000000"/>
                <w:lang w:eastAsia="es-MX"/>
              </w:rPr>
            </w:pPr>
            <w:r w:rsidRPr="000D62D1">
              <w:rPr>
                <w:rFonts w:ascii="Adobe Caslon Pro" w:eastAsia="Times New Roman" w:hAnsi="Adobe Caslon Pro" w:cs="Arial"/>
                <w:color w:val="000000"/>
                <w:lang w:eastAsia="es-MX"/>
              </w:rPr>
              <w:t>Total</w:t>
            </w:r>
          </w:p>
        </w:tc>
        <w:tc>
          <w:tcPr>
            <w:tcW w:w="640" w:type="dxa"/>
            <w:tcBorders>
              <w:top w:val="nil"/>
              <w:left w:val="nil"/>
              <w:bottom w:val="single" w:sz="4" w:space="0" w:color="auto"/>
              <w:right w:val="single" w:sz="4" w:space="0" w:color="auto"/>
            </w:tcBorders>
            <w:shd w:val="clear" w:color="auto" w:fill="auto"/>
            <w:vAlign w:val="center"/>
            <w:hideMark/>
          </w:tcPr>
          <w:p w:rsidR="000D62D1" w:rsidRPr="000D62D1" w:rsidRDefault="000D62D1" w:rsidP="00271526">
            <w:pPr>
              <w:spacing w:after="0" w:line="240" w:lineRule="auto"/>
              <w:contextualSpacing/>
              <w:jc w:val="center"/>
              <w:rPr>
                <w:rFonts w:ascii="Adobe Caslon Pro" w:eastAsia="Times New Roman" w:hAnsi="Adobe Caslon Pro"/>
                <w:color w:val="000000"/>
                <w:lang w:eastAsia="es-MX"/>
              </w:rPr>
            </w:pPr>
            <w:r w:rsidRPr="000D62D1">
              <w:rPr>
                <w:rFonts w:ascii="Adobe Caslon Pro" w:eastAsia="Times New Roman" w:hAnsi="Adobe Caslon Pro" w:cs="Arial"/>
                <w:color w:val="000000"/>
                <w:lang w:eastAsia="es-MX"/>
              </w:rPr>
              <w:t>7,014</w:t>
            </w:r>
          </w:p>
        </w:tc>
      </w:tr>
    </w:tbl>
    <w:p w:rsidR="00CF536D" w:rsidRPr="00D059D9" w:rsidRDefault="00CF536D" w:rsidP="00026506">
      <w:pPr>
        <w:spacing w:before="240"/>
        <w:jc w:val="both"/>
        <w:rPr>
          <w:rFonts w:ascii="Adobe Caslon Pro" w:hAnsi="Adobe Caslon Pro" w:cs="Arial"/>
          <w:sz w:val="18"/>
          <w:szCs w:val="18"/>
        </w:rPr>
      </w:pPr>
      <w:r w:rsidRPr="00D059D9">
        <w:rPr>
          <w:rFonts w:ascii="Adobe Caslon Pro" w:hAnsi="Adobe Caslon Pro" w:cs="Arial"/>
          <w:sz w:val="18"/>
          <w:szCs w:val="18"/>
        </w:rPr>
        <w:t>Fuente: Elaboración propia con base en Información del Sistema de Gestión de Proyectos del PCS (SIGEPPCS).</w:t>
      </w:r>
    </w:p>
    <w:p w:rsidR="00CF536D" w:rsidRPr="00A037D2" w:rsidRDefault="009A7A25" w:rsidP="00026506">
      <w:pPr>
        <w:pStyle w:val="Ttulo3"/>
        <w:spacing w:before="240" w:after="240"/>
        <w:jc w:val="both"/>
      </w:pPr>
      <w:bookmarkStart w:id="166" w:name="_Toc380855735"/>
      <w:bookmarkStart w:id="167" w:name="_Toc263896855"/>
      <w:bookmarkStart w:id="168" w:name="_Toc391925235"/>
      <w:r>
        <w:t xml:space="preserve">3.3.5 </w:t>
      </w:r>
      <w:r w:rsidR="00CF536D" w:rsidRPr="00A037D2">
        <w:t>Población Objetivo</w:t>
      </w:r>
      <w:bookmarkEnd w:id="165"/>
      <w:bookmarkEnd w:id="166"/>
      <w:bookmarkEnd w:id="167"/>
      <w:bookmarkEnd w:id="168"/>
    </w:p>
    <w:p w:rsidR="00CF536D" w:rsidRPr="000907D3" w:rsidRDefault="00CF536D" w:rsidP="00026506">
      <w:pPr>
        <w:pStyle w:val="Normal2"/>
        <w:spacing w:before="240"/>
        <w:jc w:val="both"/>
        <w:rPr>
          <w:rFonts w:ascii="Adobe Caslon Pro" w:hAnsi="Adobe Caslon Pro"/>
          <w:sz w:val="22"/>
          <w:szCs w:val="22"/>
        </w:rPr>
      </w:pPr>
      <w:r w:rsidRPr="000907D3">
        <w:rPr>
          <w:rFonts w:ascii="Adobe Caslon Pro" w:hAnsi="Adobe Caslon Pro"/>
          <w:sz w:val="22"/>
          <w:szCs w:val="22"/>
        </w:rPr>
        <w:t xml:space="preserve">La población objetivo son los </w:t>
      </w:r>
      <w:r w:rsidR="0025571B">
        <w:rPr>
          <w:rFonts w:ascii="Adobe Caslon Pro" w:hAnsi="Adobe Caslon Pro"/>
          <w:sz w:val="22"/>
          <w:szCs w:val="22"/>
        </w:rPr>
        <w:t>actores sociales</w:t>
      </w:r>
      <w:r w:rsidRPr="000907D3">
        <w:rPr>
          <w:rFonts w:ascii="Adobe Caslon Pro" w:hAnsi="Adobe Caslon Pro"/>
          <w:sz w:val="22"/>
          <w:szCs w:val="22"/>
        </w:rPr>
        <w:t xml:space="preserve"> que:</w:t>
      </w:r>
    </w:p>
    <w:p w:rsidR="00CF536D" w:rsidRPr="000907D3" w:rsidRDefault="001653FA" w:rsidP="00026506">
      <w:pPr>
        <w:pStyle w:val="Prrafodelista"/>
        <w:numPr>
          <w:ilvl w:val="0"/>
          <w:numId w:val="31"/>
        </w:numPr>
        <w:spacing w:before="240"/>
        <w:jc w:val="both"/>
        <w:rPr>
          <w:rFonts w:ascii="Adobe Caslon Pro" w:hAnsi="Adobe Caslon Pro" w:cs="Arial"/>
        </w:rPr>
      </w:pPr>
      <w:r>
        <w:rPr>
          <w:rFonts w:ascii="Adobe Caslon Pro" w:hAnsi="Adobe Caslon Pro" w:cs="Arial"/>
        </w:rPr>
        <w:lastRenderedPageBreak/>
        <w:t>Cuentan con CLUNI</w:t>
      </w:r>
      <w:r w:rsidR="00E85CD1">
        <w:rPr>
          <w:rFonts w:ascii="Adobe Caslon Pro" w:hAnsi="Adobe Caslon Pro" w:cs="Arial"/>
        </w:rPr>
        <w:t>.</w:t>
      </w:r>
    </w:p>
    <w:p w:rsidR="00CF536D" w:rsidRPr="000907D3" w:rsidRDefault="00CF536D" w:rsidP="00026506">
      <w:pPr>
        <w:pStyle w:val="Prrafodelista"/>
        <w:numPr>
          <w:ilvl w:val="0"/>
          <w:numId w:val="31"/>
        </w:numPr>
        <w:spacing w:before="240"/>
        <w:jc w:val="both"/>
        <w:rPr>
          <w:rFonts w:ascii="Adobe Caslon Pro" w:hAnsi="Adobe Caslon Pro" w:cs="Arial"/>
        </w:rPr>
      </w:pPr>
      <w:r w:rsidRPr="000907D3">
        <w:rPr>
          <w:rFonts w:ascii="Adobe Caslon Pro" w:hAnsi="Adobe Caslon Pro" w:cs="Arial"/>
        </w:rPr>
        <w:t>Se encuentran activ</w:t>
      </w:r>
      <w:r w:rsidR="00404B22" w:rsidRPr="000907D3">
        <w:rPr>
          <w:rFonts w:ascii="Adobe Caslon Pro" w:hAnsi="Adobe Caslon Pro" w:cs="Arial"/>
        </w:rPr>
        <w:t>o</w:t>
      </w:r>
      <w:r w:rsidRPr="000907D3">
        <w:rPr>
          <w:rFonts w:ascii="Adobe Caslon Pro" w:hAnsi="Adobe Caslon Pro" w:cs="Arial"/>
        </w:rPr>
        <w:t xml:space="preserve">s en el Registro Federal de </w:t>
      </w:r>
      <w:r w:rsidR="002F714E">
        <w:rPr>
          <w:rFonts w:ascii="Adobe Caslon Pro" w:hAnsi="Adobe Caslon Pro" w:cs="Arial"/>
        </w:rPr>
        <w:t>OSC</w:t>
      </w:r>
      <w:r w:rsidR="00E85CD1">
        <w:rPr>
          <w:rFonts w:ascii="Adobe Caslon Pro" w:hAnsi="Adobe Caslon Pro" w:cs="Arial"/>
        </w:rPr>
        <w:t>.</w:t>
      </w:r>
    </w:p>
    <w:p w:rsidR="001653FA" w:rsidRPr="001653FA" w:rsidRDefault="00CF536D" w:rsidP="00E85CD1">
      <w:pPr>
        <w:pStyle w:val="Prrafodelista"/>
        <w:numPr>
          <w:ilvl w:val="0"/>
          <w:numId w:val="31"/>
        </w:numPr>
        <w:spacing w:before="240"/>
        <w:jc w:val="both"/>
        <w:rPr>
          <w:rFonts w:ascii="Adobe Caslon Pro" w:hAnsi="Adobe Caslon Pro" w:cs="Arial"/>
        </w:rPr>
      </w:pPr>
      <w:r w:rsidRPr="000907D3">
        <w:rPr>
          <w:rFonts w:ascii="Adobe Caslon Pro" w:hAnsi="Adobe Caslon Pro" w:cs="Arial"/>
        </w:rPr>
        <w:t>Cuentan con</w:t>
      </w:r>
      <w:r w:rsidR="001653FA">
        <w:rPr>
          <w:rFonts w:ascii="Adobe Caslon Pro" w:hAnsi="Adobe Caslon Pro" w:cs="Arial"/>
        </w:rPr>
        <w:t xml:space="preserve"> proyectos de desarrollo social</w:t>
      </w:r>
      <w:r w:rsidR="00E85CD1">
        <w:rPr>
          <w:rFonts w:ascii="Adobe Caslon Pro" w:hAnsi="Adobe Caslon Pro" w:cs="Arial"/>
        </w:rPr>
        <w:t xml:space="preserve"> </w:t>
      </w:r>
      <w:r w:rsidR="00E85CD1" w:rsidRPr="00E85CD1">
        <w:rPr>
          <w:rFonts w:ascii="Adobe Caslon Pro" w:hAnsi="Adobe Caslon Pro" w:cs="Arial"/>
        </w:rPr>
        <w:t>que coadyuvan al desarrollo de grupos y regiones que viven en situación de vulnerabilidad y rezago</w:t>
      </w:r>
      <w:r w:rsidR="00E85CD1">
        <w:rPr>
          <w:rFonts w:ascii="Adobe Caslon Pro" w:hAnsi="Adobe Caslon Pro" w:cs="Arial"/>
        </w:rPr>
        <w:t>.</w:t>
      </w:r>
    </w:p>
    <w:p w:rsidR="00CF536D" w:rsidRPr="000907D3" w:rsidRDefault="00CF536D" w:rsidP="00026506">
      <w:pPr>
        <w:pStyle w:val="Prrafodelista"/>
        <w:numPr>
          <w:ilvl w:val="0"/>
          <w:numId w:val="31"/>
        </w:numPr>
        <w:spacing w:before="240"/>
        <w:jc w:val="both"/>
        <w:rPr>
          <w:rFonts w:ascii="Adobe Caslon Pro" w:hAnsi="Adobe Caslon Pro" w:cs="Arial"/>
        </w:rPr>
      </w:pPr>
      <w:r w:rsidRPr="000907D3">
        <w:rPr>
          <w:rFonts w:ascii="Adobe Caslon Pro" w:hAnsi="Adobe Caslon Pro" w:cs="Arial"/>
        </w:rPr>
        <w:t xml:space="preserve">Sus proyectos son considerados como </w:t>
      </w:r>
      <w:r w:rsidRPr="000907D3">
        <w:rPr>
          <w:rFonts w:ascii="Adobe Caslon Pro" w:hAnsi="Adobe Caslon Pro" w:cs="Arial"/>
          <w:b/>
        </w:rPr>
        <w:t>elegibles</w:t>
      </w:r>
      <w:r w:rsidR="00664977">
        <w:rPr>
          <w:rFonts w:ascii="Adobe Caslon Pro" w:hAnsi="Adobe Caslon Pro" w:cs="Arial"/>
        </w:rPr>
        <w:t xml:space="preserve"> con base en los resultados de la Comisión Dictaminadora. </w:t>
      </w:r>
    </w:p>
    <w:p w:rsidR="00CF536D" w:rsidRPr="000907D3" w:rsidRDefault="00CF536D" w:rsidP="00026506">
      <w:pPr>
        <w:pStyle w:val="Normal2"/>
        <w:spacing w:before="240"/>
        <w:jc w:val="both"/>
        <w:rPr>
          <w:rFonts w:ascii="Adobe Caslon Pro" w:hAnsi="Adobe Caslon Pro"/>
          <w:sz w:val="22"/>
          <w:szCs w:val="22"/>
        </w:rPr>
      </w:pPr>
      <w:r w:rsidRPr="000907D3">
        <w:rPr>
          <w:rFonts w:ascii="Adobe Caslon Pro" w:hAnsi="Adobe Caslon Pro"/>
          <w:sz w:val="22"/>
          <w:szCs w:val="22"/>
        </w:rPr>
        <w:t>De acuerdo con la estimación realizada en el Diagnóstico la población objetivo se estima en:</w:t>
      </w:r>
    </w:p>
    <w:p w:rsidR="00B95421" w:rsidRPr="00D059D9" w:rsidRDefault="00B95421" w:rsidP="00F21057">
      <w:pPr>
        <w:pStyle w:val="Epgrafe"/>
        <w:spacing w:before="240" w:after="240" w:line="276" w:lineRule="auto"/>
        <w:ind w:left="360"/>
        <w:jc w:val="center"/>
        <w:rPr>
          <w:rFonts w:ascii="Adobe Caslon Pro" w:hAnsi="Adobe Caslon Pro" w:cs="Arial"/>
          <w:color w:val="000000"/>
          <w:sz w:val="20"/>
          <w:szCs w:val="20"/>
        </w:rPr>
      </w:pPr>
      <w:r w:rsidRPr="00D059D9">
        <w:rPr>
          <w:rFonts w:ascii="Adobe Caslon Pro" w:hAnsi="Adobe Caslon Pro" w:cs="Arial"/>
          <w:color w:val="000000"/>
          <w:sz w:val="20"/>
          <w:szCs w:val="20"/>
        </w:rPr>
        <w:t xml:space="preserve">Cuadro </w:t>
      </w:r>
      <w:r w:rsidR="001E24D5" w:rsidRPr="00D059D9">
        <w:rPr>
          <w:rFonts w:ascii="Adobe Caslon Pro" w:hAnsi="Adobe Caslon Pro" w:cs="Arial"/>
          <w:color w:val="000000"/>
          <w:sz w:val="20"/>
          <w:szCs w:val="20"/>
        </w:rPr>
        <w:t>12</w:t>
      </w:r>
      <w:r w:rsidR="00E840A1" w:rsidRPr="00D059D9">
        <w:rPr>
          <w:rFonts w:ascii="Adobe Caslon Pro" w:hAnsi="Adobe Caslon Pro" w:cs="Arial"/>
          <w:color w:val="000000"/>
          <w:sz w:val="20"/>
          <w:szCs w:val="20"/>
        </w:rPr>
        <w:t>. Población O</w:t>
      </w:r>
      <w:r w:rsidRPr="00D059D9">
        <w:rPr>
          <w:rFonts w:ascii="Adobe Caslon Pro" w:hAnsi="Adobe Caslon Pro" w:cs="Arial"/>
          <w:color w:val="000000"/>
          <w:sz w:val="20"/>
          <w:szCs w:val="20"/>
        </w:rPr>
        <w:t>bjetivo del PCS</w:t>
      </w:r>
    </w:p>
    <w:tbl>
      <w:tblPr>
        <w:tblW w:w="2350" w:type="dxa"/>
        <w:jc w:val="center"/>
        <w:tblInd w:w="55" w:type="dxa"/>
        <w:tblCellMar>
          <w:left w:w="70" w:type="dxa"/>
          <w:right w:w="70" w:type="dxa"/>
        </w:tblCellMar>
        <w:tblLook w:val="04A0" w:firstRow="1" w:lastRow="0" w:firstColumn="1" w:lastColumn="0" w:noHBand="0" w:noVBand="1"/>
      </w:tblPr>
      <w:tblGrid>
        <w:gridCol w:w="1710"/>
        <w:gridCol w:w="640"/>
      </w:tblGrid>
      <w:tr w:rsidR="000D62D1" w:rsidRPr="000D62D1" w:rsidTr="00271526">
        <w:trPr>
          <w:trHeight w:val="420"/>
          <w:jc w:val="center"/>
        </w:trPr>
        <w:tc>
          <w:tcPr>
            <w:tcW w:w="171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0D62D1" w:rsidRPr="000D62D1" w:rsidRDefault="000D62D1" w:rsidP="00F21057">
            <w:pPr>
              <w:spacing w:after="0" w:line="240" w:lineRule="auto"/>
              <w:jc w:val="both"/>
              <w:rPr>
                <w:rFonts w:ascii="Adobe Caslon Pro" w:eastAsia="Times New Roman" w:hAnsi="Adobe Caslon Pro"/>
                <w:b/>
                <w:bCs/>
                <w:color w:val="000000"/>
                <w:lang w:eastAsia="es-MX"/>
              </w:rPr>
            </w:pPr>
            <w:r w:rsidRPr="000D62D1">
              <w:rPr>
                <w:rFonts w:ascii="Adobe Caslon Pro" w:eastAsia="Times New Roman" w:hAnsi="Adobe Caslon Pro" w:cs="Arial"/>
                <w:b/>
                <w:bCs/>
                <w:color w:val="000000"/>
                <w:lang w:eastAsia="es-MX"/>
              </w:rPr>
              <w:t>Actores Sociales</w:t>
            </w:r>
          </w:p>
        </w:tc>
        <w:tc>
          <w:tcPr>
            <w:tcW w:w="640" w:type="dxa"/>
            <w:tcBorders>
              <w:top w:val="single" w:sz="4" w:space="0" w:color="auto"/>
              <w:left w:val="nil"/>
              <w:bottom w:val="single" w:sz="4" w:space="0" w:color="auto"/>
              <w:right w:val="single" w:sz="4" w:space="0" w:color="auto"/>
            </w:tcBorders>
            <w:shd w:val="clear" w:color="000000" w:fill="BFBFBF"/>
            <w:vAlign w:val="center"/>
            <w:hideMark/>
          </w:tcPr>
          <w:p w:rsidR="000D62D1" w:rsidRPr="000D62D1" w:rsidRDefault="000D62D1" w:rsidP="00F21057">
            <w:pPr>
              <w:spacing w:after="0" w:line="240" w:lineRule="auto"/>
              <w:jc w:val="both"/>
              <w:rPr>
                <w:rFonts w:ascii="Adobe Caslon Pro" w:eastAsia="Times New Roman" w:hAnsi="Adobe Caslon Pro"/>
                <w:b/>
                <w:bCs/>
                <w:color w:val="000000"/>
                <w:lang w:eastAsia="es-MX"/>
              </w:rPr>
            </w:pPr>
            <w:r w:rsidRPr="000D62D1">
              <w:rPr>
                <w:rFonts w:ascii="Adobe Caslon Pro" w:eastAsia="Times New Roman" w:hAnsi="Adobe Caslon Pro" w:cs="Arial"/>
                <w:b/>
                <w:bCs/>
                <w:color w:val="000000"/>
                <w:lang w:eastAsia="es-MX"/>
              </w:rPr>
              <w:t>Total</w:t>
            </w:r>
          </w:p>
        </w:tc>
      </w:tr>
      <w:tr w:rsidR="000D62D1" w:rsidRPr="000D62D1" w:rsidTr="00271526">
        <w:trPr>
          <w:trHeight w:val="420"/>
          <w:jc w:val="center"/>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0D62D1" w:rsidRPr="000D62D1" w:rsidRDefault="002F714E" w:rsidP="00271526">
            <w:pPr>
              <w:spacing w:after="0" w:line="240" w:lineRule="auto"/>
              <w:jc w:val="center"/>
              <w:rPr>
                <w:rFonts w:ascii="Adobe Caslon Pro" w:eastAsia="Times New Roman" w:hAnsi="Adobe Caslon Pro"/>
                <w:color w:val="000000"/>
                <w:lang w:eastAsia="es-MX"/>
              </w:rPr>
            </w:pPr>
            <w:r>
              <w:rPr>
                <w:rFonts w:ascii="Adobe Caslon Pro" w:eastAsia="Times New Roman" w:hAnsi="Adobe Caslon Pro" w:cs="Arial"/>
                <w:color w:val="000000"/>
                <w:lang w:eastAsia="es-MX"/>
              </w:rPr>
              <w:t>OSC</w:t>
            </w:r>
          </w:p>
        </w:tc>
        <w:tc>
          <w:tcPr>
            <w:tcW w:w="640" w:type="dxa"/>
            <w:tcBorders>
              <w:top w:val="nil"/>
              <w:left w:val="nil"/>
              <w:bottom w:val="single" w:sz="4" w:space="0" w:color="auto"/>
              <w:right w:val="single" w:sz="4" w:space="0" w:color="auto"/>
            </w:tcBorders>
            <w:shd w:val="clear" w:color="auto" w:fill="auto"/>
            <w:vAlign w:val="center"/>
            <w:hideMark/>
          </w:tcPr>
          <w:p w:rsidR="000D62D1" w:rsidRPr="000D62D1" w:rsidRDefault="000D62D1" w:rsidP="00F21057">
            <w:pPr>
              <w:spacing w:after="0" w:line="240" w:lineRule="auto"/>
              <w:jc w:val="both"/>
              <w:rPr>
                <w:rFonts w:ascii="Adobe Caslon Pro" w:eastAsia="Times New Roman" w:hAnsi="Adobe Caslon Pro"/>
                <w:color w:val="000000"/>
                <w:lang w:eastAsia="es-MX"/>
              </w:rPr>
            </w:pPr>
            <w:r w:rsidRPr="000D62D1">
              <w:rPr>
                <w:rFonts w:ascii="Adobe Caslon Pro" w:eastAsia="Times New Roman" w:hAnsi="Adobe Caslon Pro" w:cs="Arial"/>
                <w:color w:val="000000"/>
                <w:lang w:eastAsia="es-MX"/>
              </w:rPr>
              <w:t>4,989</w:t>
            </w:r>
          </w:p>
        </w:tc>
      </w:tr>
      <w:tr w:rsidR="000D62D1" w:rsidRPr="000D62D1" w:rsidTr="00271526">
        <w:trPr>
          <w:trHeight w:val="420"/>
          <w:jc w:val="center"/>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0D62D1" w:rsidRPr="000D62D1" w:rsidRDefault="00160981" w:rsidP="00271526">
            <w:pPr>
              <w:spacing w:after="0" w:line="240" w:lineRule="auto"/>
              <w:jc w:val="center"/>
              <w:rPr>
                <w:rFonts w:ascii="Adobe Caslon Pro" w:eastAsia="Times New Roman" w:hAnsi="Adobe Caslon Pro"/>
                <w:color w:val="000000"/>
                <w:lang w:eastAsia="es-MX"/>
              </w:rPr>
            </w:pPr>
            <w:r>
              <w:rPr>
                <w:rFonts w:ascii="Adobe Caslon Pro" w:eastAsia="Times New Roman" w:hAnsi="Adobe Caslon Pro" w:cs="Arial"/>
                <w:color w:val="000000"/>
                <w:lang w:eastAsia="es-MX"/>
              </w:rPr>
              <w:t>IES</w:t>
            </w:r>
            <w:r w:rsidR="000D62D1" w:rsidRPr="000D62D1">
              <w:rPr>
                <w:rFonts w:ascii="Adobe Caslon Pro" w:eastAsia="Times New Roman" w:hAnsi="Adobe Caslon Pro" w:cs="Arial"/>
                <w:color w:val="000000"/>
                <w:lang w:eastAsia="es-MX"/>
              </w:rPr>
              <w:t xml:space="preserve"> y </w:t>
            </w:r>
            <w:r>
              <w:rPr>
                <w:rFonts w:ascii="Adobe Caslon Pro" w:eastAsia="Times New Roman" w:hAnsi="Adobe Caslon Pro" w:cs="Arial"/>
                <w:color w:val="000000"/>
                <w:lang w:eastAsia="es-MX"/>
              </w:rPr>
              <w:t>CI</w:t>
            </w:r>
          </w:p>
        </w:tc>
        <w:tc>
          <w:tcPr>
            <w:tcW w:w="640" w:type="dxa"/>
            <w:tcBorders>
              <w:top w:val="nil"/>
              <w:left w:val="nil"/>
              <w:bottom w:val="single" w:sz="4" w:space="0" w:color="auto"/>
              <w:right w:val="single" w:sz="4" w:space="0" w:color="auto"/>
            </w:tcBorders>
            <w:shd w:val="clear" w:color="auto" w:fill="auto"/>
            <w:vAlign w:val="center"/>
            <w:hideMark/>
          </w:tcPr>
          <w:p w:rsidR="000D62D1" w:rsidRPr="000D62D1" w:rsidRDefault="000D62D1" w:rsidP="00F21057">
            <w:pPr>
              <w:spacing w:after="0" w:line="240" w:lineRule="auto"/>
              <w:jc w:val="both"/>
              <w:rPr>
                <w:rFonts w:ascii="Adobe Caslon Pro" w:eastAsia="Times New Roman" w:hAnsi="Adobe Caslon Pro"/>
                <w:color w:val="000000"/>
                <w:lang w:eastAsia="es-MX"/>
              </w:rPr>
            </w:pPr>
            <w:r w:rsidRPr="000D62D1">
              <w:rPr>
                <w:rFonts w:ascii="Adobe Caslon Pro" w:eastAsia="Times New Roman" w:hAnsi="Adobe Caslon Pro" w:cs="Arial"/>
                <w:color w:val="000000"/>
                <w:lang w:eastAsia="es-MX"/>
              </w:rPr>
              <w:t>60</w:t>
            </w:r>
          </w:p>
        </w:tc>
      </w:tr>
      <w:tr w:rsidR="000D62D1" w:rsidRPr="000D62D1" w:rsidTr="00271526">
        <w:trPr>
          <w:trHeight w:val="292"/>
          <w:jc w:val="center"/>
        </w:trPr>
        <w:tc>
          <w:tcPr>
            <w:tcW w:w="1710" w:type="dxa"/>
            <w:tcBorders>
              <w:top w:val="nil"/>
              <w:left w:val="single" w:sz="4" w:space="0" w:color="auto"/>
              <w:bottom w:val="single" w:sz="4" w:space="0" w:color="auto"/>
              <w:right w:val="single" w:sz="4" w:space="0" w:color="auto"/>
            </w:tcBorders>
            <w:shd w:val="clear" w:color="auto" w:fill="auto"/>
            <w:vAlign w:val="center"/>
            <w:hideMark/>
          </w:tcPr>
          <w:p w:rsidR="000D62D1" w:rsidRPr="000D62D1" w:rsidRDefault="000D62D1" w:rsidP="00271526">
            <w:pPr>
              <w:spacing w:after="0" w:line="240" w:lineRule="auto"/>
              <w:jc w:val="center"/>
              <w:rPr>
                <w:rFonts w:ascii="Adobe Caslon Pro" w:eastAsia="Times New Roman" w:hAnsi="Adobe Caslon Pro"/>
                <w:color w:val="000000"/>
                <w:lang w:eastAsia="es-MX"/>
              </w:rPr>
            </w:pPr>
            <w:r w:rsidRPr="000D62D1">
              <w:rPr>
                <w:rFonts w:ascii="Adobe Caslon Pro" w:eastAsia="Times New Roman" w:hAnsi="Adobe Caslon Pro" w:cs="Arial"/>
                <w:color w:val="000000"/>
                <w:lang w:eastAsia="es-MX"/>
              </w:rPr>
              <w:t>Total</w:t>
            </w:r>
          </w:p>
        </w:tc>
        <w:tc>
          <w:tcPr>
            <w:tcW w:w="640" w:type="dxa"/>
            <w:tcBorders>
              <w:top w:val="nil"/>
              <w:left w:val="nil"/>
              <w:bottom w:val="single" w:sz="4" w:space="0" w:color="auto"/>
              <w:right w:val="single" w:sz="4" w:space="0" w:color="auto"/>
            </w:tcBorders>
            <w:shd w:val="clear" w:color="auto" w:fill="auto"/>
            <w:vAlign w:val="center"/>
            <w:hideMark/>
          </w:tcPr>
          <w:p w:rsidR="000D62D1" w:rsidRPr="000D62D1" w:rsidRDefault="000D62D1" w:rsidP="00F21057">
            <w:pPr>
              <w:spacing w:after="0" w:line="240" w:lineRule="auto"/>
              <w:jc w:val="both"/>
              <w:rPr>
                <w:rFonts w:ascii="Adobe Caslon Pro" w:eastAsia="Times New Roman" w:hAnsi="Adobe Caslon Pro"/>
                <w:color w:val="000000"/>
                <w:lang w:eastAsia="es-MX"/>
              </w:rPr>
            </w:pPr>
            <w:r w:rsidRPr="000D62D1">
              <w:rPr>
                <w:rFonts w:ascii="Adobe Caslon Pro" w:eastAsia="Times New Roman" w:hAnsi="Adobe Caslon Pro" w:cs="Arial"/>
                <w:color w:val="000000"/>
                <w:lang w:eastAsia="es-MX"/>
              </w:rPr>
              <w:t>5,049</w:t>
            </w:r>
          </w:p>
        </w:tc>
      </w:tr>
    </w:tbl>
    <w:p w:rsidR="008F5529" w:rsidRDefault="008F5529" w:rsidP="00026506">
      <w:pPr>
        <w:spacing w:before="240"/>
        <w:jc w:val="both"/>
        <w:rPr>
          <w:rFonts w:ascii="Adobe Caslon Pro" w:hAnsi="Adobe Caslon Pro" w:cs="Arial"/>
          <w:sz w:val="18"/>
        </w:rPr>
      </w:pPr>
      <w:r w:rsidRPr="000907D3">
        <w:rPr>
          <w:rFonts w:ascii="Adobe Caslon Pro" w:hAnsi="Adobe Caslon Pro" w:cs="Arial"/>
          <w:sz w:val="18"/>
        </w:rPr>
        <w:t>Fuente. Elaboraci</w:t>
      </w:r>
      <w:r>
        <w:rPr>
          <w:rFonts w:ascii="Adobe Caslon Pro" w:hAnsi="Adobe Caslon Pro" w:cs="Arial"/>
          <w:sz w:val="18"/>
        </w:rPr>
        <w:t xml:space="preserve">ón propia con datos del </w:t>
      </w:r>
      <w:r w:rsidR="002F714E">
        <w:rPr>
          <w:rFonts w:ascii="Adobe Caslon Pro" w:hAnsi="Adobe Caslon Pro" w:cs="Arial"/>
          <w:sz w:val="18"/>
        </w:rPr>
        <w:t>INDESOL</w:t>
      </w:r>
      <w:r>
        <w:rPr>
          <w:rFonts w:ascii="Adobe Caslon Pro" w:hAnsi="Adobe Caslon Pro" w:cs="Arial"/>
          <w:sz w:val="18"/>
        </w:rPr>
        <w:t>.</w:t>
      </w:r>
    </w:p>
    <w:p w:rsidR="00CF536D" w:rsidRDefault="00CF536D" w:rsidP="00F21057">
      <w:pPr>
        <w:spacing w:after="120"/>
        <w:jc w:val="both"/>
        <w:rPr>
          <w:rFonts w:ascii="Adobe Caslon Pro" w:hAnsi="Adobe Caslon Pro" w:cs="Arial"/>
        </w:rPr>
      </w:pPr>
      <w:r w:rsidRPr="000907D3">
        <w:rPr>
          <w:rFonts w:ascii="Adobe Caslon Pro" w:hAnsi="Adobe Caslon Pro" w:cs="Arial"/>
        </w:rPr>
        <w:t>Es importante señalar, que al igual que la población potencial, la población objetivo es dinámica, es decir, puede estar constituida por diferentes actores sociales en distintos periodos, ya que la composición del Registro varía año con año.</w:t>
      </w:r>
    </w:p>
    <w:p w:rsidR="0018237B" w:rsidRPr="000907D3" w:rsidRDefault="0018237B" w:rsidP="00F21057">
      <w:pPr>
        <w:spacing w:after="120"/>
        <w:jc w:val="both"/>
        <w:rPr>
          <w:rFonts w:ascii="Adobe Caslon Pro" w:hAnsi="Adobe Caslon Pro" w:cs="Arial"/>
        </w:rPr>
      </w:pPr>
    </w:p>
    <w:p w:rsidR="00CF536D" w:rsidRPr="000907D3" w:rsidRDefault="009A7A25" w:rsidP="00F21057">
      <w:pPr>
        <w:pStyle w:val="Ttulo3"/>
        <w:spacing w:before="0" w:after="120"/>
        <w:jc w:val="both"/>
        <w:rPr>
          <w:rFonts w:cs="Arial"/>
        </w:rPr>
      </w:pPr>
      <w:bookmarkStart w:id="169" w:name="_Toc374381016"/>
      <w:bookmarkStart w:id="170" w:name="_Toc380855736"/>
      <w:bookmarkStart w:id="171" w:name="_Toc263896856"/>
      <w:bookmarkStart w:id="172" w:name="_Toc391925236"/>
      <w:r>
        <w:rPr>
          <w:rFonts w:cs="Arial"/>
        </w:rPr>
        <w:t xml:space="preserve">3.3.6 </w:t>
      </w:r>
      <w:r w:rsidR="00CF536D" w:rsidRPr="000907D3">
        <w:rPr>
          <w:rFonts w:cs="Arial"/>
        </w:rPr>
        <w:t>Población atendida</w:t>
      </w:r>
      <w:bookmarkEnd w:id="169"/>
      <w:bookmarkEnd w:id="170"/>
      <w:bookmarkEnd w:id="171"/>
      <w:bookmarkEnd w:id="172"/>
    </w:p>
    <w:p w:rsidR="00CF536D" w:rsidRPr="000907D3" w:rsidRDefault="00CF536D" w:rsidP="00026506">
      <w:pPr>
        <w:pStyle w:val="Normal3"/>
        <w:spacing w:before="240"/>
        <w:rPr>
          <w:rFonts w:ascii="Adobe Caslon Pro" w:hAnsi="Adobe Caslon Pro"/>
          <w:sz w:val="22"/>
          <w:szCs w:val="22"/>
        </w:rPr>
      </w:pPr>
      <w:r w:rsidRPr="000907D3">
        <w:rPr>
          <w:rFonts w:ascii="Adobe Caslon Pro" w:hAnsi="Adobe Caslon Pro"/>
          <w:sz w:val="22"/>
          <w:szCs w:val="22"/>
        </w:rPr>
        <w:t xml:space="preserve">Son los actores sociales que han participado en convocatorias del </w:t>
      </w:r>
      <w:r w:rsidR="00BF194D" w:rsidRPr="000907D3">
        <w:rPr>
          <w:rFonts w:ascii="Adobe Caslon Pro" w:hAnsi="Adobe Caslon Pro"/>
          <w:sz w:val="22"/>
          <w:szCs w:val="22"/>
        </w:rPr>
        <w:t>PCS</w:t>
      </w:r>
      <w:r w:rsidRPr="000907D3">
        <w:rPr>
          <w:rFonts w:ascii="Adobe Caslon Pro" w:hAnsi="Adobe Caslon Pro"/>
          <w:sz w:val="22"/>
          <w:szCs w:val="22"/>
        </w:rPr>
        <w:t xml:space="preserve">, que cumplieron con los criterios y requisitos </w:t>
      </w:r>
      <w:r w:rsidR="00AD273C">
        <w:rPr>
          <w:rFonts w:ascii="Adobe Caslon Pro" w:hAnsi="Adobe Caslon Pro"/>
          <w:sz w:val="22"/>
          <w:szCs w:val="22"/>
        </w:rPr>
        <w:t xml:space="preserve">establecidos en las Reglas de Operación del Programa </w:t>
      </w:r>
      <w:r w:rsidRPr="000907D3">
        <w:rPr>
          <w:rFonts w:ascii="Adobe Caslon Pro" w:hAnsi="Adobe Caslon Pro"/>
          <w:sz w:val="22"/>
          <w:szCs w:val="22"/>
        </w:rPr>
        <w:t xml:space="preserve">y que fueron seleccionados para recibir apoyos con base en los resultados de la Comisión Dictaminadora y los recursos disponibles. Así, </w:t>
      </w:r>
      <w:r w:rsidR="00125C6E" w:rsidRPr="000907D3">
        <w:rPr>
          <w:rFonts w:ascii="Adobe Caslon Pro" w:hAnsi="Adobe Caslon Pro"/>
          <w:sz w:val="22"/>
          <w:szCs w:val="22"/>
        </w:rPr>
        <w:t xml:space="preserve">durante el periodo 2009-2013, </w:t>
      </w:r>
      <w:r w:rsidRPr="000907D3">
        <w:rPr>
          <w:rFonts w:ascii="Adobe Caslon Pro" w:hAnsi="Adobe Caslon Pro"/>
          <w:sz w:val="22"/>
          <w:szCs w:val="22"/>
        </w:rPr>
        <w:t xml:space="preserve">la población atendida </w:t>
      </w:r>
      <w:r w:rsidR="00BF194D" w:rsidRPr="000907D3">
        <w:rPr>
          <w:rFonts w:ascii="Adobe Caslon Pro" w:hAnsi="Adobe Caslon Pro"/>
          <w:sz w:val="22"/>
          <w:szCs w:val="22"/>
        </w:rPr>
        <w:t xml:space="preserve">por el PCS </w:t>
      </w:r>
      <w:r w:rsidRPr="000907D3">
        <w:rPr>
          <w:rFonts w:ascii="Adobe Caslon Pro" w:hAnsi="Adobe Caslon Pro"/>
          <w:sz w:val="22"/>
          <w:szCs w:val="22"/>
        </w:rPr>
        <w:t>ha evolucionado de la siguiente forma:</w:t>
      </w:r>
    </w:p>
    <w:p w:rsidR="00CF536D" w:rsidRPr="00D059D9" w:rsidRDefault="00CF536D" w:rsidP="00F21057">
      <w:pPr>
        <w:pStyle w:val="Epgrafe"/>
        <w:spacing w:before="240" w:after="240" w:line="276" w:lineRule="auto"/>
        <w:jc w:val="center"/>
        <w:rPr>
          <w:rFonts w:ascii="Adobe Caslon Pro" w:hAnsi="Adobe Caslon Pro" w:cs="Arial"/>
          <w:color w:val="000000" w:themeColor="text1"/>
          <w:sz w:val="20"/>
          <w:szCs w:val="20"/>
        </w:rPr>
      </w:pPr>
      <w:bookmarkStart w:id="173" w:name="_Toc374380615"/>
      <w:bookmarkStart w:id="174" w:name="_Toc380855763"/>
      <w:r w:rsidRPr="00D059D9">
        <w:rPr>
          <w:rFonts w:ascii="Adobe Caslon Pro" w:hAnsi="Adobe Caslon Pro" w:cs="Arial"/>
          <w:color w:val="000000" w:themeColor="text1"/>
          <w:sz w:val="20"/>
          <w:szCs w:val="20"/>
        </w:rPr>
        <w:t xml:space="preserve">Cuadro </w:t>
      </w:r>
      <w:r w:rsidR="001E24D5" w:rsidRPr="00D059D9">
        <w:rPr>
          <w:rFonts w:ascii="Adobe Caslon Pro" w:hAnsi="Adobe Caslon Pro" w:cs="Arial"/>
          <w:color w:val="000000" w:themeColor="text1"/>
          <w:sz w:val="20"/>
          <w:szCs w:val="20"/>
        </w:rPr>
        <w:t>13</w:t>
      </w:r>
      <w:r w:rsidRPr="00D059D9">
        <w:rPr>
          <w:rFonts w:ascii="Adobe Caslon Pro" w:hAnsi="Adobe Caslon Pro" w:cs="Arial"/>
          <w:color w:val="000000" w:themeColor="text1"/>
          <w:sz w:val="20"/>
          <w:szCs w:val="20"/>
        </w:rPr>
        <w:t>. Población atendida por el PCS</w:t>
      </w:r>
      <w:bookmarkEnd w:id="173"/>
      <w:bookmarkEnd w:id="174"/>
    </w:p>
    <w:tbl>
      <w:tblPr>
        <w:tblW w:w="6400" w:type="dxa"/>
        <w:jc w:val="center"/>
        <w:tblInd w:w="55" w:type="dxa"/>
        <w:tblCellMar>
          <w:left w:w="70" w:type="dxa"/>
          <w:right w:w="70" w:type="dxa"/>
        </w:tblCellMar>
        <w:tblLook w:val="04A0" w:firstRow="1" w:lastRow="0" w:firstColumn="1" w:lastColumn="0" w:noHBand="0" w:noVBand="1"/>
      </w:tblPr>
      <w:tblGrid>
        <w:gridCol w:w="1200"/>
        <w:gridCol w:w="2600"/>
        <w:gridCol w:w="2600"/>
      </w:tblGrid>
      <w:tr w:rsidR="000D62D1" w:rsidRPr="000D62D1" w:rsidTr="000D62D1">
        <w:trPr>
          <w:trHeight w:val="840"/>
          <w:jc w:val="center"/>
        </w:trPr>
        <w:tc>
          <w:tcPr>
            <w:tcW w:w="120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0D62D1" w:rsidRPr="000D62D1" w:rsidRDefault="000D62D1" w:rsidP="00271526">
            <w:pPr>
              <w:spacing w:after="0" w:line="240" w:lineRule="auto"/>
              <w:contextualSpacing/>
              <w:jc w:val="center"/>
              <w:rPr>
                <w:rFonts w:ascii="Adobe Caslon Pro" w:eastAsia="Times New Roman" w:hAnsi="Adobe Caslon Pro"/>
                <w:b/>
                <w:bCs/>
                <w:color w:val="000000"/>
                <w:lang w:eastAsia="es-MX"/>
              </w:rPr>
            </w:pPr>
            <w:r w:rsidRPr="000D62D1">
              <w:rPr>
                <w:rFonts w:ascii="Adobe Caslon Pro" w:eastAsia="Times New Roman" w:hAnsi="Adobe Caslon Pro"/>
                <w:b/>
                <w:bCs/>
                <w:color w:val="000000"/>
                <w:lang w:eastAsia="es-MX"/>
              </w:rPr>
              <w:lastRenderedPageBreak/>
              <w:t>Año</w:t>
            </w:r>
          </w:p>
        </w:tc>
        <w:tc>
          <w:tcPr>
            <w:tcW w:w="2600" w:type="dxa"/>
            <w:tcBorders>
              <w:top w:val="single" w:sz="4" w:space="0" w:color="auto"/>
              <w:left w:val="nil"/>
              <w:bottom w:val="single" w:sz="4" w:space="0" w:color="auto"/>
              <w:right w:val="single" w:sz="4" w:space="0" w:color="auto"/>
            </w:tcBorders>
            <w:shd w:val="clear" w:color="000000" w:fill="BFBFBF"/>
            <w:vAlign w:val="center"/>
            <w:hideMark/>
          </w:tcPr>
          <w:p w:rsidR="000D62D1" w:rsidRPr="000D62D1" w:rsidRDefault="000D62D1" w:rsidP="00271526">
            <w:pPr>
              <w:spacing w:after="0" w:line="240" w:lineRule="auto"/>
              <w:contextualSpacing/>
              <w:jc w:val="center"/>
              <w:rPr>
                <w:rFonts w:ascii="Adobe Caslon Pro" w:eastAsia="Times New Roman" w:hAnsi="Adobe Caslon Pro"/>
                <w:b/>
                <w:bCs/>
                <w:color w:val="000000"/>
                <w:lang w:eastAsia="es-MX"/>
              </w:rPr>
            </w:pPr>
            <w:r w:rsidRPr="000D62D1">
              <w:rPr>
                <w:rFonts w:ascii="Adobe Caslon Pro" w:eastAsia="Times New Roman" w:hAnsi="Adobe Caslon Pro"/>
                <w:b/>
                <w:bCs/>
                <w:color w:val="000000"/>
                <w:lang w:eastAsia="es-MX"/>
              </w:rPr>
              <w:t>OSC apoyadas por el PCS</w:t>
            </w:r>
          </w:p>
        </w:tc>
        <w:tc>
          <w:tcPr>
            <w:tcW w:w="2600" w:type="dxa"/>
            <w:tcBorders>
              <w:top w:val="single" w:sz="4" w:space="0" w:color="auto"/>
              <w:left w:val="nil"/>
              <w:bottom w:val="single" w:sz="4" w:space="0" w:color="auto"/>
              <w:right w:val="single" w:sz="4" w:space="0" w:color="auto"/>
            </w:tcBorders>
            <w:shd w:val="clear" w:color="000000" w:fill="BFBFBF"/>
            <w:vAlign w:val="center"/>
            <w:hideMark/>
          </w:tcPr>
          <w:p w:rsidR="000D62D1" w:rsidRPr="000D62D1" w:rsidRDefault="000D62D1" w:rsidP="00271526">
            <w:pPr>
              <w:spacing w:after="0" w:line="240" w:lineRule="auto"/>
              <w:contextualSpacing/>
              <w:jc w:val="center"/>
              <w:rPr>
                <w:rFonts w:ascii="Adobe Caslon Pro" w:eastAsia="Times New Roman" w:hAnsi="Adobe Caslon Pro"/>
                <w:b/>
                <w:bCs/>
                <w:color w:val="000000"/>
                <w:lang w:eastAsia="es-MX"/>
              </w:rPr>
            </w:pPr>
            <w:r w:rsidRPr="000D62D1">
              <w:rPr>
                <w:rFonts w:ascii="Adobe Caslon Pro" w:eastAsia="Times New Roman" w:hAnsi="Adobe Caslon Pro"/>
                <w:b/>
                <w:bCs/>
                <w:color w:val="000000"/>
                <w:lang w:eastAsia="es-MX"/>
              </w:rPr>
              <w:t>Proyectos que recibieron apoyos del PCS</w:t>
            </w:r>
          </w:p>
        </w:tc>
      </w:tr>
      <w:tr w:rsidR="000D62D1" w:rsidRPr="000D62D1" w:rsidTr="000D62D1">
        <w:trPr>
          <w:trHeight w:val="4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0D62D1" w:rsidRPr="000D62D1" w:rsidRDefault="000D62D1" w:rsidP="00271526">
            <w:pPr>
              <w:spacing w:after="0" w:line="240" w:lineRule="auto"/>
              <w:contextualSpacing/>
              <w:jc w:val="center"/>
              <w:rPr>
                <w:rFonts w:ascii="Adobe Caslon Pro" w:eastAsia="Times New Roman" w:hAnsi="Adobe Caslon Pro"/>
                <w:color w:val="000000"/>
                <w:lang w:eastAsia="es-MX"/>
              </w:rPr>
            </w:pPr>
            <w:r w:rsidRPr="000D62D1">
              <w:rPr>
                <w:rFonts w:ascii="Adobe Caslon Pro" w:eastAsia="Times New Roman" w:hAnsi="Adobe Caslon Pro"/>
                <w:color w:val="000000"/>
                <w:lang w:eastAsia="es-MX"/>
              </w:rPr>
              <w:t>2009</w:t>
            </w:r>
          </w:p>
        </w:tc>
        <w:tc>
          <w:tcPr>
            <w:tcW w:w="2600" w:type="dxa"/>
            <w:tcBorders>
              <w:top w:val="nil"/>
              <w:left w:val="nil"/>
              <w:bottom w:val="single" w:sz="4" w:space="0" w:color="auto"/>
              <w:right w:val="single" w:sz="4" w:space="0" w:color="auto"/>
            </w:tcBorders>
            <w:shd w:val="clear" w:color="auto" w:fill="auto"/>
            <w:noWrap/>
            <w:vAlign w:val="center"/>
            <w:hideMark/>
          </w:tcPr>
          <w:p w:rsidR="000D62D1" w:rsidRPr="000D62D1" w:rsidRDefault="000D62D1" w:rsidP="00271526">
            <w:pPr>
              <w:spacing w:after="0" w:line="240" w:lineRule="auto"/>
              <w:contextualSpacing/>
              <w:jc w:val="center"/>
              <w:rPr>
                <w:rFonts w:ascii="Adobe Caslon Pro" w:eastAsia="Times New Roman" w:hAnsi="Adobe Caslon Pro"/>
                <w:color w:val="000000"/>
                <w:lang w:eastAsia="es-MX"/>
              </w:rPr>
            </w:pPr>
            <w:r w:rsidRPr="000D62D1">
              <w:rPr>
                <w:rFonts w:ascii="Adobe Caslon Pro" w:eastAsia="Times New Roman" w:hAnsi="Adobe Caslon Pro"/>
                <w:color w:val="000000"/>
                <w:lang w:eastAsia="es-MX"/>
              </w:rPr>
              <w:t>1,367</w:t>
            </w:r>
          </w:p>
        </w:tc>
        <w:tc>
          <w:tcPr>
            <w:tcW w:w="2600" w:type="dxa"/>
            <w:tcBorders>
              <w:top w:val="nil"/>
              <w:left w:val="nil"/>
              <w:bottom w:val="single" w:sz="4" w:space="0" w:color="auto"/>
              <w:right w:val="single" w:sz="4" w:space="0" w:color="auto"/>
            </w:tcBorders>
            <w:shd w:val="clear" w:color="auto" w:fill="auto"/>
            <w:noWrap/>
            <w:vAlign w:val="center"/>
            <w:hideMark/>
          </w:tcPr>
          <w:p w:rsidR="000D62D1" w:rsidRPr="000D62D1" w:rsidRDefault="000D62D1" w:rsidP="00271526">
            <w:pPr>
              <w:spacing w:after="0" w:line="240" w:lineRule="auto"/>
              <w:contextualSpacing/>
              <w:jc w:val="center"/>
              <w:rPr>
                <w:rFonts w:ascii="Adobe Caslon Pro" w:eastAsia="Times New Roman" w:hAnsi="Adobe Caslon Pro"/>
                <w:color w:val="000000"/>
                <w:lang w:eastAsia="es-MX"/>
              </w:rPr>
            </w:pPr>
            <w:r w:rsidRPr="000D62D1">
              <w:rPr>
                <w:rFonts w:ascii="Adobe Caslon Pro" w:eastAsia="Times New Roman" w:hAnsi="Adobe Caslon Pro"/>
                <w:color w:val="000000"/>
                <w:lang w:eastAsia="es-MX"/>
              </w:rPr>
              <w:t>1,494</w:t>
            </w:r>
          </w:p>
        </w:tc>
      </w:tr>
      <w:tr w:rsidR="000D62D1" w:rsidRPr="000D62D1" w:rsidTr="000D62D1">
        <w:trPr>
          <w:trHeight w:val="4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0D62D1" w:rsidRPr="000D62D1" w:rsidRDefault="000D62D1" w:rsidP="00271526">
            <w:pPr>
              <w:spacing w:after="0" w:line="240" w:lineRule="auto"/>
              <w:contextualSpacing/>
              <w:jc w:val="center"/>
              <w:rPr>
                <w:rFonts w:ascii="Adobe Caslon Pro" w:eastAsia="Times New Roman" w:hAnsi="Adobe Caslon Pro"/>
                <w:color w:val="000000"/>
                <w:lang w:eastAsia="es-MX"/>
              </w:rPr>
            </w:pPr>
            <w:r w:rsidRPr="000D62D1">
              <w:rPr>
                <w:rFonts w:ascii="Adobe Caslon Pro" w:eastAsia="Times New Roman" w:hAnsi="Adobe Caslon Pro"/>
                <w:color w:val="000000"/>
                <w:lang w:eastAsia="es-MX"/>
              </w:rPr>
              <w:t>2010</w:t>
            </w:r>
          </w:p>
        </w:tc>
        <w:tc>
          <w:tcPr>
            <w:tcW w:w="2600" w:type="dxa"/>
            <w:tcBorders>
              <w:top w:val="nil"/>
              <w:left w:val="nil"/>
              <w:bottom w:val="single" w:sz="4" w:space="0" w:color="auto"/>
              <w:right w:val="single" w:sz="4" w:space="0" w:color="auto"/>
            </w:tcBorders>
            <w:shd w:val="clear" w:color="auto" w:fill="auto"/>
            <w:noWrap/>
            <w:vAlign w:val="center"/>
            <w:hideMark/>
          </w:tcPr>
          <w:p w:rsidR="000D62D1" w:rsidRPr="000D62D1" w:rsidRDefault="000D62D1" w:rsidP="00271526">
            <w:pPr>
              <w:spacing w:after="0" w:line="240" w:lineRule="auto"/>
              <w:contextualSpacing/>
              <w:jc w:val="center"/>
              <w:rPr>
                <w:rFonts w:ascii="Adobe Caslon Pro" w:eastAsia="Times New Roman" w:hAnsi="Adobe Caslon Pro"/>
                <w:color w:val="000000"/>
                <w:lang w:eastAsia="es-MX"/>
              </w:rPr>
            </w:pPr>
            <w:r w:rsidRPr="000D62D1">
              <w:rPr>
                <w:rFonts w:ascii="Adobe Caslon Pro" w:eastAsia="Times New Roman" w:hAnsi="Adobe Caslon Pro"/>
                <w:color w:val="000000"/>
                <w:lang w:eastAsia="es-MX"/>
              </w:rPr>
              <w:t>1,617</w:t>
            </w:r>
          </w:p>
        </w:tc>
        <w:tc>
          <w:tcPr>
            <w:tcW w:w="2600" w:type="dxa"/>
            <w:tcBorders>
              <w:top w:val="nil"/>
              <w:left w:val="nil"/>
              <w:bottom w:val="single" w:sz="4" w:space="0" w:color="auto"/>
              <w:right w:val="single" w:sz="4" w:space="0" w:color="auto"/>
            </w:tcBorders>
            <w:shd w:val="clear" w:color="auto" w:fill="auto"/>
            <w:noWrap/>
            <w:vAlign w:val="center"/>
            <w:hideMark/>
          </w:tcPr>
          <w:p w:rsidR="000D62D1" w:rsidRPr="000D62D1" w:rsidRDefault="000D62D1" w:rsidP="00271526">
            <w:pPr>
              <w:spacing w:after="0" w:line="240" w:lineRule="auto"/>
              <w:contextualSpacing/>
              <w:jc w:val="center"/>
              <w:rPr>
                <w:rFonts w:ascii="Adobe Caslon Pro" w:eastAsia="Times New Roman" w:hAnsi="Adobe Caslon Pro"/>
                <w:color w:val="000000"/>
                <w:lang w:eastAsia="es-MX"/>
              </w:rPr>
            </w:pPr>
            <w:r w:rsidRPr="000D62D1">
              <w:rPr>
                <w:rFonts w:ascii="Adobe Caslon Pro" w:eastAsia="Times New Roman" w:hAnsi="Adobe Caslon Pro"/>
                <w:color w:val="000000"/>
                <w:lang w:eastAsia="es-MX"/>
              </w:rPr>
              <w:t>1,944</w:t>
            </w:r>
          </w:p>
        </w:tc>
      </w:tr>
      <w:tr w:rsidR="000D62D1" w:rsidRPr="000D62D1" w:rsidTr="000D62D1">
        <w:trPr>
          <w:trHeight w:val="4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0D62D1" w:rsidRPr="000D62D1" w:rsidRDefault="000D62D1" w:rsidP="00271526">
            <w:pPr>
              <w:spacing w:after="0" w:line="240" w:lineRule="auto"/>
              <w:contextualSpacing/>
              <w:jc w:val="center"/>
              <w:rPr>
                <w:rFonts w:ascii="Adobe Caslon Pro" w:eastAsia="Times New Roman" w:hAnsi="Adobe Caslon Pro"/>
                <w:color w:val="000000"/>
                <w:lang w:eastAsia="es-MX"/>
              </w:rPr>
            </w:pPr>
            <w:r w:rsidRPr="000D62D1">
              <w:rPr>
                <w:rFonts w:ascii="Adobe Caslon Pro" w:eastAsia="Times New Roman" w:hAnsi="Adobe Caslon Pro"/>
                <w:color w:val="000000"/>
                <w:lang w:eastAsia="es-MX"/>
              </w:rPr>
              <w:t>2011</w:t>
            </w:r>
          </w:p>
        </w:tc>
        <w:tc>
          <w:tcPr>
            <w:tcW w:w="2600" w:type="dxa"/>
            <w:tcBorders>
              <w:top w:val="nil"/>
              <w:left w:val="nil"/>
              <w:bottom w:val="single" w:sz="4" w:space="0" w:color="auto"/>
              <w:right w:val="single" w:sz="4" w:space="0" w:color="auto"/>
            </w:tcBorders>
            <w:shd w:val="clear" w:color="auto" w:fill="auto"/>
            <w:noWrap/>
            <w:vAlign w:val="center"/>
            <w:hideMark/>
          </w:tcPr>
          <w:p w:rsidR="000D62D1" w:rsidRPr="000D62D1" w:rsidRDefault="000D62D1" w:rsidP="00271526">
            <w:pPr>
              <w:spacing w:after="0" w:line="240" w:lineRule="auto"/>
              <w:contextualSpacing/>
              <w:jc w:val="center"/>
              <w:rPr>
                <w:rFonts w:ascii="Adobe Caslon Pro" w:eastAsia="Times New Roman" w:hAnsi="Adobe Caslon Pro"/>
                <w:color w:val="000000"/>
                <w:lang w:eastAsia="es-MX"/>
              </w:rPr>
            </w:pPr>
            <w:r w:rsidRPr="000D62D1">
              <w:rPr>
                <w:rFonts w:ascii="Adobe Caslon Pro" w:eastAsia="Times New Roman" w:hAnsi="Adobe Caslon Pro"/>
                <w:color w:val="000000"/>
                <w:lang w:eastAsia="es-MX"/>
              </w:rPr>
              <w:t>1,347</w:t>
            </w:r>
          </w:p>
        </w:tc>
        <w:tc>
          <w:tcPr>
            <w:tcW w:w="2600" w:type="dxa"/>
            <w:tcBorders>
              <w:top w:val="nil"/>
              <w:left w:val="nil"/>
              <w:bottom w:val="single" w:sz="4" w:space="0" w:color="auto"/>
              <w:right w:val="single" w:sz="4" w:space="0" w:color="auto"/>
            </w:tcBorders>
            <w:shd w:val="clear" w:color="auto" w:fill="auto"/>
            <w:noWrap/>
            <w:vAlign w:val="center"/>
            <w:hideMark/>
          </w:tcPr>
          <w:p w:rsidR="000D62D1" w:rsidRPr="000D62D1" w:rsidRDefault="000D62D1" w:rsidP="00271526">
            <w:pPr>
              <w:spacing w:after="0" w:line="240" w:lineRule="auto"/>
              <w:contextualSpacing/>
              <w:jc w:val="center"/>
              <w:rPr>
                <w:rFonts w:ascii="Adobe Caslon Pro" w:eastAsia="Times New Roman" w:hAnsi="Adobe Caslon Pro"/>
                <w:color w:val="000000"/>
                <w:lang w:eastAsia="es-MX"/>
              </w:rPr>
            </w:pPr>
            <w:r w:rsidRPr="000D62D1">
              <w:rPr>
                <w:rFonts w:ascii="Adobe Caslon Pro" w:eastAsia="Times New Roman" w:hAnsi="Adobe Caslon Pro"/>
                <w:color w:val="000000"/>
                <w:lang w:eastAsia="es-MX"/>
              </w:rPr>
              <w:t>1,555</w:t>
            </w:r>
          </w:p>
        </w:tc>
      </w:tr>
      <w:tr w:rsidR="000D62D1" w:rsidRPr="000D62D1" w:rsidTr="000D62D1">
        <w:trPr>
          <w:trHeight w:val="4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0D62D1" w:rsidRPr="000D62D1" w:rsidRDefault="000D62D1" w:rsidP="00271526">
            <w:pPr>
              <w:spacing w:after="0" w:line="240" w:lineRule="auto"/>
              <w:contextualSpacing/>
              <w:jc w:val="center"/>
              <w:rPr>
                <w:rFonts w:ascii="Adobe Caslon Pro" w:eastAsia="Times New Roman" w:hAnsi="Adobe Caslon Pro"/>
                <w:color w:val="000000"/>
                <w:lang w:eastAsia="es-MX"/>
              </w:rPr>
            </w:pPr>
            <w:r w:rsidRPr="000D62D1">
              <w:rPr>
                <w:rFonts w:ascii="Adobe Caslon Pro" w:eastAsia="Times New Roman" w:hAnsi="Adobe Caslon Pro"/>
                <w:color w:val="000000"/>
                <w:lang w:eastAsia="es-MX"/>
              </w:rPr>
              <w:t>2012</w:t>
            </w:r>
          </w:p>
        </w:tc>
        <w:tc>
          <w:tcPr>
            <w:tcW w:w="2600" w:type="dxa"/>
            <w:tcBorders>
              <w:top w:val="nil"/>
              <w:left w:val="nil"/>
              <w:bottom w:val="single" w:sz="4" w:space="0" w:color="auto"/>
              <w:right w:val="single" w:sz="4" w:space="0" w:color="auto"/>
            </w:tcBorders>
            <w:shd w:val="clear" w:color="auto" w:fill="auto"/>
            <w:noWrap/>
            <w:vAlign w:val="center"/>
            <w:hideMark/>
          </w:tcPr>
          <w:p w:rsidR="000D62D1" w:rsidRPr="000D62D1" w:rsidRDefault="000D62D1" w:rsidP="00271526">
            <w:pPr>
              <w:spacing w:after="0" w:line="240" w:lineRule="auto"/>
              <w:contextualSpacing/>
              <w:jc w:val="center"/>
              <w:rPr>
                <w:rFonts w:ascii="Adobe Caslon Pro" w:eastAsia="Times New Roman" w:hAnsi="Adobe Caslon Pro"/>
                <w:color w:val="000000"/>
                <w:lang w:eastAsia="es-MX"/>
              </w:rPr>
            </w:pPr>
            <w:r w:rsidRPr="000D62D1">
              <w:rPr>
                <w:rFonts w:ascii="Adobe Caslon Pro" w:eastAsia="Times New Roman" w:hAnsi="Adobe Caslon Pro"/>
                <w:color w:val="000000"/>
                <w:lang w:eastAsia="es-MX"/>
              </w:rPr>
              <w:t>1,563</w:t>
            </w:r>
          </w:p>
        </w:tc>
        <w:tc>
          <w:tcPr>
            <w:tcW w:w="2600" w:type="dxa"/>
            <w:tcBorders>
              <w:top w:val="nil"/>
              <w:left w:val="nil"/>
              <w:bottom w:val="single" w:sz="4" w:space="0" w:color="auto"/>
              <w:right w:val="single" w:sz="4" w:space="0" w:color="auto"/>
            </w:tcBorders>
            <w:shd w:val="clear" w:color="auto" w:fill="auto"/>
            <w:noWrap/>
            <w:vAlign w:val="center"/>
            <w:hideMark/>
          </w:tcPr>
          <w:p w:rsidR="000D62D1" w:rsidRPr="000D62D1" w:rsidRDefault="000D62D1" w:rsidP="00271526">
            <w:pPr>
              <w:spacing w:after="0" w:line="240" w:lineRule="auto"/>
              <w:contextualSpacing/>
              <w:jc w:val="center"/>
              <w:rPr>
                <w:rFonts w:ascii="Adobe Caslon Pro" w:eastAsia="Times New Roman" w:hAnsi="Adobe Caslon Pro"/>
                <w:color w:val="000000"/>
                <w:lang w:eastAsia="es-MX"/>
              </w:rPr>
            </w:pPr>
            <w:r w:rsidRPr="000D62D1">
              <w:rPr>
                <w:rFonts w:ascii="Adobe Caslon Pro" w:eastAsia="Times New Roman" w:hAnsi="Adobe Caslon Pro"/>
                <w:color w:val="000000"/>
                <w:lang w:eastAsia="es-MX"/>
              </w:rPr>
              <w:t>1,840</w:t>
            </w:r>
          </w:p>
        </w:tc>
      </w:tr>
      <w:tr w:rsidR="000D62D1" w:rsidRPr="000D62D1" w:rsidTr="000D62D1">
        <w:trPr>
          <w:trHeight w:val="4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0D62D1" w:rsidRPr="000D62D1" w:rsidRDefault="000D62D1" w:rsidP="00271526">
            <w:pPr>
              <w:spacing w:after="0" w:line="240" w:lineRule="auto"/>
              <w:contextualSpacing/>
              <w:jc w:val="center"/>
              <w:rPr>
                <w:rFonts w:ascii="Adobe Caslon Pro" w:eastAsia="Times New Roman" w:hAnsi="Adobe Caslon Pro"/>
                <w:color w:val="000000"/>
                <w:lang w:eastAsia="es-MX"/>
              </w:rPr>
            </w:pPr>
            <w:r w:rsidRPr="000D62D1">
              <w:rPr>
                <w:rFonts w:ascii="Adobe Caslon Pro" w:eastAsia="Times New Roman" w:hAnsi="Adobe Caslon Pro"/>
                <w:color w:val="000000"/>
                <w:lang w:eastAsia="es-MX"/>
              </w:rPr>
              <w:t>2013*</w:t>
            </w:r>
          </w:p>
        </w:tc>
        <w:tc>
          <w:tcPr>
            <w:tcW w:w="2600" w:type="dxa"/>
            <w:tcBorders>
              <w:top w:val="nil"/>
              <w:left w:val="nil"/>
              <w:bottom w:val="single" w:sz="4" w:space="0" w:color="auto"/>
              <w:right w:val="single" w:sz="4" w:space="0" w:color="auto"/>
            </w:tcBorders>
            <w:shd w:val="clear" w:color="auto" w:fill="auto"/>
            <w:noWrap/>
            <w:vAlign w:val="center"/>
            <w:hideMark/>
          </w:tcPr>
          <w:p w:rsidR="000D62D1" w:rsidRPr="000D62D1" w:rsidRDefault="000D62D1" w:rsidP="00271526">
            <w:pPr>
              <w:spacing w:after="0" w:line="240" w:lineRule="auto"/>
              <w:contextualSpacing/>
              <w:jc w:val="center"/>
              <w:rPr>
                <w:rFonts w:ascii="Adobe Caslon Pro" w:eastAsia="Times New Roman" w:hAnsi="Adobe Caslon Pro"/>
                <w:color w:val="000000"/>
                <w:lang w:eastAsia="es-MX"/>
              </w:rPr>
            </w:pPr>
            <w:r w:rsidRPr="000D62D1">
              <w:rPr>
                <w:rFonts w:ascii="Adobe Caslon Pro" w:eastAsia="Times New Roman" w:hAnsi="Adobe Caslon Pro"/>
                <w:color w:val="000000"/>
                <w:lang w:eastAsia="es-MX"/>
              </w:rPr>
              <w:t>1,187</w:t>
            </w:r>
          </w:p>
        </w:tc>
        <w:tc>
          <w:tcPr>
            <w:tcW w:w="2600" w:type="dxa"/>
            <w:tcBorders>
              <w:top w:val="nil"/>
              <w:left w:val="nil"/>
              <w:bottom w:val="single" w:sz="4" w:space="0" w:color="auto"/>
              <w:right w:val="single" w:sz="4" w:space="0" w:color="auto"/>
            </w:tcBorders>
            <w:shd w:val="clear" w:color="auto" w:fill="auto"/>
            <w:noWrap/>
            <w:vAlign w:val="center"/>
            <w:hideMark/>
          </w:tcPr>
          <w:p w:rsidR="000D62D1" w:rsidRPr="000D62D1" w:rsidRDefault="000D62D1" w:rsidP="00271526">
            <w:pPr>
              <w:spacing w:after="0" w:line="240" w:lineRule="auto"/>
              <w:contextualSpacing/>
              <w:jc w:val="center"/>
              <w:rPr>
                <w:rFonts w:ascii="Adobe Caslon Pro" w:eastAsia="Times New Roman" w:hAnsi="Adobe Caslon Pro"/>
                <w:color w:val="000000"/>
                <w:lang w:eastAsia="es-MX"/>
              </w:rPr>
            </w:pPr>
            <w:r w:rsidRPr="000D62D1">
              <w:rPr>
                <w:rFonts w:ascii="Adobe Caslon Pro" w:eastAsia="Times New Roman" w:hAnsi="Adobe Caslon Pro"/>
                <w:color w:val="000000"/>
                <w:lang w:eastAsia="es-MX"/>
              </w:rPr>
              <w:t>1,341</w:t>
            </w:r>
          </w:p>
        </w:tc>
      </w:tr>
    </w:tbl>
    <w:p w:rsidR="00CF536D" w:rsidRPr="00D059D9" w:rsidRDefault="00CF536D" w:rsidP="00026506">
      <w:pPr>
        <w:spacing w:before="240"/>
        <w:jc w:val="both"/>
        <w:rPr>
          <w:rFonts w:ascii="Adobe Caslon Pro" w:hAnsi="Adobe Caslon Pro" w:cs="Arial"/>
          <w:sz w:val="18"/>
          <w:szCs w:val="18"/>
        </w:rPr>
      </w:pPr>
      <w:bookmarkStart w:id="175" w:name="_Toc374381017"/>
      <w:r w:rsidRPr="00D059D9">
        <w:rPr>
          <w:rFonts w:ascii="Adobe Caslon Pro" w:hAnsi="Adobe Caslon Pro" w:cs="Arial"/>
          <w:sz w:val="18"/>
          <w:szCs w:val="18"/>
        </w:rPr>
        <w:t>Fuente. Elaboración propia con base en el Sistema de Gestión de Proyectos del PCS (SIGEPPCS) información del RFOSC</w:t>
      </w:r>
      <w:r w:rsidR="00BF194D" w:rsidRPr="00D059D9">
        <w:rPr>
          <w:rFonts w:ascii="Adobe Caslon Pro" w:hAnsi="Adobe Caslon Pro" w:cs="Arial"/>
          <w:sz w:val="18"/>
          <w:szCs w:val="18"/>
        </w:rPr>
        <w:t>.</w:t>
      </w:r>
    </w:p>
    <w:p w:rsidR="00CF536D" w:rsidRPr="00A037D2" w:rsidRDefault="009A7A25" w:rsidP="00026506">
      <w:pPr>
        <w:pStyle w:val="Ttulo3"/>
        <w:spacing w:before="240" w:after="240"/>
        <w:jc w:val="both"/>
      </w:pPr>
      <w:bookmarkStart w:id="176" w:name="_Toc380855737"/>
      <w:bookmarkStart w:id="177" w:name="_Toc263896857"/>
      <w:bookmarkStart w:id="178" w:name="_Toc391925237"/>
      <w:bookmarkEnd w:id="175"/>
      <w:r>
        <w:t xml:space="preserve">3.3.7 </w:t>
      </w:r>
      <w:r w:rsidR="00CF536D" w:rsidRPr="00A037D2">
        <w:t>Criterios de selección</w:t>
      </w:r>
      <w:bookmarkEnd w:id="176"/>
      <w:bookmarkEnd w:id="177"/>
      <w:bookmarkEnd w:id="178"/>
    </w:p>
    <w:p w:rsidR="00CF536D" w:rsidRPr="000907D3" w:rsidRDefault="00CF536D" w:rsidP="00026506">
      <w:pPr>
        <w:pStyle w:val="Normal3"/>
        <w:spacing w:before="240"/>
        <w:rPr>
          <w:rFonts w:ascii="Adobe Caslon Pro" w:hAnsi="Adobe Caslon Pro"/>
          <w:sz w:val="22"/>
          <w:szCs w:val="22"/>
        </w:rPr>
      </w:pPr>
      <w:r w:rsidRPr="000907D3">
        <w:rPr>
          <w:rFonts w:ascii="Adobe Caslon Pro" w:hAnsi="Adobe Caslon Pro"/>
          <w:sz w:val="22"/>
          <w:szCs w:val="22"/>
        </w:rPr>
        <w:t xml:space="preserve">El </w:t>
      </w:r>
      <w:r w:rsidR="00BF194D" w:rsidRPr="000907D3">
        <w:rPr>
          <w:rFonts w:ascii="Adobe Caslon Pro" w:hAnsi="Adobe Caslon Pro"/>
          <w:sz w:val="22"/>
          <w:szCs w:val="22"/>
        </w:rPr>
        <w:t>PCS</w:t>
      </w:r>
      <w:r w:rsidRPr="000907D3">
        <w:rPr>
          <w:rFonts w:ascii="Adobe Caslon Pro" w:hAnsi="Adobe Caslon Pro"/>
          <w:sz w:val="22"/>
          <w:szCs w:val="22"/>
        </w:rPr>
        <w:t xml:space="preserve"> selecciona los proyectos de los actores sociales a través de convocatorias, en las que se determinan los recursos a distribuir y los criterios de elegibilidad y selección que se aplican en cada caso. Las convocatorias establecen que los proyectos serán seleccionados por una Comisión Dictaminadora conformad</w:t>
      </w:r>
      <w:r w:rsidR="002050DF" w:rsidRPr="000907D3">
        <w:rPr>
          <w:rFonts w:ascii="Adobe Caslon Pro" w:hAnsi="Adobe Caslon Pro"/>
          <w:sz w:val="22"/>
          <w:szCs w:val="22"/>
        </w:rPr>
        <w:t>a</w:t>
      </w:r>
      <w:r w:rsidRPr="000907D3">
        <w:rPr>
          <w:rFonts w:ascii="Adobe Caslon Pro" w:hAnsi="Adobe Caslon Pro"/>
          <w:sz w:val="22"/>
          <w:szCs w:val="22"/>
        </w:rPr>
        <w:t xml:space="preserve"> por</w:t>
      </w:r>
      <w:r w:rsidR="00AF55AF">
        <w:rPr>
          <w:rFonts w:ascii="Adobe Caslon Pro" w:hAnsi="Adobe Caslon Pro"/>
          <w:sz w:val="22"/>
          <w:szCs w:val="22"/>
        </w:rPr>
        <w:t>:</w:t>
      </w:r>
    </w:p>
    <w:p w:rsidR="00CF536D" w:rsidRPr="000907D3" w:rsidRDefault="00237FCF" w:rsidP="00026506">
      <w:pPr>
        <w:pStyle w:val="Default"/>
        <w:numPr>
          <w:ilvl w:val="0"/>
          <w:numId w:val="19"/>
        </w:numPr>
        <w:spacing w:before="240" w:after="240" w:line="276" w:lineRule="auto"/>
        <w:jc w:val="both"/>
        <w:rPr>
          <w:rFonts w:ascii="Adobe Caslon Pro" w:hAnsi="Adobe Caslon Pro" w:cs="Arial"/>
          <w:sz w:val="22"/>
          <w:szCs w:val="22"/>
        </w:rPr>
      </w:pPr>
      <w:r>
        <w:rPr>
          <w:rFonts w:ascii="Adobe Caslon Pro" w:hAnsi="Adobe Caslon Pro" w:cs="Arial"/>
          <w:sz w:val="22"/>
          <w:szCs w:val="22"/>
        </w:rPr>
        <w:t>U</w:t>
      </w:r>
      <w:r w:rsidR="00CF536D" w:rsidRPr="000907D3">
        <w:rPr>
          <w:rFonts w:ascii="Adobe Caslon Pro" w:hAnsi="Adobe Caslon Pro" w:cs="Arial"/>
          <w:sz w:val="22"/>
          <w:szCs w:val="22"/>
        </w:rPr>
        <w:t xml:space="preserve">n servidor público del </w:t>
      </w:r>
      <w:r w:rsidR="00BE60D4">
        <w:rPr>
          <w:rFonts w:ascii="Adobe Caslon Pro" w:hAnsi="Adobe Caslon Pro" w:cs="Arial"/>
          <w:sz w:val="22"/>
          <w:szCs w:val="22"/>
        </w:rPr>
        <w:t>gobierno</w:t>
      </w:r>
      <w:r w:rsidR="00CF536D" w:rsidRPr="000907D3">
        <w:rPr>
          <w:rFonts w:ascii="Adobe Caslon Pro" w:hAnsi="Adobe Caslon Pro" w:cs="Arial"/>
          <w:sz w:val="22"/>
          <w:szCs w:val="22"/>
        </w:rPr>
        <w:t xml:space="preserve"> federal, </w:t>
      </w:r>
    </w:p>
    <w:p w:rsidR="00CF536D" w:rsidRPr="000907D3" w:rsidRDefault="00237FCF" w:rsidP="00026506">
      <w:pPr>
        <w:pStyle w:val="Default"/>
        <w:numPr>
          <w:ilvl w:val="0"/>
          <w:numId w:val="19"/>
        </w:numPr>
        <w:spacing w:before="240" w:after="240" w:line="276" w:lineRule="auto"/>
        <w:jc w:val="both"/>
        <w:rPr>
          <w:rFonts w:ascii="Adobe Caslon Pro" w:hAnsi="Adobe Caslon Pro" w:cs="Arial"/>
          <w:sz w:val="22"/>
          <w:szCs w:val="22"/>
        </w:rPr>
      </w:pPr>
      <w:r>
        <w:rPr>
          <w:rFonts w:ascii="Adobe Caslon Pro" w:hAnsi="Adobe Caslon Pro" w:cs="Arial"/>
          <w:sz w:val="22"/>
          <w:szCs w:val="22"/>
        </w:rPr>
        <w:t>U</w:t>
      </w:r>
      <w:r w:rsidR="00CF536D" w:rsidRPr="000907D3">
        <w:rPr>
          <w:rFonts w:ascii="Adobe Caslon Pro" w:hAnsi="Adobe Caslon Pro" w:cs="Arial"/>
          <w:sz w:val="22"/>
          <w:szCs w:val="22"/>
        </w:rPr>
        <w:t>n integrante de la sociedad civil,</w:t>
      </w:r>
    </w:p>
    <w:p w:rsidR="00CF536D" w:rsidRPr="000907D3" w:rsidRDefault="00237FCF" w:rsidP="00026506">
      <w:pPr>
        <w:pStyle w:val="Default"/>
        <w:numPr>
          <w:ilvl w:val="0"/>
          <w:numId w:val="19"/>
        </w:numPr>
        <w:spacing w:before="240" w:after="240" w:line="276" w:lineRule="auto"/>
        <w:jc w:val="both"/>
        <w:rPr>
          <w:rFonts w:ascii="Adobe Caslon Pro" w:hAnsi="Adobe Caslon Pro" w:cs="Arial"/>
          <w:sz w:val="22"/>
          <w:szCs w:val="22"/>
        </w:rPr>
      </w:pPr>
      <w:r>
        <w:rPr>
          <w:rFonts w:ascii="Adobe Caslon Pro" w:hAnsi="Adobe Caslon Pro" w:cs="Arial"/>
          <w:sz w:val="22"/>
          <w:szCs w:val="22"/>
        </w:rPr>
        <w:t>U</w:t>
      </w:r>
      <w:r w:rsidR="00CF536D" w:rsidRPr="000907D3">
        <w:rPr>
          <w:rFonts w:ascii="Adobe Caslon Pro" w:hAnsi="Adobe Caslon Pro" w:cs="Arial"/>
          <w:sz w:val="22"/>
          <w:szCs w:val="22"/>
        </w:rPr>
        <w:t>n especialista en la materia o académico y;</w:t>
      </w:r>
    </w:p>
    <w:p w:rsidR="00CF536D" w:rsidRPr="000907D3" w:rsidRDefault="00237FCF" w:rsidP="00026506">
      <w:pPr>
        <w:pStyle w:val="Default"/>
        <w:numPr>
          <w:ilvl w:val="0"/>
          <w:numId w:val="19"/>
        </w:numPr>
        <w:spacing w:before="240" w:after="240" w:line="276" w:lineRule="auto"/>
        <w:jc w:val="both"/>
        <w:rPr>
          <w:rFonts w:ascii="Adobe Caslon Pro" w:hAnsi="Adobe Caslon Pro" w:cs="Arial"/>
          <w:sz w:val="22"/>
          <w:szCs w:val="22"/>
        </w:rPr>
      </w:pPr>
      <w:r>
        <w:rPr>
          <w:rFonts w:ascii="Adobe Caslon Pro" w:hAnsi="Adobe Caslon Pro" w:cs="Arial"/>
          <w:sz w:val="22"/>
          <w:szCs w:val="22"/>
        </w:rPr>
        <w:t>U</w:t>
      </w:r>
      <w:r w:rsidR="00CF536D" w:rsidRPr="000907D3">
        <w:rPr>
          <w:rFonts w:ascii="Adobe Caslon Pro" w:hAnsi="Adobe Caslon Pro" w:cs="Arial"/>
          <w:sz w:val="22"/>
          <w:szCs w:val="22"/>
        </w:rPr>
        <w:t xml:space="preserve">n representante del </w:t>
      </w:r>
      <w:r w:rsidR="002F714E">
        <w:rPr>
          <w:rFonts w:ascii="Adobe Caslon Pro" w:hAnsi="Adobe Caslon Pro" w:cs="Arial"/>
          <w:sz w:val="22"/>
          <w:szCs w:val="22"/>
        </w:rPr>
        <w:t>INDESOL</w:t>
      </w:r>
      <w:r w:rsidR="00CF536D" w:rsidRPr="000907D3">
        <w:rPr>
          <w:rFonts w:ascii="Adobe Caslon Pro" w:hAnsi="Adobe Caslon Pro" w:cs="Arial"/>
          <w:sz w:val="22"/>
          <w:szCs w:val="22"/>
        </w:rPr>
        <w:t>, como secretario técnico, quién tiene voz, pero no voto.</w:t>
      </w:r>
    </w:p>
    <w:p w:rsidR="00CF536D" w:rsidRDefault="00CF536D" w:rsidP="00026506">
      <w:pPr>
        <w:pStyle w:val="Normal3"/>
        <w:spacing w:before="240"/>
        <w:rPr>
          <w:rFonts w:ascii="Adobe Caslon Pro" w:hAnsi="Adobe Caslon Pro"/>
          <w:sz w:val="22"/>
          <w:szCs w:val="22"/>
        </w:rPr>
      </w:pPr>
      <w:r w:rsidRPr="000907D3">
        <w:rPr>
          <w:rFonts w:ascii="Adobe Caslon Pro" w:hAnsi="Adobe Caslon Pro"/>
          <w:sz w:val="22"/>
          <w:szCs w:val="22"/>
        </w:rPr>
        <w:t>Dich</w:t>
      </w:r>
      <w:r w:rsidR="002050DF" w:rsidRPr="000907D3">
        <w:rPr>
          <w:rFonts w:ascii="Adobe Caslon Pro" w:hAnsi="Adobe Caslon Pro"/>
          <w:sz w:val="22"/>
          <w:szCs w:val="22"/>
        </w:rPr>
        <w:t>a</w:t>
      </w:r>
      <w:r w:rsidR="003163BF">
        <w:rPr>
          <w:rFonts w:ascii="Adobe Caslon Pro" w:hAnsi="Adobe Caslon Pro"/>
          <w:sz w:val="22"/>
          <w:szCs w:val="22"/>
        </w:rPr>
        <w:t xml:space="preserve"> </w:t>
      </w:r>
      <w:r w:rsidR="002050DF" w:rsidRPr="000907D3">
        <w:rPr>
          <w:rFonts w:ascii="Adobe Caslon Pro" w:hAnsi="Adobe Caslon Pro"/>
          <w:sz w:val="22"/>
          <w:szCs w:val="22"/>
        </w:rPr>
        <w:t>Comisión</w:t>
      </w:r>
      <w:r w:rsidRPr="000907D3">
        <w:rPr>
          <w:rFonts w:ascii="Adobe Caslon Pro" w:hAnsi="Adobe Caslon Pro"/>
          <w:sz w:val="22"/>
          <w:szCs w:val="22"/>
        </w:rPr>
        <w:t xml:space="preserve"> califica de manera colegiada a los proyectos elegibles en función de la viabilidad técnica, metodológica</w:t>
      </w:r>
      <w:r w:rsidR="002050DF" w:rsidRPr="000907D3">
        <w:rPr>
          <w:rFonts w:ascii="Adobe Caslon Pro" w:hAnsi="Adobe Caslon Pro"/>
          <w:sz w:val="22"/>
          <w:szCs w:val="22"/>
        </w:rPr>
        <w:t xml:space="preserve"> y</w:t>
      </w:r>
      <w:r w:rsidRPr="000907D3">
        <w:rPr>
          <w:rFonts w:ascii="Adobe Caslon Pro" w:hAnsi="Adobe Caslon Pro"/>
          <w:sz w:val="22"/>
          <w:szCs w:val="22"/>
        </w:rPr>
        <w:t xml:space="preserve"> financiera, así como </w:t>
      </w:r>
      <w:r w:rsidR="002050DF" w:rsidRPr="000907D3">
        <w:rPr>
          <w:rFonts w:ascii="Adobe Caslon Pro" w:hAnsi="Adobe Caslon Pro"/>
          <w:sz w:val="22"/>
          <w:szCs w:val="22"/>
        </w:rPr>
        <w:t>en relación a</w:t>
      </w:r>
      <w:r w:rsidRPr="000907D3">
        <w:rPr>
          <w:rFonts w:ascii="Adobe Caslon Pro" w:hAnsi="Adobe Caslon Pro"/>
          <w:sz w:val="22"/>
          <w:szCs w:val="22"/>
        </w:rPr>
        <w:t>l fortalecimiento institucional y su potencial de generar capital social. Los proyectos son elegibles a partir de</w:t>
      </w:r>
      <w:r w:rsidR="002050DF" w:rsidRPr="000907D3">
        <w:rPr>
          <w:rFonts w:ascii="Adobe Caslon Pro" w:hAnsi="Adobe Caslon Pro"/>
          <w:sz w:val="22"/>
          <w:szCs w:val="22"/>
        </w:rPr>
        <w:t>l</w:t>
      </w:r>
      <w:r w:rsidRPr="000907D3">
        <w:rPr>
          <w:rFonts w:ascii="Adobe Caslon Pro" w:hAnsi="Adobe Caslon Pro"/>
          <w:sz w:val="22"/>
          <w:szCs w:val="22"/>
        </w:rPr>
        <w:t xml:space="preserve"> 70% del cumplimiento de los criterios de selección</w:t>
      </w:r>
      <w:r w:rsidR="002050DF" w:rsidRPr="000907D3">
        <w:rPr>
          <w:rFonts w:ascii="Adobe Caslon Pro" w:hAnsi="Adobe Caslon Pro"/>
          <w:sz w:val="22"/>
          <w:szCs w:val="22"/>
        </w:rPr>
        <w:t xml:space="preserve"> y,</w:t>
      </w:r>
      <w:r w:rsidR="003163BF">
        <w:rPr>
          <w:rFonts w:ascii="Adobe Caslon Pro" w:hAnsi="Adobe Caslon Pro"/>
          <w:sz w:val="22"/>
          <w:szCs w:val="22"/>
        </w:rPr>
        <w:t xml:space="preserve"> </w:t>
      </w:r>
      <w:r w:rsidR="002050DF" w:rsidRPr="000907D3">
        <w:rPr>
          <w:rFonts w:ascii="Adobe Caslon Pro" w:hAnsi="Adobe Caslon Pro"/>
          <w:sz w:val="22"/>
          <w:szCs w:val="22"/>
        </w:rPr>
        <w:t>l</w:t>
      </w:r>
      <w:r w:rsidRPr="000907D3">
        <w:rPr>
          <w:rFonts w:ascii="Adobe Caslon Pro" w:hAnsi="Adobe Caslon Pro"/>
          <w:sz w:val="22"/>
          <w:szCs w:val="22"/>
        </w:rPr>
        <w:t xml:space="preserve">os recursos se asignan a los proyectos </w:t>
      </w:r>
      <w:r w:rsidR="00DF5CE7" w:rsidRPr="000907D3">
        <w:rPr>
          <w:rFonts w:ascii="Adobe Caslon Pro" w:hAnsi="Adobe Caslon Pro"/>
          <w:sz w:val="22"/>
          <w:szCs w:val="22"/>
        </w:rPr>
        <w:t xml:space="preserve">conforme a su puntuación, </w:t>
      </w:r>
      <w:r w:rsidRPr="000907D3">
        <w:rPr>
          <w:rFonts w:ascii="Adobe Caslon Pro" w:hAnsi="Adobe Caslon Pro"/>
          <w:sz w:val="22"/>
          <w:szCs w:val="22"/>
        </w:rPr>
        <w:t>de mayor a menor</w:t>
      </w:r>
      <w:r w:rsidR="00DF5CE7" w:rsidRPr="000907D3">
        <w:rPr>
          <w:rFonts w:ascii="Adobe Caslon Pro" w:hAnsi="Adobe Caslon Pro"/>
          <w:sz w:val="22"/>
          <w:szCs w:val="22"/>
        </w:rPr>
        <w:t xml:space="preserve">, </w:t>
      </w:r>
      <w:r w:rsidRPr="000907D3">
        <w:rPr>
          <w:rFonts w:ascii="Adobe Caslon Pro" w:hAnsi="Adobe Caslon Pro"/>
          <w:sz w:val="22"/>
          <w:szCs w:val="22"/>
        </w:rPr>
        <w:t>hasta agotarse los recursos asignados a cada convocatoria.</w:t>
      </w:r>
    </w:p>
    <w:p w:rsidR="008664E7" w:rsidRDefault="008664E7" w:rsidP="00664977">
      <w:pPr>
        <w:pStyle w:val="Normal3"/>
        <w:spacing w:after="120"/>
        <w:rPr>
          <w:rFonts w:ascii="Adobe Caslon Pro" w:hAnsi="Adobe Caslon Pro"/>
          <w:sz w:val="22"/>
          <w:szCs w:val="22"/>
        </w:rPr>
      </w:pPr>
      <w:bookmarkStart w:id="179" w:name="_Toc374381018"/>
      <w:bookmarkStart w:id="180" w:name="_Toc380855738"/>
      <w:r w:rsidRPr="000907D3">
        <w:rPr>
          <w:rFonts w:ascii="Adobe Caslon Pro" w:hAnsi="Adobe Caslon Pro"/>
          <w:sz w:val="22"/>
          <w:szCs w:val="22"/>
        </w:rPr>
        <w:t xml:space="preserve">Esta característica del programa le permite una gran flexibilidad para atender los diversos objetivos de la </w:t>
      </w:r>
      <w:r w:rsidR="00DF5CE7" w:rsidRPr="000907D3">
        <w:rPr>
          <w:rFonts w:ascii="Adobe Caslon Pro" w:hAnsi="Adobe Caslon Pro"/>
          <w:sz w:val="22"/>
          <w:szCs w:val="22"/>
        </w:rPr>
        <w:t>LFFAROSC</w:t>
      </w:r>
      <w:r w:rsidRPr="000907D3">
        <w:rPr>
          <w:rFonts w:ascii="Adobe Caslon Pro" w:hAnsi="Adobe Caslon Pro"/>
          <w:sz w:val="22"/>
          <w:szCs w:val="22"/>
        </w:rPr>
        <w:t xml:space="preserve">, pero también implica un riesgo de atomizar los recursos públicos asignados al </w:t>
      </w:r>
      <w:r w:rsidRPr="000907D3">
        <w:rPr>
          <w:rFonts w:ascii="Adobe Caslon Pro" w:hAnsi="Adobe Caslon Pro"/>
          <w:sz w:val="22"/>
          <w:szCs w:val="22"/>
        </w:rPr>
        <w:lastRenderedPageBreak/>
        <w:t xml:space="preserve">fortalecimiento de los actores. Durante 2014, resulta un reto priorizar hacia los proyectos </w:t>
      </w:r>
      <w:r w:rsidR="00D01429" w:rsidRPr="000907D3">
        <w:rPr>
          <w:rFonts w:ascii="Adobe Caslon Pro" w:hAnsi="Adobe Caslon Pro"/>
          <w:sz w:val="22"/>
          <w:szCs w:val="22"/>
        </w:rPr>
        <w:t>cuyas actividades</w:t>
      </w:r>
      <w:r w:rsidRPr="000907D3">
        <w:rPr>
          <w:rFonts w:ascii="Adobe Caslon Pro" w:hAnsi="Adobe Caslon Pro"/>
          <w:sz w:val="22"/>
          <w:szCs w:val="22"/>
        </w:rPr>
        <w:t xml:space="preserve"> incidan </w:t>
      </w:r>
      <w:r w:rsidR="00D01429" w:rsidRPr="000907D3">
        <w:rPr>
          <w:rFonts w:ascii="Adobe Caslon Pro" w:hAnsi="Adobe Caslon Pro"/>
          <w:sz w:val="22"/>
          <w:szCs w:val="22"/>
        </w:rPr>
        <w:t xml:space="preserve">en la consecución de </w:t>
      </w:r>
      <w:r w:rsidRPr="000907D3">
        <w:rPr>
          <w:rFonts w:ascii="Adobe Caslon Pro" w:hAnsi="Adobe Caslon Pro"/>
          <w:sz w:val="22"/>
          <w:szCs w:val="22"/>
        </w:rPr>
        <w:t xml:space="preserve">los objetivos </w:t>
      </w:r>
      <w:r w:rsidR="00D01429" w:rsidRPr="000907D3">
        <w:rPr>
          <w:rFonts w:ascii="Adobe Caslon Pro" w:hAnsi="Adobe Caslon Pro"/>
          <w:sz w:val="22"/>
          <w:szCs w:val="22"/>
        </w:rPr>
        <w:t xml:space="preserve">del </w:t>
      </w:r>
      <w:r w:rsidR="00AD273C">
        <w:rPr>
          <w:rFonts w:ascii="Adobe Caslon Pro" w:hAnsi="Adobe Caslon Pro"/>
          <w:sz w:val="22"/>
          <w:szCs w:val="22"/>
        </w:rPr>
        <w:t xml:space="preserve">PSDS </w:t>
      </w:r>
      <w:r w:rsidRPr="000907D3">
        <w:rPr>
          <w:rFonts w:ascii="Adobe Caslon Pro" w:hAnsi="Adobe Caslon Pro"/>
          <w:sz w:val="22"/>
          <w:szCs w:val="22"/>
        </w:rPr>
        <w:t xml:space="preserve">y de la </w:t>
      </w:r>
      <w:r w:rsidR="00AD273C">
        <w:rPr>
          <w:rFonts w:ascii="Adobe Caslon Pro" w:hAnsi="Adobe Caslon Pro"/>
          <w:sz w:val="22"/>
          <w:szCs w:val="22"/>
        </w:rPr>
        <w:t>Cruzada</w:t>
      </w:r>
      <w:r w:rsidRPr="000907D3">
        <w:rPr>
          <w:rFonts w:ascii="Adobe Caslon Pro" w:hAnsi="Adobe Caslon Pro"/>
          <w:sz w:val="22"/>
          <w:szCs w:val="22"/>
        </w:rPr>
        <w:t xml:space="preserve">. </w:t>
      </w:r>
    </w:p>
    <w:p w:rsidR="00664977" w:rsidRDefault="00664977" w:rsidP="00664977">
      <w:pPr>
        <w:pStyle w:val="Ttulo3"/>
        <w:spacing w:before="0" w:after="120"/>
        <w:jc w:val="both"/>
        <w:rPr>
          <w:rFonts w:eastAsia="Calibri" w:cs="Arial"/>
          <w:b w:val="0"/>
          <w:bCs w:val="0"/>
          <w:color w:val="auto"/>
        </w:rPr>
      </w:pPr>
      <w:bookmarkStart w:id="181" w:name="_Toc263896858"/>
    </w:p>
    <w:p w:rsidR="00CF536D" w:rsidRPr="003852CF" w:rsidRDefault="009A7A25" w:rsidP="00664977">
      <w:pPr>
        <w:pStyle w:val="Ttulo3"/>
        <w:spacing w:before="0" w:after="120"/>
        <w:jc w:val="both"/>
      </w:pPr>
      <w:bookmarkStart w:id="182" w:name="_Toc391925238"/>
      <w:r>
        <w:t xml:space="preserve">3.3.8 </w:t>
      </w:r>
      <w:r w:rsidR="00CF536D" w:rsidRPr="003852CF">
        <w:t>Estrategia de cobertura en el corto, mediano y largo plazos</w:t>
      </w:r>
      <w:bookmarkEnd w:id="179"/>
      <w:bookmarkEnd w:id="180"/>
      <w:bookmarkEnd w:id="181"/>
      <w:bookmarkEnd w:id="182"/>
    </w:p>
    <w:p w:rsidR="002346CF" w:rsidRDefault="00DA43B9" w:rsidP="00026506">
      <w:pPr>
        <w:pStyle w:val="Normal3"/>
        <w:spacing w:before="240"/>
        <w:rPr>
          <w:rFonts w:ascii="Adobe Caslon Pro" w:hAnsi="Adobe Caslon Pro"/>
          <w:sz w:val="22"/>
          <w:szCs w:val="22"/>
        </w:rPr>
      </w:pPr>
      <w:r w:rsidRPr="003852CF">
        <w:rPr>
          <w:rFonts w:ascii="Adobe Caslon Pro" w:hAnsi="Adobe Caslon Pro"/>
          <w:sz w:val="22"/>
          <w:szCs w:val="22"/>
        </w:rPr>
        <w:t>El PCS es u</w:t>
      </w:r>
      <w:r w:rsidR="003D3CCA" w:rsidRPr="003852CF">
        <w:rPr>
          <w:rFonts w:ascii="Adobe Caslon Pro" w:hAnsi="Adobe Caslon Pro"/>
          <w:sz w:val="22"/>
          <w:szCs w:val="22"/>
        </w:rPr>
        <w:t>n programa</w:t>
      </w:r>
      <w:r w:rsidR="00E86B68" w:rsidRPr="003852CF">
        <w:rPr>
          <w:rFonts w:ascii="Adobe Caslon Pro" w:hAnsi="Adobe Caslon Pro"/>
          <w:sz w:val="22"/>
          <w:szCs w:val="22"/>
        </w:rPr>
        <w:t xml:space="preserve"> que cuenta con algunas particularidades en cuanto a su estrategia de cobertura, debido a que opera a través de convocatorias.</w:t>
      </w:r>
      <w:r w:rsidR="00FB458A" w:rsidRPr="003852CF">
        <w:rPr>
          <w:rFonts w:ascii="Adobe Caslon Pro" w:hAnsi="Adobe Caslon Pro"/>
          <w:sz w:val="22"/>
          <w:szCs w:val="22"/>
        </w:rPr>
        <w:t xml:space="preserve"> Esto es, la población atendida del programa</w:t>
      </w:r>
      <w:r w:rsidR="00E765DD" w:rsidRPr="003852CF">
        <w:rPr>
          <w:rFonts w:ascii="Adobe Caslon Pro" w:hAnsi="Adobe Caslon Pro"/>
          <w:sz w:val="22"/>
          <w:szCs w:val="22"/>
        </w:rPr>
        <w:t xml:space="preserve"> </w:t>
      </w:r>
      <w:r w:rsidR="003D3CCA" w:rsidRPr="003852CF">
        <w:rPr>
          <w:rFonts w:ascii="Adobe Caslon Pro" w:hAnsi="Adobe Caslon Pro"/>
          <w:sz w:val="22"/>
          <w:szCs w:val="22"/>
        </w:rPr>
        <w:t>está sujeta a la demanda de apoyos por parte de las OSC</w:t>
      </w:r>
      <w:r w:rsidR="00FB458A" w:rsidRPr="003852CF">
        <w:rPr>
          <w:rFonts w:ascii="Adobe Caslon Pro" w:hAnsi="Adobe Caslon Pro"/>
          <w:sz w:val="22"/>
          <w:szCs w:val="22"/>
        </w:rPr>
        <w:t>,</w:t>
      </w:r>
      <w:r w:rsidR="003D3CCA" w:rsidRPr="003852CF">
        <w:rPr>
          <w:rFonts w:ascii="Adobe Caslon Pro" w:hAnsi="Adobe Caslon Pro"/>
          <w:sz w:val="22"/>
          <w:szCs w:val="22"/>
        </w:rPr>
        <w:t xml:space="preserve"> así como del presupuesto otorgado al programa</w:t>
      </w:r>
      <w:r w:rsidR="00FB458A" w:rsidRPr="003852CF">
        <w:rPr>
          <w:rFonts w:ascii="Adobe Caslon Pro" w:hAnsi="Adobe Caslon Pro"/>
          <w:sz w:val="22"/>
          <w:szCs w:val="22"/>
        </w:rPr>
        <w:t xml:space="preserve"> en determinado año fiscal, por lo que las metas de corto, mediano y largo plazo, pueden establecerse considerando la evolución de las OSC y el crecim</w:t>
      </w:r>
      <w:r w:rsidR="00664977">
        <w:rPr>
          <w:rFonts w:ascii="Adobe Caslon Pro" w:hAnsi="Adobe Caslon Pro"/>
          <w:sz w:val="22"/>
          <w:szCs w:val="22"/>
        </w:rPr>
        <w:t>iento de la población objetivo.</w:t>
      </w:r>
    </w:p>
    <w:p w:rsidR="00AF7B8F" w:rsidRPr="003852CF" w:rsidRDefault="002A5EAC" w:rsidP="00026506">
      <w:pPr>
        <w:pStyle w:val="Normal3"/>
        <w:spacing w:before="240"/>
        <w:rPr>
          <w:rFonts w:ascii="Adobe Caslon Pro" w:hAnsi="Adobe Caslon Pro"/>
          <w:strike/>
          <w:sz w:val="22"/>
          <w:szCs w:val="22"/>
        </w:rPr>
      </w:pPr>
      <w:r>
        <w:rPr>
          <w:rFonts w:ascii="Adobe Caslon Pro" w:hAnsi="Adobe Caslon Pro"/>
          <w:sz w:val="22"/>
          <w:szCs w:val="22"/>
        </w:rPr>
        <w:t>Al respecto, e</w:t>
      </w:r>
      <w:r w:rsidR="00CF536D" w:rsidRPr="000907D3">
        <w:rPr>
          <w:rFonts w:ascii="Adobe Caslon Pro" w:hAnsi="Adobe Caslon Pro"/>
          <w:sz w:val="22"/>
          <w:szCs w:val="22"/>
        </w:rPr>
        <w:t>n el Diagnó</w:t>
      </w:r>
      <w:r>
        <w:rPr>
          <w:rFonts w:ascii="Adobe Caslon Pro" w:hAnsi="Adobe Caslon Pro"/>
          <w:sz w:val="22"/>
          <w:szCs w:val="22"/>
        </w:rPr>
        <w:t xml:space="preserve">stico del PCS </w:t>
      </w:r>
      <w:r w:rsidR="00707064">
        <w:rPr>
          <w:rFonts w:ascii="Adobe Caslon Pro" w:hAnsi="Adobe Caslon Pro"/>
          <w:sz w:val="22"/>
          <w:szCs w:val="22"/>
        </w:rPr>
        <w:t>se mostró</w:t>
      </w:r>
      <w:r w:rsidR="00CF536D" w:rsidRPr="000907D3">
        <w:rPr>
          <w:rFonts w:ascii="Adobe Caslon Pro" w:hAnsi="Adobe Caslon Pro"/>
          <w:sz w:val="22"/>
          <w:szCs w:val="22"/>
        </w:rPr>
        <w:t xml:space="preserve"> que en los últimos 5 años las </w:t>
      </w:r>
      <w:r w:rsidR="00541D49" w:rsidRPr="000907D3">
        <w:rPr>
          <w:rFonts w:ascii="Adobe Caslon Pro" w:hAnsi="Adobe Caslon Pro"/>
          <w:sz w:val="22"/>
          <w:szCs w:val="22"/>
        </w:rPr>
        <w:t>OSC</w:t>
      </w:r>
      <w:r w:rsidR="00CF536D" w:rsidRPr="000907D3">
        <w:rPr>
          <w:rFonts w:ascii="Adobe Caslon Pro" w:hAnsi="Adobe Caslon Pro"/>
          <w:sz w:val="22"/>
          <w:szCs w:val="22"/>
        </w:rPr>
        <w:t xml:space="preserve"> atendidas se han reducido al pasar de </w:t>
      </w:r>
      <w:r w:rsidR="003852CF">
        <w:rPr>
          <w:rFonts w:ascii="Adobe Caslon Pro" w:hAnsi="Adobe Caslon Pro"/>
          <w:sz w:val="22"/>
          <w:szCs w:val="22"/>
        </w:rPr>
        <w:t xml:space="preserve">1,367 </w:t>
      </w:r>
      <w:r w:rsidR="00465C7D" w:rsidRPr="000907D3">
        <w:rPr>
          <w:rFonts w:ascii="Adobe Caslon Pro" w:hAnsi="Adobe Caslon Pro"/>
          <w:sz w:val="22"/>
          <w:szCs w:val="22"/>
        </w:rPr>
        <w:t xml:space="preserve">a </w:t>
      </w:r>
      <w:r w:rsidR="00CF536D" w:rsidRPr="000907D3">
        <w:rPr>
          <w:rFonts w:ascii="Adobe Caslon Pro" w:hAnsi="Adobe Caslon Pro"/>
          <w:sz w:val="22"/>
          <w:szCs w:val="22"/>
        </w:rPr>
        <w:t xml:space="preserve">1,187 en el periodo entre 2009 y 2013, mientras que las OSC con proyectos elegibles han crecido </w:t>
      </w:r>
      <w:r w:rsidR="00CF536D" w:rsidRPr="003852CF">
        <w:rPr>
          <w:rFonts w:ascii="Adobe Caslon Pro" w:hAnsi="Adobe Caslon Pro"/>
          <w:sz w:val="22"/>
          <w:szCs w:val="22"/>
        </w:rPr>
        <w:t>aceleradamente de 787 a 4,989 en el mismo periodo</w:t>
      </w:r>
      <w:r w:rsidR="00707064" w:rsidRPr="003852CF">
        <w:rPr>
          <w:rFonts w:ascii="Adobe Caslon Pro" w:hAnsi="Adobe Caslon Pro"/>
          <w:sz w:val="22"/>
          <w:szCs w:val="22"/>
        </w:rPr>
        <w:t>, siendo difícil avanzar en la cobertura de la población objetivo</w:t>
      </w:r>
      <w:r w:rsidR="00CF536D" w:rsidRPr="003852CF">
        <w:rPr>
          <w:rFonts w:ascii="Adobe Caslon Pro" w:hAnsi="Adobe Caslon Pro"/>
          <w:sz w:val="22"/>
          <w:szCs w:val="22"/>
        </w:rPr>
        <w:t xml:space="preserve">. </w:t>
      </w:r>
      <w:r w:rsidR="00AF7B8F" w:rsidRPr="003852CF">
        <w:rPr>
          <w:rFonts w:ascii="Adobe Caslon Pro" w:hAnsi="Adobe Caslon Pro"/>
          <w:sz w:val="22"/>
          <w:szCs w:val="22"/>
        </w:rPr>
        <w:t xml:space="preserve">No obstante lo anterior, </w:t>
      </w:r>
      <w:r w:rsidR="00A11DDE" w:rsidRPr="003852CF">
        <w:rPr>
          <w:rFonts w:ascii="Adobe Caslon Pro" w:hAnsi="Adobe Caslon Pro"/>
          <w:sz w:val="22"/>
          <w:szCs w:val="22"/>
        </w:rPr>
        <w:t>es posible realiz</w:t>
      </w:r>
      <w:r w:rsidR="00707064" w:rsidRPr="003852CF">
        <w:rPr>
          <w:rFonts w:ascii="Adobe Caslon Pro" w:hAnsi="Adobe Caslon Pro"/>
          <w:sz w:val="22"/>
          <w:szCs w:val="22"/>
        </w:rPr>
        <w:t xml:space="preserve">ar una estrategia de cobertura para los próximos años, considerando una </w:t>
      </w:r>
      <w:r w:rsidR="00AF7B8F" w:rsidRPr="003852CF">
        <w:rPr>
          <w:rFonts w:ascii="Adobe Caslon Pro" w:hAnsi="Adobe Caslon Pro"/>
          <w:sz w:val="22"/>
          <w:szCs w:val="22"/>
        </w:rPr>
        <w:t>aproximación en la evolución d</w:t>
      </w:r>
      <w:r w:rsidR="00707064" w:rsidRPr="003852CF">
        <w:rPr>
          <w:rFonts w:ascii="Adobe Caslon Pro" w:hAnsi="Adobe Caslon Pro"/>
          <w:sz w:val="22"/>
          <w:szCs w:val="22"/>
        </w:rPr>
        <w:t>e las OSC y que la</w:t>
      </w:r>
      <w:r w:rsidR="00AF7B8F" w:rsidRPr="003852CF">
        <w:rPr>
          <w:rFonts w:ascii="Adobe Caslon Pro" w:hAnsi="Adobe Caslon Pro"/>
          <w:sz w:val="22"/>
          <w:szCs w:val="22"/>
        </w:rPr>
        <w:t xml:space="preserve"> población objetivo crece en la misma razón que lo ha hecho en los anteriores 5 ejercicios fiscales</w:t>
      </w:r>
      <w:r w:rsidR="003852CF" w:rsidRPr="003852CF">
        <w:rPr>
          <w:rFonts w:ascii="Adobe Caslon Pro" w:hAnsi="Adobe Caslon Pro"/>
          <w:sz w:val="22"/>
          <w:szCs w:val="22"/>
        </w:rPr>
        <w:t>.</w:t>
      </w:r>
      <w:r w:rsidR="003852CF">
        <w:rPr>
          <w:rFonts w:ascii="Adobe Caslon Pro" w:hAnsi="Adobe Caslon Pro"/>
          <w:sz w:val="22"/>
          <w:szCs w:val="22"/>
        </w:rPr>
        <w:t xml:space="preserve"> </w:t>
      </w:r>
      <w:r w:rsidR="00AF7B8F" w:rsidRPr="000907D3">
        <w:rPr>
          <w:rFonts w:ascii="Adobe Caslon Pro" w:hAnsi="Adobe Caslon Pro"/>
          <w:sz w:val="22"/>
          <w:szCs w:val="22"/>
        </w:rPr>
        <w:t xml:space="preserve"> </w:t>
      </w:r>
    </w:p>
    <w:p w:rsidR="00D71916" w:rsidRPr="00B33946" w:rsidRDefault="00CF536D" w:rsidP="00B33946">
      <w:pPr>
        <w:spacing w:before="240"/>
        <w:jc w:val="both"/>
        <w:rPr>
          <w:rFonts w:ascii="Adobe Caslon Pro" w:hAnsi="Adobe Caslon Pro" w:cs="Arial"/>
        </w:rPr>
      </w:pPr>
      <w:r w:rsidRPr="000907D3">
        <w:rPr>
          <w:rFonts w:ascii="Adobe Caslon Pro" w:hAnsi="Adobe Caslon Pro" w:cs="Arial"/>
        </w:rPr>
        <w:t>Para estimar la población atendida se supone un escenario donde se logra apoyar con fondos concursables al 24% de los proyectos elegibles,</w:t>
      </w:r>
      <w:r w:rsidR="003163BF">
        <w:rPr>
          <w:rFonts w:ascii="Adobe Caslon Pro" w:hAnsi="Adobe Caslon Pro" w:cs="Arial"/>
        </w:rPr>
        <w:t xml:space="preserve"> </w:t>
      </w:r>
      <w:r w:rsidRPr="000907D3">
        <w:rPr>
          <w:rFonts w:ascii="Adobe Caslon Pro" w:hAnsi="Adobe Caslon Pro" w:cs="Arial"/>
        </w:rPr>
        <w:t xml:space="preserve">tal como ocurrió en 2013. </w:t>
      </w:r>
      <w:r w:rsidR="009B78DB">
        <w:rPr>
          <w:rFonts w:ascii="Adobe Caslon Pro" w:hAnsi="Adobe Caslon Pro" w:cs="Arial"/>
        </w:rPr>
        <w:t>Asimismo, p</w:t>
      </w:r>
      <w:r w:rsidRPr="000907D3">
        <w:rPr>
          <w:rFonts w:ascii="Adobe Caslon Pro" w:hAnsi="Adobe Caslon Pro" w:cs="Arial"/>
        </w:rPr>
        <w:t xml:space="preserve">ara estimar el </w:t>
      </w:r>
      <w:r w:rsidR="004F6F8F" w:rsidRPr="000907D3">
        <w:rPr>
          <w:rFonts w:ascii="Adobe Caslon Pro" w:hAnsi="Adobe Caslon Pro" w:cs="Arial"/>
        </w:rPr>
        <w:t>p</w:t>
      </w:r>
      <w:r w:rsidRPr="000907D3">
        <w:rPr>
          <w:rFonts w:ascii="Adobe Caslon Pro" w:hAnsi="Adobe Caslon Pro" w:cs="Arial"/>
        </w:rPr>
        <w:t xml:space="preserve">resupuesto destinado a financiar proyectos de OSC, se supone que se mantiene </w:t>
      </w:r>
      <w:r w:rsidR="004F6F8F" w:rsidRPr="000907D3">
        <w:rPr>
          <w:rFonts w:ascii="Adobe Caslon Pro" w:hAnsi="Adobe Caslon Pro" w:cs="Arial"/>
        </w:rPr>
        <w:t>constante -</w:t>
      </w:r>
      <w:r w:rsidRPr="000907D3">
        <w:rPr>
          <w:rFonts w:ascii="Adobe Caslon Pro" w:hAnsi="Adobe Caslon Pro" w:cs="Arial"/>
        </w:rPr>
        <w:t>a lo largo de la presente administración</w:t>
      </w:r>
      <w:r w:rsidR="004F6F8F" w:rsidRPr="000907D3">
        <w:rPr>
          <w:rFonts w:ascii="Adobe Caslon Pro" w:hAnsi="Adobe Caslon Pro" w:cs="Arial"/>
        </w:rPr>
        <w:t>-</w:t>
      </w:r>
      <w:r w:rsidRPr="000907D3">
        <w:rPr>
          <w:rFonts w:ascii="Adobe Caslon Pro" w:hAnsi="Adobe Caslon Pro" w:cs="Arial"/>
        </w:rPr>
        <w:t xml:space="preserve"> el monto promedio observado en los últimos años. </w:t>
      </w:r>
      <w:r w:rsidR="00A23CC5">
        <w:rPr>
          <w:rFonts w:ascii="Adobe Caslon Pro" w:hAnsi="Adobe Caslon Pro" w:cs="Arial"/>
        </w:rPr>
        <w:t xml:space="preserve">Con base en </w:t>
      </w:r>
      <w:r w:rsidR="009B78DB">
        <w:rPr>
          <w:rFonts w:ascii="Adobe Caslon Pro" w:hAnsi="Adobe Caslon Pro" w:cs="Arial"/>
        </w:rPr>
        <w:t xml:space="preserve">lo anterior y en </w:t>
      </w:r>
      <w:r w:rsidR="00A23CC5">
        <w:rPr>
          <w:rFonts w:ascii="Adobe Caslon Pro" w:hAnsi="Adobe Caslon Pro" w:cs="Arial"/>
        </w:rPr>
        <w:t>la metodología empleada en el diagnóstico, se estima que la población objetivo inicia en 5,297 para 2014 y termina en 6,395 para 2018. Por su parte, la población atendida inicia en 1,187 para 2014 y 2,377 para 2018.</w:t>
      </w:r>
      <w:r w:rsidRPr="000907D3">
        <w:rPr>
          <w:rFonts w:ascii="Adobe Caslon Pro" w:hAnsi="Adobe Caslon Pro" w:cs="Arial"/>
        </w:rPr>
        <w:t xml:space="preserve"> En el siguiente cuadro, se presenta la estimación de la población atendida y objetivo para el periodo 2014-2018.</w:t>
      </w:r>
      <w:bookmarkStart w:id="183" w:name="_Toc380855764"/>
    </w:p>
    <w:p w:rsidR="00271526" w:rsidRDefault="00271526">
      <w:pPr>
        <w:spacing w:after="200"/>
        <w:rPr>
          <w:rFonts w:ascii="Adobe Caslon Pro" w:hAnsi="Adobe Caslon Pro" w:cs="Arial"/>
          <w:b/>
          <w:bCs/>
          <w:color w:val="000000" w:themeColor="text1"/>
          <w:sz w:val="20"/>
          <w:szCs w:val="20"/>
        </w:rPr>
      </w:pPr>
      <w:r>
        <w:rPr>
          <w:rFonts w:ascii="Adobe Caslon Pro" w:hAnsi="Adobe Caslon Pro" w:cs="Arial"/>
          <w:color w:val="000000" w:themeColor="text1"/>
          <w:sz w:val="20"/>
          <w:szCs w:val="20"/>
        </w:rPr>
        <w:br w:type="page"/>
      </w:r>
    </w:p>
    <w:p w:rsidR="00CF536D" w:rsidRPr="00D059D9" w:rsidRDefault="00CF536D" w:rsidP="00D71916">
      <w:pPr>
        <w:pStyle w:val="Epgrafe"/>
        <w:spacing w:before="240" w:after="240" w:line="276" w:lineRule="auto"/>
        <w:jc w:val="center"/>
        <w:rPr>
          <w:rFonts w:ascii="Adobe Caslon Pro" w:hAnsi="Adobe Caslon Pro" w:cs="Arial"/>
          <w:color w:val="000000" w:themeColor="text1"/>
          <w:sz w:val="20"/>
          <w:szCs w:val="20"/>
        </w:rPr>
      </w:pPr>
      <w:r w:rsidRPr="00D059D9">
        <w:rPr>
          <w:rFonts w:ascii="Adobe Caslon Pro" w:hAnsi="Adobe Caslon Pro" w:cs="Arial"/>
          <w:color w:val="000000" w:themeColor="text1"/>
          <w:sz w:val="20"/>
          <w:szCs w:val="20"/>
        </w:rPr>
        <w:lastRenderedPageBreak/>
        <w:t xml:space="preserve">Cuadro </w:t>
      </w:r>
      <w:r w:rsidR="001E24D5" w:rsidRPr="00D059D9">
        <w:rPr>
          <w:rFonts w:ascii="Adobe Caslon Pro" w:hAnsi="Adobe Caslon Pro" w:cs="Arial"/>
          <w:color w:val="000000" w:themeColor="text1"/>
          <w:sz w:val="20"/>
          <w:szCs w:val="20"/>
        </w:rPr>
        <w:t>14</w:t>
      </w:r>
      <w:r w:rsidRPr="00D059D9">
        <w:rPr>
          <w:rFonts w:ascii="Adobe Caslon Pro" w:hAnsi="Adobe Caslon Pro" w:cs="Arial"/>
          <w:color w:val="000000" w:themeColor="text1"/>
          <w:sz w:val="20"/>
          <w:szCs w:val="20"/>
        </w:rPr>
        <w:t>. Población atendida y objetivo 2014-2018</w:t>
      </w:r>
      <w:bookmarkEnd w:id="183"/>
    </w:p>
    <w:tbl>
      <w:tblPr>
        <w:tblW w:w="8580" w:type="dxa"/>
        <w:jc w:val="center"/>
        <w:tblCellMar>
          <w:left w:w="70" w:type="dxa"/>
          <w:right w:w="70" w:type="dxa"/>
        </w:tblCellMar>
        <w:tblLook w:val="04A0" w:firstRow="1" w:lastRow="0" w:firstColumn="1" w:lastColumn="0" w:noHBand="0" w:noVBand="1"/>
      </w:tblPr>
      <w:tblGrid>
        <w:gridCol w:w="1200"/>
        <w:gridCol w:w="2360"/>
        <w:gridCol w:w="1900"/>
        <w:gridCol w:w="3120"/>
      </w:tblGrid>
      <w:tr w:rsidR="000D62D1" w:rsidRPr="000D62D1" w:rsidTr="00D71916">
        <w:trPr>
          <w:trHeight w:val="420"/>
          <w:jc w:val="center"/>
        </w:trPr>
        <w:tc>
          <w:tcPr>
            <w:tcW w:w="120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0D62D1" w:rsidRPr="000D62D1" w:rsidRDefault="000D62D1" w:rsidP="00D71916">
            <w:pPr>
              <w:spacing w:after="0" w:line="240" w:lineRule="auto"/>
              <w:jc w:val="both"/>
              <w:rPr>
                <w:rFonts w:ascii="Adobe Caslon Pro" w:eastAsia="Times New Roman" w:hAnsi="Adobe Caslon Pro"/>
                <w:b/>
                <w:bCs/>
                <w:color w:val="000000"/>
                <w:lang w:eastAsia="es-MX"/>
              </w:rPr>
            </w:pPr>
            <w:r w:rsidRPr="000D62D1">
              <w:rPr>
                <w:rFonts w:ascii="Adobe Caslon Pro" w:eastAsia="Times New Roman" w:hAnsi="Adobe Caslon Pro"/>
                <w:b/>
                <w:bCs/>
                <w:color w:val="000000"/>
                <w:lang w:eastAsia="es-MX"/>
              </w:rPr>
              <w:t>Año</w:t>
            </w:r>
          </w:p>
        </w:tc>
        <w:tc>
          <w:tcPr>
            <w:tcW w:w="2360" w:type="dxa"/>
            <w:tcBorders>
              <w:top w:val="single" w:sz="4" w:space="0" w:color="auto"/>
              <w:left w:val="nil"/>
              <w:bottom w:val="single" w:sz="4" w:space="0" w:color="auto"/>
              <w:right w:val="single" w:sz="4" w:space="0" w:color="auto"/>
            </w:tcBorders>
            <w:shd w:val="clear" w:color="000000" w:fill="BFBFBF"/>
            <w:vAlign w:val="center"/>
            <w:hideMark/>
          </w:tcPr>
          <w:p w:rsidR="000D62D1" w:rsidRPr="000D62D1" w:rsidRDefault="000D62D1" w:rsidP="00271526">
            <w:pPr>
              <w:spacing w:after="0" w:line="240" w:lineRule="auto"/>
              <w:jc w:val="center"/>
              <w:rPr>
                <w:rFonts w:ascii="Adobe Caslon Pro" w:eastAsia="Times New Roman" w:hAnsi="Adobe Caslon Pro"/>
                <w:b/>
                <w:bCs/>
                <w:color w:val="000000"/>
                <w:lang w:eastAsia="es-MX"/>
              </w:rPr>
            </w:pPr>
            <w:r w:rsidRPr="000D62D1">
              <w:rPr>
                <w:rFonts w:ascii="Adobe Caslon Pro" w:eastAsia="Times New Roman" w:hAnsi="Adobe Caslon Pro"/>
                <w:b/>
                <w:bCs/>
                <w:color w:val="000000"/>
                <w:lang w:eastAsia="es-MX"/>
              </w:rPr>
              <w:t>Población objetivo total</w:t>
            </w:r>
          </w:p>
        </w:tc>
        <w:tc>
          <w:tcPr>
            <w:tcW w:w="1900" w:type="dxa"/>
            <w:tcBorders>
              <w:top w:val="single" w:sz="4" w:space="0" w:color="auto"/>
              <w:left w:val="nil"/>
              <w:bottom w:val="single" w:sz="4" w:space="0" w:color="auto"/>
              <w:right w:val="single" w:sz="4" w:space="0" w:color="auto"/>
            </w:tcBorders>
            <w:shd w:val="clear" w:color="000000" w:fill="BFBFBF"/>
            <w:vAlign w:val="center"/>
            <w:hideMark/>
          </w:tcPr>
          <w:p w:rsidR="000D62D1" w:rsidRPr="000D62D1" w:rsidRDefault="000D62D1" w:rsidP="00271526">
            <w:pPr>
              <w:spacing w:after="0" w:line="240" w:lineRule="auto"/>
              <w:jc w:val="center"/>
              <w:rPr>
                <w:rFonts w:ascii="Adobe Caslon Pro" w:eastAsia="Times New Roman" w:hAnsi="Adobe Caslon Pro"/>
                <w:b/>
                <w:bCs/>
                <w:color w:val="000000"/>
                <w:lang w:eastAsia="es-MX"/>
              </w:rPr>
            </w:pPr>
            <w:r w:rsidRPr="000D62D1">
              <w:rPr>
                <w:rFonts w:ascii="Adobe Caslon Pro" w:eastAsia="Times New Roman" w:hAnsi="Adobe Caslon Pro"/>
                <w:b/>
                <w:bCs/>
                <w:color w:val="000000"/>
                <w:lang w:eastAsia="es-MX"/>
              </w:rPr>
              <w:t>Población atendida</w:t>
            </w:r>
          </w:p>
        </w:tc>
        <w:tc>
          <w:tcPr>
            <w:tcW w:w="3120" w:type="dxa"/>
            <w:tcBorders>
              <w:top w:val="single" w:sz="4" w:space="0" w:color="auto"/>
              <w:left w:val="nil"/>
              <w:bottom w:val="single" w:sz="4" w:space="0" w:color="auto"/>
              <w:right w:val="single" w:sz="4" w:space="0" w:color="auto"/>
            </w:tcBorders>
            <w:shd w:val="clear" w:color="000000" w:fill="BFBFBF"/>
            <w:vAlign w:val="center"/>
            <w:hideMark/>
          </w:tcPr>
          <w:p w:rsidR="000D62D1" w:rsidRPr="000D62D1" w:rsidRDefault="000D62D1" w:rsidP="00271526">
            <w:pPr>
              <w:spacing w:after="0" w:line="240" w:lineRule="auto"/>
              <w:jc w:val="center"/>
              <w:rPr>
                <w:rFonts w:ascii="Adobe Caslon Pro" w:eastAsia="Times New Roman" w:hAnsi="Adobe Caslon Pro"/>
                <w:b/>
                <w:bCs/>
                <w:color w:val="000000"/>
                <w:lang w:eastAsia="es-MX"/>
              </w:rPr>
            </w:pPr>
            <w:r w:rsidRPr="000D62D1">
              <w:rPr>
                <w:rFonts w:ascii="Adobe Caslon Pro" w:eastAsia="Times New Roman" w:hAnsi="Adobe Caslon Pro"/>
                <w:b/>
                <w:bCs/>
                <w:color w:val="000000"/>
                <w:lang w:eastAsia="es-MX"/>
              </w:rPr>
              <w:t>Presupuesto (precios corrientes)</w:t>
            </w:r>
          </w:p>
        </w:tc>
      </w:tr>
      <w:tr w:rsidR="00A23CC5" w:rsidRPr="000D62D1" w:rsidTr="00D71916">
        <w:trPr>
          <w:trHeight w:val="34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A23CC5" w:rsidRPr="000D62D1" w:rsidRDefault="00A23CC5" w:rsidP="00D71916">
            <w:pPr>
              <w:spacing w:after="0" w:line="240" w:lineRule="auto"/>
              <w:jc w:val="both"/>
              <w:rPr>
                <w:rFonts w:ascii="Adobe Caslon Pro" w:eastAsia="Times New Roman" w:hAnsi="Adobe Caslon Pro"/>
                <w:color w:val="000000"/>
                <w:sz w:val="20"/>
                <w:szCs w:val="20"/>
                <w:lang w:eastAsia="es-MX"/>
              </w:rPr>
            </w:pPr>
            <w:r w:rsidRPr="000D62D1">
              <w:rPr>
                <w:rFonts w:ascii="Adobe Caslon Pro" w:eastAsia="Times New Roman" w:hAnsi="Adobe Caslon Pro"/>
                <w:color w:val="000000"/>
                <w:sz w:val="20"/>
                <w:szCs w:val="20"/>
                <w:lang w:eastAsia="es-MX"/>
              </w:rPr>
              <w:t>2014</w:t>
            </w:r>
          </w:p>
        </w:tc>
        <w:tc>
          <w:tcPr>
            <w:tcW w:w="2360" w:type="dxa"/>
            <w:tcBorders>
              <w:top w:val="nil"/>
              <w:left w:val="nil"/>
              <w:bottom w:val="single" w:sz="4" w:space="0" w:color="auto"/>
              <w:right w:val="single" w:sz="4" w:space="0" w:color="auto"/>
            </w:tcBorders>
            <w:shd w:val="clear" w:color="auto" w:fill="auto"/>
            <w:vAlign w:val="bottom"/>
            <w:hideMark/>
          </w:tcPr>
          <w:p w:rsidR="00A23CC5" w:rsidRPr="00A23CC5" w:rsidRDefault="00A23CC5" w:rsidP="00271526">
            <w:pPr>
              <w:spacing w:after="0" w:line="240" w:lineRule="auto"/>
              <w:jc w:val="center"/>
              <w:rPr>
                <w:rFonts w:ascii="Adobe Caslon Pro" w:eastAsia="Times New Roman" w:hAnsi="Adobe Caslon Pro"/>
                <w:color w:val="000000"/>
                <w:sz w:val="20"/>
                <w:szCs w:val="20"/>
                <w:lang w:eastAsia="es-MX"/>
              </w:rPr>
            </w:pPr>
            <w:r w:rsidRPr="00A23CC5">
              <w:rPr>
                <w:rFonts w:ascii="Adobe Caslon Pro" w:eastAsia="Times New Roman" w:hAnsi="Adobe Caslon Pro"/>
                <w:color w:val="000000"/>
                <w:sz w:val="20"/>
                <w:szCs w:val="20"/>
                <w:lang w:eastAsia="es-MX"/>
              </w:rPr>
              <w:t>5,297</w:t>
            </w:r>
          </w:p>
        </w:tc>
        <w:tc>
          <w:tcPr>
            <w:tcW w:w="1900" w:type="dxa"/>
            <w:tcBorders>
              <w:top w:val="nil"/>
              <w:left w:val="nil"/>
              <w:bottom w:val="single" w:sz="4" w:space="0" w:color="auto"/>
              <w:right w:val="single" w:sz="4" w:space="0" w:color="auto"/>
            </w:tcBorders>
            <w:shd w:val="clear" w:color="auto" w:fill="auto"/>
            <w:vAlign w:val="center"/>
            <w:hideMark/>
          </w:tcPr>
          <w:p w:rsidR="00A23CC5" w:rsidRPr="000D62D1" w:rsidRDefault="00A23CC5" w:rsidP="00271526">
            <w:pPr>
              <w:spacing w:after="0" w:line="240" w:lineRule="auto"/>
              <w:jc w:val="center"/>
              <w:rPr>
                <w:rFonts w:ascii="Adobe Caslon Pro" w:eastAsia="Times New Roman" w:hAnsi="Adobe Caslon Pro"/>
                <w:color w:val="000000"/>
                <w:sz w:val="20"/>
                <w:szCs w:val="20"/>
                <w:lang w:eastAsia="es-MX"/>
              </w:rPr>
            </w:pPr>
            <w:r w:rsidRPr="000D62D1">
              <w:rPr>
                <w:rFonts w:ascii="Adobe Caslon Pro" w:eastAsia="Times New Roman" w:hAnsi="Adobe Caslon Pro"/>
                <w:color w:val="000000"/>
                <w:sz w:val="20"/>
                <w:szCs w:val="20"/>
                <w:lang w:eastAsia="es-MX"/>
              </w:rPr>
              <w:t>1,187</w:t>
            </w:r>
          </w:p>
        </w:tc>
        <w:tc>
          <w:tcPr>
            <w:tcW w:w="3120" w:type="dxa"/>
            <w:tcBorders>
              <w:top w:val="nil"/>
              <w:left w:val="nil"/>
              <w:bottom w:val="single" w:sz="4" w:space="0" w:color="auto"/>
              <w:right w:val="single" w:sz="4" w:space="0" w:color="auto"/>
            </w:tcBorders>
            <w:shd w:val="clear" w:color="auto" w:fill="auto"/>
            <w:vAlign w:val="center"/>
            <w:hideMark/>
          </w:tcPr>
          <w:p w:rsidR="00A23CC5" w:rsidRPr="000D62D1" w:rsidRDefault="00A23CC5" w:rsidP="00271526">
            <w:pPr>
              <w:spacing w:after="0" w:line="240" w:lineRule="auto"/>
              <w:jc w:val="center"/>
              <w:rPr>
                <w:rFonts w:ascii="Adobe Caslon Pro" w:eastAsia="Times New Roman" w:hAnsi="Adobe Caslon Pro"/>
                <w:color w:val="000000"/>
                <w:sz w:val="20"/>
                <w:szCs w:val="20"/>
                <w:lang w:eastAsia="es-MX"/>
              </w:rPr>
            </w:pPr>
            <w:r w:rsidRPr="000D62D1">
              <w:rPr>
                <w:rFonts w:ascii="Adobe Caslon Pro" w:eastAsia="Times New Roman" w:hAnsi="Adobe Caslon Pro"/>
                <w:color w:val="000000"/>
                <w:sz w:val="20"/>
                <w:szCs w:val="20"/>
                <w:lang w:eastAsia="es-MX"/>
              </w:rPr>
              <w:t>302,444,632</w:t>
            </w:r>
          </w:p>
        </w:tc>
      </w:tr>
      <w:tr w:rsidR="00A23CC5" w:rsidRPr="000D62D1" w:rsidTr="00D71916">
        <w:trPr>
          <w:trHeight w:val="34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A23CC5" w:rsidRPr="000D62D1" w:rsidRDefault="00A23CC5" w:rsidP="00D71916">
            <w:pPr>
              <w:spacing w:after="0" w:line="240" w:lineRule="auto"/>
              <w:jc w:val="both"/>
              <w:rPr>
                <w:rFonts w:ascii="Adobe Caslon Pro" w:eastAsia="Times New Roman" w:hAnsi="Adobe Caslon Pro"/>
                <w:color w:val="000000"/>
                <w:sz w:val="20"/>
                <w:szCs w:val="20"/>
                <w:lang w:eastAsia="es-MX"/>
              </w:rPr>
            </w:pPr>
            <w:r w:rsidRPr="000D62D1">
              <w:rPr>
                <w:rFonts w:ascii="Adobe Caslon Pro" w:eastAsia="Times New Roman" w:hAnsi="Adobe Caslon Pro"/>
                <w:color w:val="000000"/>
                <w:sz w:val="20"/>
                <w:szCs w:val="20"/>
                <w:lang w:eastAsia="es-MX"/>
              </w:rPr>
              <w:t>2015</w:t>
            </w:r>
          </w:p>
        </w:tc>
        <w:tc>
          <w:tcPr>
            <w:tcW w:w="2360" w:type="dxa"/>
            <w:tcBorders>
              <w:top w:val="nil"/>
              <w:left w:val="nil"/>
              <w:bottom w:val="single" w:sz="4" w:space="0" w:color="auto"/>
              <w:right w:val="single" w:sz="4" w:space="0" w:color="auto"/>
            </w:tcBorders>
            <w:shd w:val="clear" w:color="auto" w:fill="auto"/>
            <w:vAlign w:val="bottom"/>
            <w:hideMark/>
          </w:tcPr>
          <w:p w:rsidR="00A23CC5" w:rsidRPr="00A23CC5" w:rsidRDefault="00A23CC5" w:rsidP="00271526">
            <w:pPr>
              <w:spacing w:after="0" w:line="240" w:lineRule="auto"/>
              <w:jc w:val="center"/>
              <w:rPr>
                <w:rFonts w:ascii="Adobe Caslon Pro" w:eastAsia="Times New Roman" w:hAnsi="Adobe Caslon Pro"/>
                <w:color w:val="000000"/>
                <w:sz w:val="20"/>
                <w:szCs w:val="20"/>
                <w:lang w:eastAsia="es-MX"/>
              </w:rPr>
            </w:pPr>
            <w:r w:rsidRPr="00A23CC5">
              <w:rPr>
                <w:rFonts w:ascii="Adobe Caslon Pro" w:eastAsia="Times New Roman" w:hAnsi="Adobe Caslon Pro"/>
                <w:color w:val="000000"/>
                <w:sz w:val="20"/>
                <w:szCs w:val="20"/>
                <w:lang w:eastAsia="es-MX"/>
              </w:rPr>
              <w:t>5,552</w:t>
            </w:r>
          </w:p>
        </w:tc>
        <w:tc>
          <w:tcPr>
            <w:tcW w:w="1900" w:type="dxa"/>
            <w:tcBorders>
              <w:top w:val="nil"/>
              <w:left w:val="nil"/>
              <w:bottom w:val="single" w:sz="4" w:space="0" w:color="auto"/>
              <w:right w:val="single" w:sz="4" w:space="0" w:color="auto"/>
            </w:tcBorders>
            <w:shd w:val="clear" w:color="auto" w:fill="auto"/>
            <w:vAlign w:val="center"/>
            <w:hideMark/>
          </w:tcPr>
          <w:p w:rsidR="00A23CC5" w:rsidRPr="000D62D1" w:rsidRDefault="00A23CC5" w:rsidP="00271526">
            <w:pPr>
              <w:spacing w:after="0" w:line="240" w:lineRule="auto"/>
              <w:jc w:val="center"/>
              <w:rPr>
                <w:rFonts w:ascii="Adobe Caslon Pro" w:eastAsia="Times New Roman" w:hAnsi="Adobe Caslon Pro"/>
                <w:color w:val="000000"/>
                <w:sz w:val="20"/>
                <w:szCs w:val="20"/>
                <w:lang w:eastAsia="es-MX"/>
              </w:rPr>
            </w:pPr>
            <w:r w:rsidRPr="000D62D1">
              <w:rPr>
                <w:rFonts w:ascii="Adobe Caslon Pro" w:eastAsia="Times New Roman" w:hAnsi="Adobe Caslon Pro"/>
                <w:color w:val="000000"/>
                <w:sz w:val="20"/>
                <w:szCs w:val="20"/>
                <w:lang w:eastAsia="es-MX"/>
              </w:rPr>
              <w:t>1,412</w:t>
            </w:r>
          </w:p>
        </w:tc>
        <w:tc>
          <w:tcPr>
            <w:tcW w:w="3120" w:type="dxa"/>
            <w:tcBorders>
              <w:top w:val="nil"/>
              <w:left w:val="nil"/>
              <w:bottom w:val="single" w:sz="4" w:space="0" w:color="auto"/>
              <w:right w:val="single" w:sz="4" w:space="0" w:color="auto"/>
            </w:tcBorders>
            <w:shd w:val="clear" w:color="auto" w:fill="auto"/>
            <w:vAlign w:val="center"/>
            <w:hideMark/>
          </w:tcPr>
          <w:p w:rsidR="00A23CC5" w:rsidRPr="000D62D1" w:rsidRDefault="00A23CC5" w:rsidP="00271526">
            <w:pPr>
              <w:spacing w:after="0" w:line="240" w:lineRule="auto"/>
              <w:jc w:val="center"/>
              <w:rPr>
                <w:rFonts w:ascii="Adobe Caslon Pro" w:eastAsia="Times New Roman" w:hAnsi="Adobe Caslon Pro"/>
                <w:color w:val="000000"/>
                <w:sz w:val="20"/>
                <w:szCs w:val="20"/>
                <w:lang w:eastAsia="es-MX"/>
              </w:rPr>
            </w:pPr>
            <w:r w:rsidRPr="000D62D1">
              <w:rPr>
                <w:rFonts w:ascii="Adobe Caslon Pro" w:eastAsia="Times New Roman" w:hAnsi="Adobe Caslon Pro"/>
                <w:color w:val="000000"/>
                <w:sz w:val="20"/>
                <w:szCs w:val="20"/>
                <w:lang w:eastAsia="es-MX"/>
              </w:rPr>
              <w:t>359,793,324</w:t>
            </w:r>
          </w:p>
        </w:tc>
      </w:tr>
      <w:tr w:rsidR="00A23CC5" w:rsidRPr="000D62D1" w:rsidTr="00D71916">
        <w:trPr>
          <w:trHeight w:val="34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A23CC5" w:rsidRPr="000D62D1" w:rsidRDefault="00A23CC5" w:rsidP="00D71916">
            <w:pPr>
              <w:spacing w:after="0" w:line="240" w:lineRule="auto"/>
              <w:jc w:val="both"/>
              <w:rPr>
                <w:rFonts w:ascii="Adobe Caslon Pro" w:eastAsia="Times New Roman" w:hAnsi="Adobe Caslon Pro"/>
                <w:color w:val="000000"/>
                <w:sz w:val="20"/>
                <w:szCs w:val="20"/>
                <w:lang w:eastAsia="es-MX"/>
              </w:rPr>
            </w:pPr>
            <w:r w:rsidRPr="000D62D1">
              <w:rPr>
                <w:rFonts w:ascii="Adobe Caslon Pro" w:eastAsia="Times New Roman" w:hAnsi="Adobe Caslon Pro"/>
                <w:color w:val="000000"/>
                <w:sz w:val="20"/>
                <w:szCs w:val="20"/>
                <w:lang w:eastAsia="es-MX"/>
              </w:rPr>
              <w:t>2016</w:t>
            </w:r>
          </w:p>
        </w:tc>
        <w:tc>
          <w:tcPr>
            <w:tcW w:w="2360" w:type="dxa"/>
            <w:tcBorders>
              <w:top w:val="nil"/>
              <w:left w:val="nil"/>
              <w:bottom w:val="single" w:sz="4" w:space="0" w:color="auto"/>
              <w:right w:val="single" w:sz="4" w:space="0" w:color="auto"/>
            </w:tcBorders>
            <w:shd w:val="clear" w:color="auto" w:fill="auto"/>
            <w:vAlign w:val="bottom"/>
            <w:hideMark/>
          </w:tcPr>
          <w:p w:rsidR="00A23CC5" w:rsidRPr="00A23CC5" w:rsidRDefault="00A23CC5" w:rsidP="00271526">
            <w:pPr>
              <w:spacing w:after="0" w:line="240" w:lineRule="auto"/>
              <w:jc w:val="center"/>
              <w:rPr>
                <w:rFonts w:ascii="Adobe Caslon Pro" w:eastAsia="Times New Roman" w:hAnsi="Adobe Caslon Pro"/>
                <w:color w:val="000000"/>
                <w:sz w:val="20"/>
                <w:szCs w:val="20"/>
                <w:lang w:eastAsia="es-MX"/>
              </w:rPr>
            </w:pPr>
            <w:r w:rsidRPr="00A23CC5">
              <w:rPr>
                <w:rFonts w:ascii="Adobe Caslon Pro" w:eastAsia="Times New Roman" w:hAnsi="Adobe Caslon Pro"/>
                <w:color w:val="000000"/>
                <w:sz w:val="20"/>
                <w:szCs w:val="20"/>
                <w:lang w:eastAsia="es-MX"/>
              </w:rPr>
              <w:t>5,820</w:t>
            </w:r>
          </w:p>
        </w:tc>
        <w:tc>
          <w:tcPr>
            <w:tcW w:w="1900" w:type="dxa"/>
            <w:tcBorders>
              <w:top w:val="nil"/>
              <w:left w:val="nil"/>
              <w:bottom w:val="single" w:sz="4" w:space="0" w:color="auto"/>
              <w:right w:val="single" w:sz="4" w:space="0" w:color="auto"/>
            </w:tcBorders>
            <w:shd w:val="clear" w:color="auto" w:fill="auto"/>
            <w:vAlign w:val="center"/>
            <w:hideMark/>
          </w:tcPr>
          <w:p w:rsidR="00A23CC5" w:rsidRPr="000D62D1" w:rsidRDefault="00A23CC5" w:rsidP="00271526">
            <w:pPr>
              <w:spacing w:after="0" w:line="240" w:lineRule="auto"/>
              <w:jc w:val="center"/>
              <w:rPr>
                <w:rFonts w:ascii="Adobe Caslon Pro" w:eastAsia="Times New Roman" w:hAnsi="Adobe Caslon Pro"/>
                <w:color w:val="000000"/>
                <w:sz w:val="20"/>
                <w:szCs w:val="20"/>
                <w:lang w:eastAsia="es-MX"/>
              </w:rPr>
            </w:pPr>
            <w:r w:rsidRPr="000D62D1">
              <w:rPr>
                <w:rFonts w:ascii="Adobe Caslon Pro" w:eastAsia="Times New Roman" w:hAnsi="Adobe Caslon Pro"/>
                <w:color w:val="000000"/>
                <w:sz w:val="20"/>
                <w:szCs w:val="20"/>
                <w:lang w:eastAsia="es-MX"/>
              </w:rPr>
              <w:t>1,680</w:t>
            </w:r>
          </w:p>
        </w:tc>
        <w:tc>
          <w:tcPr>
            <w:tcW w:w="3120" w:type="dxa"/>
            <w:tcBorders>
              <w:top w:val="nil"/>
              <w:left w:val="nil"/>
              <w:bottom w:val="single" w:sz="4" w:space="0" w:color="auto"/>
              <w:right w:val="single" w:sz="4" w:space="0" w:color="auto"/>
            </w:tcBorders>
            <w:shd w:val="clear" w:color="auto" w:fill="auto"/>
            <w:vAlign w:val="center"/>
            <w:hideMark/>
          </w:tcPr>
          <w:p w:rsidR="00A23CC5" w:rsidRPr="000D62D1" w:rsidRDefault="00A23CC5" w:rsidP="00271526">
            <w:pPr>
              <w:spacing w:after="0" w:line="240" w:lineRule="auto"/>
              <w:jc w:val="center"/>
              <w:rPr>
                <w:rFonts w:ascii="Adobe Caslon Pro" w:eastAsia="Times New Roman" w:hAnsi="Adobe Caslon Pro"/>
                <w:color w:val="000000"/>
                <w:sz w:val="20"/>
                <w:szCs w:val="20"/>
                <w:lang w:eastAsia="es-MX"/>
              </w:rPr>
            </w:pPr>
            <w:r w:rsidRPr="000D62D1">
              <w:rPr>
                <w:rFonts w:ascii="Adobe Caslon Pro" w:eastAsia="Times New Roman" w:hAnsi="Adobe Caslon Pro"/>
                <w:color w:val="000000"/>
                <w:sz w:val="20"/>
                <w:szCs w:val="20"/>
                <w:lang w:eastAsia="es-MX"/>
              </w:rPr>
              <w:t>427,993,406</w:t>
            </w:r>
          </w:p>
        </w:tc>
      </w:tr>
      <w:tr w:rsidR="00A23CC5" w:rsidRPr="000D62D1" w:rsidTr="00D71916">
        <w:trPr>
          <w:trHeight w:val="34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A23CC5" w:rsidRPr="000D62D1" w:rsidRDefault="00A23CC5" w:rsidP="00D71916">
            <w:pPr>
              <w:spacing w:after="0" w:line="240" w:lineRule="auto"/>
              <w:jc w:val="both"/>
              <w:rPr>
                <w:rFonts w:ascii="Adobe Caslon Pro" w:eastAsia="Times New Roman" w:hAnsi="Adobe Caslon Pro"/>
                <w:color w:val="000000"/>
                <w:sz w:val="20"/>
                <w:szCs w:val="20"/>
                <w:lang w:eastAsia="es-MX"/>
              </w:rPr>
            </w:pPr>
            <w:r w:rsidRPr="000D62D1">
              <w:rPr>
                <w:rFonts w:ascii="Adobe Caslon Pro" w:eastAsia="Times New Roman" w:hAnsi="Adobe Caslon Pro"/>
                <w:color w:val="000000"/>
                <w:sz w:val="20"/>
                <w:szCs w:val="20"/>
                <w:lang w:eastAsia="es-MX"/>
              </w:rPr>
              <w:t>2017</w:t>
            </w:r>
          </w:p>
        </w:tc>
        <w:tc>
          <w:tcPr>
            <w:tcW w:w="2360" w:type="dxa"/>
            <w:tcBorders>
              <w:top w:val="nil"/>
              <w:left w:val="nil"/>
              <w:bottom w:val="single" w:sz="4" w:space="0" w:color="auto"/>
              <w:right w:val="single" w:sz="4" w:space="0" w:color="auto"/>
            </w:tcBorders>
            <w:shd w:val="clear" w:color="auto" w:fill="auto"/>
            <w:vAlign w:val="bottom"/>
            <w:hideMark/>
          </w:tcPr>
          <w:p w:rsidR="00A23CC5" w:rsidRPr="00A23CC5" w:rsidRDefault="00A23CC5" w:rsidP="00271526">
            <w:pPr>
              <w:spacing w:after="0" w:line="240" w:lineRule="auto"/>
              <w:jc w:val="center"/>
              <w:rPr>
                <w:rFonts w:ascii="Adobe Caslon Pro" w:eastAsia="Times New Roman" w:hAnsi="Adobe Caslon Pro"/>
                <w:color w:val="000000"/>
                <w:sz w:val="20"/>
                <w:szCs w:val="20"/>
                <w:lang w:eastAsia="es-MX"/>
              </w:rPr>
            </w:pPr>
            <w:r w:rsidRPr="00A23CC5">
              <w:rPr>
                <w:rFonts w:ascii="Adobe Caslon Pro" w:eastAsia="Times New Roman" w:hAnsi="Adobe Caslon Pro"/>
                <w:color w:val="000000"/>
                <w:sz w:val="20"/>
                <w:szCs w:val="20"/>
                <w:lang w:eastAsia="es-MX"/>
              </w:rPr>
              <w:t>6,100</w:t>
            </w:r>
          </w:p>
        </w:tc>
        <w:tc>
          <w:tcPr>
            <w:tcW w:w="1900" w:type="dxa"/>
            <w:tcBorders>
              <w:top w:val="nil"/>
              <w:left w:val="nil"/>
              <w:bottom w:val="single" w:sz="4" w:space="0" w:color="auto"/>
              <w:right w:val="single" w:sz="4" w:space="0" w:color="auto"/>
            </w:tcBorders>
            <w:shd w:val="clear" w:color="auto" w:fill="auto"/>
            <w:vAlign w:val="center"/>
            <w:hideMark/>
          </w:tcPr>
          <w:p w:rsidR="00A23CC5" w:rsidRPr="000D62D1" w:rsidRDefault="00A23CC5" w:rsidP="00271526">
            <w:pPr>
              <w:spacing w:after="0" w:line="240" w:lineRule="auto"/>
              <w:jc w:val="center"/>
              <w:rPr>
                <w:rFonts w:ascii="Adobe Caslon Pro" w:eastAsia="Times New Roman" w:hAnsi="Adobe Caslon Pro"/>
                <w:color w:val="000000"/>
                <w:sz w:val="20"/>
                <w:szCs w:val="20"/>
                <w:lang w:eastAsia="es-MX"/>
              </w:rPr>
            </w:pPr>
            <w:r w:rsidRPr="000D62D1">
              <w:rPr>
                <w:rFonts w:ascii="Adobe Caslon Pro" w:eastAsia="Times New Roman" w:hAnsi="Adobe Caslon Pro"/>
                <w:color w:val="000000"/>
                <w:sz w:val="20"/>
                <w:szCs w:val="20"/>
                <w:lang w:eastAsia="es-MX"/>
              </w:rPr>
              <w:t>1,998</w:t>
            </w:r>
          </w:p>
        </w:tc>
        <w:tc>
          <w:tcPr>
            <w:tcW w:w="3120" w:type="dxa"/>
            <w:tcBorders>
              <w:top w:val="nil"/>
              <w:left w:val="nil"/>
              <w:bottom w:val="single" w:sz="4" w:space="0" w:color="auto"/>
              <w:right w:val="single" w:sz="4" w:space="0" w:color="auto"/>
            </w:tcBorders>
            <w:shd w:val="clear" w:color="auto" w:fill="auto"/>
            <w:vAlign w:val="center"/>
            <w:hideMark/>
          </w:tcPr>
          <w:p w:rsidR="00A23CC5" w:rsidRPr="000D62D1" w:rsidRDefault="00A23CC5" w:rsidP="00271526">
            <w:pPr>
              <w:spacing w:after="0" w:line="240" w:lineRule="auto"/>
              <w:jc w:val="center"/>
              <w:rPr>
                <w:rFonts w:ascii="Adobe Caslon Pro" w:eastAsia="Times New Roman" w:hAnsi="Adobe Caslon Pro"/>
                <w:color w:val="000000"/>
                <w:sz w:val="20"/>
                <w:szCs w:val="20"/>
                <w:lang w:eastAsia="es-MX"/>
              </w:rPr>
            </w:pPr>
            <w:r w:rsidRPr="000D62D1">
              <w:rPr>
                <w:rFonts w:ascii="Adobe Caslon Pro" w:eastAsia="Times New Roman" w:hAnsi="Adobe Caslon Pro"/>
                <w:color w:val="000000"/>
                <w:sz w:val="20"/>
                <w:szCs w:val="20"/>
                <w:lang w:eastAsia="es-MX"/>
              </w:rPr>
              <w:t>509,106,038</w:t>
            </w:r>
          </w:p>
        </w:tc>
      </w:tr>
      <w:tr w:rsidR="00A23CC5" w:rsidRPr="000D62D1" w:rsidTr="00D71916">
        <w:trPr>
          <w:trHeight w:val="345"/>
          <w:jc w:val="center"/>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A23CC5" w:rsidRPr="000D62D1" w:rsidRDefault="00A23CC5" w:rsidP="00D71916">
            <w:pPr>
              <w:spacing w:after="0" w:line="240" w:lineRule="auto"/>
              <w:jc w:val="both"/>
              <w:rPr>
                <w:rFonts w:ascii="Adobe Caslon Pro" w:eastAsia="Times New Roman" w:hAnsi="Adobe Caslon Pro"/>
                <w:color w:val="000000"/>
                <w:sz w:val="20"/>
                <w:szCs w:val="20"/>
                <w:lang w:eastAsia="es-MX"/>
              </w:rPr>
            </w:pPr>
            <w:r w:rsidRPr="000D62D1">
              <w:rPr>
                <w:rFonts w:ascii="Adobe Caslon Pro" w:eastAsia="Times New Roman" w:hAnsi="Adobe Caslon Pro"/>
                <w:color w:val="000000"/>
                <w:sz w:val="20"/>
                <w:szCs w:val="20"/>
                <w:lang w:eastAsia="es-MX"/>
              </w:rPr>
              <w:t>2018</w:t>
            </w:r>
          </w:p>
        </w:tc>
        <w:tc>
          <w:tcPr>
            <w:tcW w:w="2360" w:type="dxa"/>
            <w:tcBorders>
              <w:top w:val="nil"/>
              <w:left w:val="nil"/>
              <w:bottom w:val="single" w:sz="4" w:space="0" w:color="auto"/>
              <w:right w:val="single" w:sz="4" w:space="0" w:color="auto"/>
            </w:tcBorders>
            <w:shd w:val="clear" w:color="auto" w:fill="auto"/>
            <w:vAlign w:val="bottom"/>
            <w:hideMark/>
          </w:tcPr>
          <w:p w:rsidR="00A23CC5" w:rsidRPr="00A23CC5" w:rsidRDefault="00A23CC5" w:rsidP="00271526">
            <w:pPr>
              <w:spacing w:after="0" w:line="240" w:lineRule="auto"/>
              <w:jc w:val="center"/>
              <w:rPr>
                <w:rFonts w:ascii="Adobe Caslon Pro" w:eastAsia="Times New Roman" w:hAnsi="Adobe Caslon Pro"/>
                <w:color w:val="000000"/>
                <w:sz w:val="20"/>
                <w:szCs w:val="20"/>
                <w:lang w:eastAsia="es-MX"/>
              </w:rPr>
            </w:pPr>
            <w:r w:rsidRPr="00A23CC5">
              <w:rPr>
                <w:rFonts w:ascii="Adobe Caslon Pro" w:eastAsia="Times New Roman" w:hAnsi="Adobe Caslon Pro"/>
                <w:color w:val="000000"/>
                <w:sz w:val="20"/>
                <w:szCs w:val="20"/>
                <w:lang w:eastAsia="es-MX"/>
              </w:rPr>
              <w:t>6,395</w:t>
            </w:r>
          </w:p>
        </w:tc>
        <w:tc>
          <w:tcPr>
            <w:tcW w:w="1900" w:type="dxa"/>
            <w:tcBorders>
              <w:top w:val="nil"/>
              <w:left w:val="nil"/>
              <w:bottom w:val="single" w:sz="4" w:space="0" w:color="auto"/>
              <w:right w:val="single" w:sz="4" w:space="0" w:color="auto"/>
            </w:tcBorders>
            <w:shd w:val="clear" w:color="auto" w:fill="auto"/>
            <w:vAlign w:val="center"/>
            <w:hideMark/>
          </w:tcPr>
          <w:p w:rsidR="00A23CC5" w:rsidRPr="000D62D1" w:rsidRDefault="00A23CC5" w:rsidP="00271526">
            <w:pPr>
              <w:spacing w:after="0" w:line="240" w:lineRule="auto"/>
              <w:jc w:val="center"/>
              <w:rPr>
                <w:rFonts w:ascii="Adobe Caslon Pro" w:eastAsia="Times New Roman" w:hAnsi="Adobe Caslon Pro"/>
                <w:color w:val="000000"/>
                <w:sz w:val="20"/>
                <w:szCs w:val="20"/>
                <w:lang w:eastAsia="es-MX"/>
              </w:rPr>
            </w:pPr>
            <w:r w:rsidRPr="000D62D1">
              <w:rPr>
                <w:rFonts w:ascii="Adobe Caslon Pro" w:eastAsia="Times New Roman" w:hAnsi="Adobe Caslon Pro"/>
                <w:color w:val="000000"/>
                <w:sz w:val="20"/>
                <w:szCs w:val="20"/>
                <w:lang w:eastAsia="es-MX"/>
              </w:rPr>
              <w:t>2,377</w:t>
            </w:r>
          </w:p>
        </w:tc>
        <w:tc>
          <w:tcPr>
            <w:tcW w:w="3120" w:type="dxa"/>
            <w:tcBorders>
              <w:top w:val="nil"/>
              <w:left w:val="nil"/>
              <w:bottom w:val="single" w:sz="4" w:space="0" w:color="auto"/>
              <w:right w:val="single" w:sz="4" w:space="0" w:color="auto"/>
            </w:tcBorders>
            <w:shd w:val="clear" w:color="auto" w:fill="auto"/>
            <w:vAlign w:val="center"/>
            <w:hideMark/>
          </w:tcPr>
          <w:p w:rsidR="00A23CC5" w:rsidRPr="000D62D1" w:rsidRDefault="00A23CC5" w:rsidP="00271526">
            <w:pPr>
              <w:spacing w:after="0" w:line="240" w:lineRule="auto"/>
              <w:jc w:val="center"/>
              <w:rPr>
                <w:rFonts w:ascii="Adobe Caslon Pro" w:eastAsia="Times New Roman" w:hAnsi="Adobe Caslon Pro"/>
                <w:color w:val="000000"/>
                <w:sz w:val="20"/>
                <w:szCs w:val="20"/>
                <w:lang w:eastAsia="es-MX"/>
              </w:rPr>
            </w:pPr>
            <w:r w:rsidRPr="000D62D1">
              <w:rPr>
                <w:rFonts w:ascii="Adobe Caslon Pro" w:eastAsia="Times New Roman" w:hAnsi="Adobe Caslon Pro"/>
                <w:color w:val="000000"/>
                <w:sz w:val="20"/>
                <w:szCs w:val="20"/>
                <w:lang w:eastAsia="es-MX"/>
              </w:rPr>
              <w:t>605,616,732</w:t>
            </w:r>
          </w:p>
        </w:tc>
      </w:tr>
    </w:tbl>
    <w:p w:rsidR="00B33946" w:rsidRPr="00B33946" w:rsidRDefault="008F5529" w:rsidP="00B33946">
      <w:pPr>
        <w:spacing w:before="240"/>
        <w:jc w:val="both"/>
        <w:rPr>
          <w:rFonts w:ascii="Adobe Caslon Pro" w:hAnsi="Adobe Caslon Pro" w:cs="Arial"/>
          <w:sz w:val="18"/>
        </w:rPr>
      </w:pPr>
      <w:bookmarkStart w:id="184" w:name="_Toc380855739"/>
      <w:bookmarkStart w:id="185" w:name="_Toc263896859"/>
      <w:r w:rsidRPr="000907D3">
        <w:rPr>
          <w:rFonts w:ascii="Adobe Caslon Pro" w:hAnsi="Adobe Caslon Pro" w:cs="Arial"/>
          <w:sz w:val="18"/>
        </w:rPr>
        <w:t xml:space="preserve">Fuente. Elaboración propia con datos del </w:t>
      </w:r>
      <w:r w:rsidR="002F714E">
        <w:rPr>
          <w:rFonts w:ascii="Adobe Caslon Pro" w:hAnsi="Adobe Caslon Pro" w:cs="Arial"/>
          <w:sz w:val="18"/>
        </w:rPr>
        <w:t>INDESOL</w:t>
      </w:r>
    </w:p>
    <w:p w:rsidR="00CF536D" w:rsidRPr="000907D3" w:rsidRDefault="009A7A25" w:rsidP="00026506">
      <w:pPr>
        <w:pStyle w:val="Ttulo3"/>
        <w:spacing w:before="240" w:after="240"/>
        <w:jc w:val="both"/>
        <w:rPr>
          <w:rFonts w:cs="Arial"/>
        </w:rPr>
      </w:pPr>
      <w:bookmarkStart w:id="186" w:name="_Toc391925239"/>
      <w:r>
        <w:rPr>
          <w:rFonts w:cs="Arial"/>
        </w:rPr>
        <w:t xml:space="preserve">3.3.9 </w:t>
      </w:r>
      <w:r w:rsidR="00CF536D" w:rsidRPr="000907D3">
        <w:rPr>
          <w:rFonts w:cs="Arial"/>
        </w:rPr>
        <w:t>Tipos de apoyo, montos y justificación con base en el objetivo del programa</w:t>
      </w:r>
      <w:bookmarkEnd w:id="184"/>
      <w:bookmarkEnd w:id="185"/>
      <w:bookmarkEnd w:id="186"/>
    </w:p>
    <w:p w:rsidR="00261495" w:rsidRDefault="00CF536D" w:rsidP="00026506">
      <w:pPr>
        <w:pStyle w:val="Normal3"/>
        <w:spacing w:before="240"/>
        <w:rPr>
          <w:rFonts w:ascii="Adobe Caslon Pro" w:hAnsi="Adobe Caslon Pro"/>
          <w:sz w:val="22"/>
          <w:szCs w:val="22"/>
        </w:rPr>
      </w:pPr>
      <w:r w:rsidRPr="000907D3">
        <w:rPr>
          <w:rFonts w:ascii="Adobe Caslon Pro" w:hAnsi="Adobe Caslon Pro"/>
          <w:sz w:val="22"/>
          <w:szCs w:val="22"/>
        </w:rPr>
        <w:t xml:space="preserve">Los tipos de apoyo que otorga el PCS son recursos públicos concursables para el desarrollo de proyectos presentados por los </w:t>
      </w:r>
      <w:r w:rsidR="0025571B">
        <w:rPr>
          <w:rFonts w:ascii="Adobe Caslon Pro" w:hAnsi="Adobe Caslon Pro"/>
          <w:sz w:val="22"/>
          <w:szCs w:val="22"/>
        </w:rPr>
        <w:t>actores sociales</w:t>
      </w:r>
      <w:r w:rsidRPr="000907D3">
        <w:rPr>
          <w:rFonts w:ascii="Adobe Caslon Pro" w:hAnsi="Adobe Caslon Pro"/>
          <w:sz w:val="22"/>
          <w:szCs w:val="22"/>
        </w:rPr>
        <w:t>. El monto máximo de recursos que podrá otorgarse por proyecto, se establecerá en cada convocatoria, en función de las características y objetivos de la misma. En ningún caso podrá otorgarse a un proyecto, más de un millón de pesos. En todos los casos, las OSC deberán aportar al menos el 20% del costo total del proyecto</w:t>
      </w:r>
      <w:r w:rsidR="00261495" w:rsidRPr="000907D3">
        <w:rPr>
          <w:rFonts w:ascii="Adobe Caslon Pro" w:hAnsi="Adobe Caslon Pro"/>
          <w:sz w:val="22"/>
          <w:szCs w:val="22"/>
        </w:rPr>
        <w:t>, pudiendo</w:t>
      </w:r>
      <w:r w:rsidRPr="000907D3">
        <w:rPr>
          <w:rFonts w:ascii="Adobe Caslon Pro" w:hAnsi="Adobe Caslon Pro"/>
          <w:sz w:val="22"/>
          <w:szCs w:val="22"/>
        </w:rPr>
        <w:t xml:space="preserve"> ser en especie. Las OSC podrán presentar hasta dos proyectos diferentes en cada ejercicio fiscal</w:t>
      </w:r>
      <w:r w:rsidR="005A173B" w:rsidRPr="000907D3">
        <w:rPr>
          <w:rFonts w:ascii="Adobe Caslon Pro" w:hAnsi="Adobe Caslon Pro"/>
          <w:sz w:val="22"/>
          <w:szCs w:val="22"/>
        </w:rPr>
        <w:t xml:space="preserve">; un primer proyecto para alguna de las convocatorias emitidas en exclusividad por el </w:t>
      </w:r>
      <w:r w:rsidR="002F714E">
        <w:rPr>
          <w:rFonts w:ascii="Adobe Caslon Pro" w:hAnsi="Adobe Caslon Pro"/>
          <w:sz w:val="22"/>
          <w:szCs w:val="22"/>
        </w:rPr>
        <w:t>INDESOL</w:t>
      </w:r>
      <w:r w:rsidR="005A173B" w:rsidRPr="000907D3">
        <w:rPr>
          <w:rFonts w:ascii="Adobe Caslon Pro" w:hAnsi="Adobe Caslon Pro"/>
          <w:sz w:val="22"/>
          <w:szCs w:val="22"/>
        </w:rPr>
        <w:t xml:space="preserve"> y un segundo proyecto para alguna</w:t>
      </w:r>
      <w:r w:rsidR="00CD78FB" w:rsidRPr="000907D3">
        <w:rPr>
          <w:rFonts w:ascii="Adobe Caslon Pro" w:hAnsi="Adobe Caslon Pro"/>
          <w:sz w:val="22"/>
          <w:szCs w:val="22"/>
        </w:rPr>
        <w:t xml:space="preserve"> de las convocatorias que el </w:t>
      </w:r>
      <w:r w:rsidR="002F714E">
        <w:rPr>
          <w:rFonts w:ascii="Adobe Caslon Pro" w:hAnsi="Adobe Caslon Pro"/>
          <w:sz w:val="22"/>
          <w:szCs w:val="22"/>
        </w:rPr>
        <w:t>INDESOL</w:t>
      </w:r>
      <w:r w:rsidR="00CD78FB" w:rsidRPr="000907D3">
        <w:rPr>
          <w:rFonts w:ascii="Adobe Caslon Pro" w:hAnsi="Adobe Caslon Pro"/>
          <w:sz w:val="22"/>
          <w:szCs w:val="22"/>
        </w:rPr>
        <w:t xml:space="preserve"> emita en coinversión con otra instancia</w:t>
      </w:r>
      <w:r w:rsidRPr="000907D3">
        <w:rPr>
          <w:rFonts w:ascii="Adobe Caslon Pro" w:hAnsi="Adobe Caslon Pro"/>
          <w:sz w:val="22"/>
          <w:szCs w:val="22"/>
        </w:rPr>
        <w:t xml:space="preserve">. </w:t>
      </w:r>
    </w:p>
    <w:p w:rsidR="00CF536D" w:rsidRDefault="00CF536D" w:rsidP="00026506">
      <w:pPr>
        <w:pStyle w:val="Normal3"/>
        <w:spacing w:before="240"/>
        <w:rPr>
          <w:rFonts w:ascii="Adobe Caslon Pro" w:hAnsi="Adobe Caslon Pro"/>
          <w:sz w:val="22"/>
          <w:szCs w:val="22"/>
        </w:rPr>
      </w:pPr>
      <w:r w:rsidRPr="000907D3">
        <w:rPr>
          <w:rFonts w:ascii="Adobe Caslon Pro" w:hAnsi="Adobe Caslon Pro"/>
          <w:sz w:val="22"/>
          <w:szCs w:val="22"/>
        </w:rPr>
        <w:t>El monto promedio de apoyo de los últimos 5 años por OSC es de 254 mil pesos por ejercicio fiscal. Ese m</w:t>
      </w:r>
      <w:r w:rsidR="00292982">
        <w:rPr>
          <w:rFonts w:ascii="Adobe Caslon Pro" w:hAnsi="Adobe Caslon Pro"/>
          <w:sz w:val="22"/>
          <w:szCs w:val="22"/>
        </w:rPr>
        <w:t xml:space="preserve">onto es, a priori, insuficiente </w:t>
      </w:r>
      <w:r w:rsidR="007A4F9A" w:rsidRPr="000907D3">
        <w:rPr>
          <w:rFonts w:ascii="Adobe Caslon Pro" w:hAnsi="Adobe Caslon Pro"/>
          <w:sz w:val="22"/>
          <w:szCs w:val="22"/>
        </w:rPr>
        <w:t>-</w:t>
      </w:r>
      <w:r w:rsidR="00CD35DF" w:rsidRPr="000907D3">
        <w:rPr>
          <w:rFonts w:ascii="Adobe Caslon Pro" w:hAnsi="Adobe Caslon Pro"/>
          <w:sz w:val="22"/>
          <w:szCs w:val="22"/>
        </w:rPr>
        <w:t>como única fuente de financiamiento</w:t>
      </w:r>
      <w:r w:rsidR="007A4F9A" w:rsidRPr="000907D3">
        <w:rPr>
          <w:rFonts w:ascii="Adobe Caslon Pro" w:hAnsi="Adobe Caslon Pro"/>
          <w:sz w:val="22"/>
          <w:szCs w:val="22"/>
        </w:rPr>
        <w:t>-</w:t>
      </w:r>
      <w:r w:rsidR="00292982">
        <w:rPr>
          <w:rFonts w:ascii="Adobe Caslon Pro" w:hAnsi="Adobe Caslon Pro"/>
          <w:sz w:val="22"/>
          <w:szCs w:val="22"/>
        </w:rPr>
        <w:t xml:space="preserve"> </w:t>
      </w:r>
      <w:r w:rsidR="007A4F9A" w:rsidRPr="000907D3">
        <w:rPr>
          <w:rFonts w:ascii="Adobe Caslon Pro" w:hAnsi="Adobe Caslon Pro"/>
          <w:sz w:val="22"/>
          <w:szCs w:val="22"/>
        </w:rPr>
        <w:t xml:space="preserve">para que </w:t>
      </w:r>
      <w:r w:rsidR="00CD35DF" w:rsidRPr="000907D3">
        <w:rPr>
          <w:rFonts w:ascii="Adobe Caslon Pro" w:hAnsi="Adobe Caslon Pro"/>
          <w:sz w:val="22"/>
          <w:szCs w:val="22"/>
        </w:rPr>
        <w:t xml:space="preserve">las OSC </w:t>
      </w:r>
      <w:r w:rsidR="007A4F9A" w:rsidRPr="000907D3">
        <w:rPr>
          <w:rFonts w:ascii="Adobe Caslon Pro" w:hAnsi="Adobe Caslon Pro"/>
          <w:sz w:val="22"/>
          <w:szCs w:val="22"/>
        </w:rPr>
        <w:t xml:space="preserve">puedan solventar los gastos en que incurren </w:t>
      </w:r>
      <w:r w:rsidR="00CD35DF" w:rsidRPr="000907D3">
        <w:rPr>
          <w:rFonts w:ascii="Adobe Caslon Pro" w:hAnsi="Adobe Caslon Pro"/>
          <w:sz w:val="22"/>
          <w:szCs w:val="22"/>
        </w:rPr>
        <w:t>para realizar las acciones sociales que emprenden a lo largo de un año</w:t>
      </w:r>
      <w:r w:rsidR="00CD35DF" w:rsidRPr="000907D3">
        <w:rPr>
          <w:rFonts w:ascii="Calibri" w:hAnsi="Calibri" w:cs="Times New Roman"/>
          <w:b/>
          <w:bCs/>
          <w:color w:val="4F81BD"/>
          <w:sz w:val="22"/>
          <w:szCs w:val="22"/>
        </w:rPr>
        <w:t>.</w:t>
      </w:r>
      <w:r w:rsidRPr="000907D3">
        <w:rPr>
          <w:rFonts w:ascii="Adobe Caslon Pro" w:hAnsi="Adobe Caslon Pro"/>
          <w:sz w:val="22"/>
          <w:szCs w:val="22"/>
        </w:rPr>
        <w:t xml:space="preserve"> Por ello, el mecanismo previsto, es el de cofinanciamiento, en el cual se prevé que los proyectos seleccionados, sean complementados con la procuración de fondos que prov</w:t>
      </w:r>
      <w:r w:rsidR="00E422E3" w:rsidRPr="000907D3">
        <w:rPr>
          <w:rFonts w:ascii="Adobe Caslon Pro" w:hAnsi="Adobe Caslon Pro"/>
          <w:sz w:val="22"/>
          <w:szCs w:val="22"/>
        </w:rPr>
        <w:t>engan</w:t>
      </w:r>
      <w:r w:rsidRPr="000907D3">
        <w:rPr>
          <w:rFonts w:ascii="Adobe Caslon Pro" w:hAnsi="Adobe Caslon Pro"/>
          <w:sz w:val="22"/>
          <w:szCs w:val="22"/>
        </w:rPr>
        <w:t xml:space="preserve"> de donativos, otros </w:t>
      </w:r>
      <w:r w:rsidR="00BE60D4">
        <w:rPr>
          <w:rFonts w:ascii="Adobe Caslon Pro" w:hAnsi="Adobe Caslon Pro"/>
          <w:sz w:val="22"/>
          <w:szCs w:val="22"/>
        </w:rPr>
        <w:t>gobierno</w:t>
      </w:r>
      <w:r w:rsidRPr="000907D3">
        <w:rPr>
          <w:rFonts w:ascii="Adobe Caslon Pro" w:hAnsi="Adobe Caslon Pro"/>
          <w:sz w:val="22"/>
          <w:szCs w:val="22"/>
        </w:rPr>
        <w:t xml:space="preserve">s, ONG </w:t>
      </w:r>
      <w:r w:rsidR="00600CC3" w:rsidRPr="000907D3">
        <w:rPr>
          <w:rFonts w:ascii="Adobe Caslon Pro" w:hAnsi="Adobe Caslon Pro"/>
          <w:sz w:val="22"/>
          <w:szCs w:val="22"/>
        </w:rPr>
        <w:t>i</w:t>
      </w:r>
      <w:r w:rsidRPr="000907D3">
        <w:rPr>
          <w:rFonts w:ascii="Adobe Caslon Pro" w:hAnsi="Adobe Caslon Pro"/>
          <w:sz w:val="22"/>
          <w:szCs w:val="22"/>
        </w:rPr>
        <w:t xml:space="preserve">nternacionales, ingresos propios o trabajo de voluntarios que donan su tiempo y capacidades. </w:t>
      </w:r>
      <w:r w:rsidR="00DA0A0C" w:rsidRPr="000907D3">
        <w:rPr>
          <w:rFonts w:ascii="Adobe Caslon Pro" w:hAnsi="Adobe Caslon Pro"/>
          <w:sz w:val="22"/>
          <w:szCs w:val="22"/>
        </w:rPr>
        <w:t>De hecho, a</w:t>
      </w:r>
      <w:r w:rsidRPr="000907D3">
        <w:rPr>
          <w:rFonts w:ascii="Adobe Caslon Pro" w:hAnsi="Adobe Caslon Pro"/>
          <w:sz w:val="22"/>
          <w:szCs w:val="22"/>
        </w:rPr>
        <w:t xml:space="preserve"> nivel internacional, los “ecosistemas” de OSC que integran los distintos arreglos institucionales, buscan financiamiento permanentemente en dichas fuentes,</w:t>
      </w:r>
      <w:r w:rsidR="005342F3">
        <w:rPr>
          <w:rFonts w:ascii="Adobe Caslon Pro" w:hAnsi="Adobe Caslon Pro"/>
          <w:sz w:val="22"/>
          <w:szCs w:val="22"/>
        </w:rPr>
        <w:t xml:space="preserve"> </w:t>
      </w:r>
      <w:r w:rsidR="008B39BB" w:rsidRPr="000907D3">
        <w:rPr>
          <w:rFonts w:ascii="Adobe Caslon Pro" w:hAnsi="Adobe Caslon Pro"/>
          <w:sz w:val="22"/>
          <w:szCs w:val="22"/>
        </w:rPr>
        <w:t xml:space="preserve">teniendo </w:t>
      </w:r>
      <w:r w:rsidRPr="000907D3">
        <w:rPr>
          <w:rFonts w:ascii="Adobe Caslon Pro" w:hAnsi="Adobe Caslon Pro"/>
          <w:sz w:val="22"/>
          <w:szCs w:val="22"/>
        </w:rPr>
        <w:t xml:space="preserve">incentivos muy claros </w:t>
      </w:r>
      <w:r w:rsidR="008B39BB" w:rsidRPr="000907D3">
        <w:rPr>
          <w:rFonts w:ascii="Adobe Caslon Pro" w:hAnsi="Adobe Caslon Pro"/>
          <w:sz w:val="22"/>
          <w:szCs w:val="22"/>
        </w:rPr>
        <w:t>para</w:t>
      </w:r>
      <w:r w:rsidRPr="000907D3">
        <w:rPr>
          <w:rFonts w:ascii="Adobe Caslon Pro" w:hAnsi="Adobe Caslon Pro"/>
          <w:sz w:val="22"/>
          <w:szCs w:val="22"/>
        </w:rPr>
        <w:t xml:space="preserve"> desarrollar capacidades de procuración de </w:t>
      </w:r>
      <w:r w:rsidR="00655EC3" w:rsidRPr="000907D3">
        <w:rPr>
          <w:rFonts w:ascii="Adobe Caslon Pro" w:hAnsi="Adobe Caslon Pro"/>
          <w:sz w:val="22"/>
          <w:szCs w:val="22"/>
        </w:rPr>
        <w:t>f</w:t>
      </w:r>
      <w:r w:rsidRPr="000907D3">
        <w:rPr>
          <w:rFonts w:ascii="Adobe Caslon Pro" w:hAnsi="Adobe Caslon Pro"/>
          <w:sz w:val="22"/>
          <w:szCs w:val="22"/>
        </w:rPr>
        <w:t>ondos, sin las cuales no pueden sostener su operación.</w:t>
      </w:r>
      <w:r w:rsidR="00EE4DBA" w:rsidRPr="000907D3">
        <w:rPr>
          <w:rFonts w:ascii="Adobe Caslon Pro" w:hAnsi="Adobe Caslon Pro"/>
          <w:sz w:val="22"/>
          <w:szCs w:val="22"/>
        </w:rPr>
        <w:t xml:space="preserve"> Como resultado de lo anterior, </w:t>
      </w:r>
      <w:r w:rsidR="008B39BB" w:rsidRPr="000907D3">
        <w:rPr>
          <w:rFonts w:ascii="Adobe Caslon Pro" w:hAnsi="Adobe Caslon Pro"/>
          <w:sz w:val="22"/>
          <w:szCs w:val="22"/>
        </w:rPr>
        <w:t xml:space="preserve">una de las capacidades básicas de las OSC es justamente la procuración de fondos. </w:t>
      </w:r>
    </w:p>
    <w:p w:rsidR="00CF536D" w:rsidRPr="000907D3" w:rsidRDefault="00CF536D" w:rsidP="00026506">
      <w:pPr>
        <w:pStyle w:val="Normal3"/>
        <w:spacing w:before="240"/>
        <w:rPr>
          <w:rFonts w:ascii="Adobe Caslon Pro" w:hAnsi="Adobe Caslon Pro"/>
          <w:sz w:val="22"/>
          <w:szCs w:val="22"/>
        </w:rPr>
      </w:pPr>
      <w:r w:rsidRPr="000907D3">
        <w:rPr>
          <w:rFonts w:ascii="Adobe Caslon Pro" w:hAnsi="Adobe Caslon Pro"/>
          <w:sz w:val="22"/>
          <w:szCs w:val="22"/>
        </w:rPr>
        <w:lastRenderedPageBreak/>
        <w:t xml:space="preserve">Los recursos públicos entregados a los </w:t>
      </w:r>
      <w:r w:rsidR="0025571B">
        <w:rPr>
          <w:rFonts w:ascii="Adobe Caslon Pro" w:hAnsi="Adobe Caslon Pro"/>
          <w:sz w:val="22"/>
          <w:szCs w:val="22"/>
        </w:rPr>
        <w:t>actores sociales</w:t>
      </w:r>
      <w:r w:rsidRPr="000907D3">
        <w:rPr>
          <w:rFonts w:ascii="Adobe Caslon Pro" w:hAnsi="Adobe Caslon Pro"/>
          <w:sz w:val="22"/>
          <w:szCs w:val="22"/>
        </w:rPr>
        <w:t xml:space="preserve"> se han canalizado a través de las siguientes vertientes:</w:t>
      </w:r>
    </w:p>
    <w:p w:rsidR="00CF536D" w:rsidRPr="000907D3" w:rsidRDefault="00CF536D" w:rsidP="00026506">
      <w:pPr>
        <w:pStyle w:val="Normal3"/>
        <w:numPr>
          <w:ilvl w:val="0"/>
          <w:numId w:val="25"/>
        </w:numPr>
        <w:spacing w:before="240"/>
        <w:rPr>
          <w:rFonts w:ascii="Adobe Caslon Pro" w:hAnsi="Adobe Caslon Pro"/>
          <w:sz w:val="22"/>
          <w:szCs w:val="22"/>
        </w:rPr>
      </w:pPr>
      <w:r w:rsidRPr="000907D3">
        <w:rPr>
          <w:rFonts w:ascii="Adobe Caslon Pro" w:hAnsi="Adobe Caslon Pro"/>
          <w:b/>
          <w:sz w:val="22"/>
          <w:szCs w:val="22"/>
        </w:rPr>
        <w:t>Promoción del Desarrollo Humano y Social</w:t>
      </w:r>
      <w:r w:rsidRPr="000907D3">
        <w:rPr>
          <w:rFonts w:ascii="Adobe Caslon Pro" w:hAnsi="Adobe Caslon Pro"/>
          <w:sz w:val="22"/>
          <w:szCs w:val="22"/>
        </w:rPr>
        <w:t>: Proyectos que contribuyan al logro de acciones que mejoren las condiciones de vida de la población en situación de pobreza, exclusión, vulnerabilidad, marginación o discriminación y fomenten el desarrollo comunitario y el capital social.</w:t>
      </w:r>
    </w:p>
    <w:p w:rsidR="00CF536D" w:rsidRPr="000907D3" w:rsidRDefault="00CF536D" w:rsidP="00026506">
      <w:pPr>
        <w:pStyle w:val="Normal3"/>
        <w:numPr>
          <w:ilvl w:val="0"/>
          <w:numId w:val="25"/>
        </w:numPr>
        <w:spacing w:before="240"/>
        <w:rPr>
          <w:rFonts w:ascii="Adobe Caslon Pro" w:hAnsi="Adobe Caslon Pro"/>
          <w:sz w:val="22"/>
          <w:szCs w:val="22"/>
        </w:rPr>
      </w:pPr>
      <w:r w:rsidRPr="000907D3">
        <w:rPr>
          <w:rFonts w:ascii="Adobe Caslon Pro" w:hAnsi="Adobe Caslon Pro"/>
          <w:b/>
          <w:sz w:val="22"/>
          <w:szCs w:val="22"/>
        </w:rPr>
        <w:t>Fortalecimiento y Profesionalización</w:t>
      </w:r>
      <w:r w:rsidRPr="000907D3">
        <w:rPr>
          <w:rFonts w:ascii="Adobe Caslon Pro" w:hAnsi="Adobe Caslon Pro"/>
          <w:sz w:val="22"/>
          <w:szCs w:val="22"/>
        </w:rPr>
        <w:t xml:space="preserve">: Proyectos dirigidos al mejoramiento de las capacidades, conocimientos, habilidades y metodologías de organización y gestión de los </w:t>
      </w:r>
      <w:r w:rsidR="0025571B">
        <w:rPr>
          <w:rFonts w:ascii="Adobe Caslon Pro" w:hAnsi="Adobe Caslon Pro"/>
          <w:sz w:val="22"/>
          <w:szCs w:val="22"/>
        </w:rPr>
        <w:t>actores sociales</w:t>
      </w:r>
      <w:r w:rsidRPr="000907D3">
        <w:rPr>
          <w:rFonts w:ascii="Adobe Caslon Pro" w:hAnsi="Adobe Caslon Pro"/>
          <w:sz w:val="22"/>
          <w:szCs w:val="22"/>
        </w:rPr>
        <w:t xml:space="preserve">, así como el equipamiento y mejoramiento de infraestructura. Incluye la promoción de la participación ciudadana en las políticas públicas, los procesos de articulación con los tres órdenes de </w:t>
      </w:r>
      <w:r w:rsidR="00BE60D4">
        <w:rPr>
          <w:rFonts w:ascii="Adobe Caslon Pro" w:hAnsi="Adobe Caslon Pro"/>
          <w:sz w:val="22"/>
          <w:szCs w:val="22"/>
        </w:rPr>
        <w:t>gobierno</w:t>
      </w:r>
      <w:r w:rsidRPr="000907D3">
        <w:rPr>
          <w:rFonts w:ascii="Adobe Caslon Pro" w:hAnsi="Adobe Caslon Pro"/>
          <w:sz w:val="22"/>
          <w:szCs w:val="22"/>
        </w:rPr>
        <w:t xml:space="preserve"> y la generación de sinergias para un mayor impacto social.</w:t>
      </w:r>
    </w:p>
    <w:p w:rsidR="00CF536D" w:rsidRPr="000907D3" w:rsidRDefault="00CF536D" w:rsidP="00A418A0">
      <w:pPr>
        <w:pStyle w:val="Normal3"/>
        <w:numPr>
          <w:ilvl w:val="0"/>
          <w:numId w:val="25"/>
        </w:numPr>
        <w:spacing w:after="120"/>
        <w:rPr>
          <w:rFonts w:ascii="Adobe Caslon Pro" w:hAnsi="Adobe Caslon Pro"/>
          <w:sz w:val="22"/>
          <w:szCs w:val="22"/>
        </w:rPr>
      </w:pPr>
      <w:r w:rsidRPr="000907D3">
        <w:rPr>
          <w:rFonts w:ascii="Adobe Caslon Pro" w:hAnsi="Adobe Caslon Pro"/>
          <w:b/>
          <w:sz w:val="22"/>
          <w:szCs w:val="22"/>
        </w:rPr>
        <w:t>Investigación</w:t>
      </w:r>
      <w:r w:rsidRPr="000907D3">
        <w:rPr>
          <w:rFonts w:ascii="Adobe Caslon Pro" w:hAnsi="Adobe Caslon Pro"/>
          <w:sz w:val="22"/>
          <w:szCs w:val="22"/>
        </w:rPr>
        <w:t>: Proyectos que generen, propicien y difundan conocimiento, metodologías, instrumentos, diagnósticos, evaluaciones, propuestas y recomendaciones, entre otros.</w:t>
      </w:r>
    </w:p>
    <w:p w:rsidR="00A418A0" w:rsidRDefault="00A418A0" w:rsidP="00A418A0">
      <w:pPr>
        <w:pStyle w:val="Texto"/>
        <w:spacing w:after="120" w:line="276" w:lineRule="auto"/>
        <w:jc w:val="both"/>
        <w:rPr>
          <w:rFonts w:ascii="Adobe Caslon Pro" w:hAnsi="Adobe Caslon Pro"/>
          <w:b/>
          <w:sz w:val="22"/>
        </w:rPr>
      </w:pPr>
      <w:bookmarkStart w:id="187" w:name="_Toc380855740"/>
      <w:bookmarkStart w:id="188" w:name="_Toc263896860"/>
    </w:p>
    <w:p w:rsidR="00CF536D" w:rsidRPr="00A037D2" w:rsidRDefault="00CF536D" w:rsidP="00A418A0">
      <w:pPr>
        <w:pStyle w:val="Texto"/>
        <w:spacing w:after="120" w:line="276" w:lineRule="auto"/>
        <w:jc w:val="both"/>
        <w:rPr>
          <w:rFonts w:ascii="Adobe Caslon Pro" w:hAnsi="Adobe Caslon Pro"/>
          <w:b/>
          <w:sz w:val="22"/>
        </w:rPr>
      </w:pPr>
      <w:r w:rsidRPr="00A037D2">
        <w:rPr>
          <w:rFonts w:ascii="Adobe Caslon Pro" w:hAnsi="Adobe Caslon Pro"/>
          <w:b/>
          <w:sz w:val="22"/>
        </w:rPr>
        <w:t>Duplicidades, complementariedades o sinergias</w:t>
      </w:r>
      <w:bookmarkEnd w:id="187"/>
      <w:bookmarkEnd w:id="188"/>
    </w:p>
    <w:p w:rsidR="00CF536D" w:rsidRDefault="00CF536D" w:rsidP="00026506">
      <w:pPr>
        <w:pStyle w:val="Normal3"/>
        <w:spacing w:before="240"/>
        <w:rPr>
          <w:rFonts w:ascii="Adobe Caslon Pro" w:hAnsi="Adobe Caslon Pro"/>
          <w:sz w:val="22"/>
          <w:szCs w:val="22"/>
        </w:rPr>
      </w:pPr>
      <w:r w:rsidRPr="000907D3">
        <w:rPr>
          <w:rFonts w:ascii="Adobe Caslon Pro" w:hAnsi="Adobe Caslon Pro"/>
          <w:sz w:val="22"/>
          <w:szCs w:val="22"/>
        </w:rPr>
        <w:t xml:space="preserve">No se identifica ningún otro programa federal o local que ofrezca fondos concursables para OSC para los mismos fines de las convocatorias </w:t>
      </w:r>
      <w:r w:rsidR="004F0898" w:rsidRPr="000907D3">
        <w:rPr>
          <w:rFonts w:ascii="Adobe Caslon Pro" w:hAnsi="Adobe Caslon Pro"/>
          <w:sz w:val="22"/>
          <w:szCs w:val="22"/>
        </w:rPr>
        <w:t xml:space="preserve">emitidas por el </w:t>
      </w:r>
      <w:r w:rsidR="002F714E">
        <w:rPr>
          <w:rFonts w:ascii="Adobe Caslon Pro" w:hAnsi="Adobe Caslon Pro"/>
          <w:sz w:val="22"/>
          <w:szCs w:val="22"/>
        </w:rPr>
        <w:t>INDESOL</w:t>
      </w:r>
      <w:r w:rsidR="004F0898" w:rsidRPr="000907D3">
        <w:rPr>
          <w:rFonts w:ascii="Adobe Caslon Pro" w:hAnsi="Adobe Caslon Pro"/>
          <w:sz w:val="22"/>
          <w:szCs w:val="22"/>
        </w:rPr>
        <w:t xml:space="preserve">, </w:t>
      </w:r>
      <w:r w:rsidRPr="000907D3">
        <w:rPr>
          <w:rFonts w:ascii="Adobe Caslon Pro" w:hAnsi="Adobe Caslon Pro"/>
          <w:sz w:val="22"/>
          <w:szCs w:val="22"/>
        </w:rPr>
        <w:t>y sobre todo</w:t>
      </w:r>
      <w:r w:rsidR="004F0898" w:rsidRPr="000907D3">
        <w:rPr>
          <w:rFonts w:ascii="Adobe Caslon Pro" w:hAnsi="Adobe Caslon Pro"/>
          <w:sz w:val="22"/>
          <w:szCs w:val="22"/>
        </w:rPr>
        <w:t>,</w:t>
      </w:r>
      <w:r w:rsidRPr="000907D3">
        <w:rPr>
          <w:rFonts w:ascii="Adobe Caslon Pro" w:hAnsi="Adobe Caslon Pro"/>
          <w:sz w:val="22"/>
          <w:szCs w:val="22"/>
        </w:rPr>
        <w:t xml:space="preserve"> con el mismo mecanismo de selección de proyectos. Por el contrario, la propia naturaleza del principal componente del </w:t>
      </w:r>
      <w:r w:rsidR="00BB684C" w:rsidRPr="000907D3">
        <w:rPr>
          <w:rFonts w:ascii="Adobe Caslon Pro" w:hAnsi="Adobe Caslon Pro"/>
          <w:sz w:val="22"/>
          <w:szCs w:val="22"/>
        </w:rPr>
        <w:t>p</w:t>
      </w:r>
      <w:r w:rsidR="006B798E">
        <w:rPr>
          <w:rFonts w:ascii="Adobe Caslon Pro" w:hAnsi="Adobe Caslon Pro"/>
          <w:sz w:val="22"/>
          <w:szCs w:val="22"/>
        </w:rPr>
        <w:t>rograma -</w:t>
      </w:r>
      <w:r w:rsidR="004C7165" w:rsidRPr="000907D3">
        <w:rPr>
          <w:rFonts w:ascii="Adobe Caslon Pro" w:hAnsi="Adobe Caslon Pro"/>
          <w:sz w:val="22"/>
          <w:szCs w:val="22"/>
        </w:rPr>
        <w:t>r</w:t>
      </w:r>
      <w:r w:rsidRPr="000907D3">
        <w:rPr>
          <w:rFonts w:ascii="Adobe Caslon Pro" w:hAnsi="Adobe Caslon Pro"/>
          <w:sz w:val="22"/>
          <w:szCs w:val="22"/>
        </w:rPr>
        <w:t xml:space="preserve">ecursos para </w:t>
      </w:r>
      <w:r w:rsidR="004C7165" w:rsidRPr="000907D3">
        <w:rPr>
          <w:rFonts w:ascii="Adobe Caslon Pro" w:hAnsi="Adobe Caslon Pro"/>
          <w:sz w:val="22"/>
          <w:szCs w:val="22"/>
        </w:rPr>
        <w:t>c</w:t>
      </w:r>
      <w:r w:rsidRPr="000907D3">
        <w:rPr>
          <w:rFonts w:ascii="Adobe Caslon Pro" w:hAnsi="Adobe Caslon Pro"/>
          <w:sz w:val="22"/>
          <w:szCs w:val="22"/>
        </w:rPr>
        <w:t>oinversión- da la pauta para complementarlo con fondos estatales y locales, privados y con recursos propios en modalidades de coinversión</w:t>
      </w:r>
      <w:r w:rsidR="004C7165" w:rsidRPr="000907D3">
        <w:rPr>
          <w:rFonts w:ascii="Adobe Caslon Pro" w:hAnsi="Adobe Caslon Pro"/>
          <w:sz w:val="22"/>
          <w:szCs w:val="22"/>
        </w:rPr>
        <w:t>,</w:t>
      </w:r>
      <w:r w:rsidRPr="000907D3">
        <w:rPr>
          <w:rFonts w:ascii="Adobe Caslon Pro" w:hAnsi="Adobe Caslon Pro"/>
          <w:sz w:val="22"/>
          <w:szCs w:val="22"/>
        </w:rPr>
        <w:t xml:space="preserve"> para apoyar a OSC en temas de importancia regional y coadyuvar al mejor desempeño de las políticas públicas estatales y lo</w:t>
      </w:r>
      <w:r w:rsidR="008E12A3">
        <w:rPr>
          <w:rFonts w:ascii="Adobe Caslon Pro" w:hAnsi="Adobe Caslon Pro"/>
          <w:sz w:val="22"/>
          <w:szCs w:val="22"/>
        </w:rPr>
        <w:t>cales con la integración de la sociedad c</w:t>
      </w:r>
      <w:r w:rsidRPr="000907D3">
        <w:rPr>
          <w:rFonts w:ascii="Adobe Caslon Pro" w:hAnsi="Adobe Caslon Pro"/>
          <w:sz w:val="22"/>
          <w:szCs w:val="22"/>
        </w:rPr>
        <w:t xml:space="preserve">ivil organizada. </w:t>
      </w:r>
    </w:p>
    <w:p w:rsidR="00173045" w:rsidRDefault="0076324F" w:rsidP="00026506">
      <w:pPr>
        <w:pStyle w:val="Normal3"/>
        <w:spacing w:before="240"/>
        <w:rPr>
          <w:rFonts w:ascii="Adobe Caslon Pro" w:hAnsi="Adobe Caslon Pro"/>
          <w:sz w:val="22"/>
          <w:szCs w:val="22"/>
        </w:rPr>
      </w:pPr>
      <w:r w:rsidRPr="000907D3">
        <w:rPr>
          <w:rFonts w:ascii="Adobe Caslon Pro" w:hAnsi="Adobe Caslon Pro"/>
          <w:sz w:val="22"/>
          <w:szCs w:val="22"/>
        </w:rPr>
        <w:t xml:space="preserve">En cambio, sí se identifica que los apoyos del PCS tienen un alto potencial para crear sinergias operativas con varios programas de desarrollo social de </w:t>
      </w:r>
      <w:r w:rsidR="00872FD9" w:rsidRPr="000907D3">
        <w:rPr>
          <w:rFonts w:ascii="Adobe Caslon Pro" w:hAnsi="Adobe Caslon Pro"/>
          <w:sz w:val="22"/>
          <w:szCs w:val="22"/>
        </w:rPr>
        <w:t xml:space="preserve">la </w:t>
      </w:r>
      <w:r w:rsidR="002F714E">
        <w:rPr>
          <w:rFonts w:ascii="Adobe Caslon Pro" w:hAnsi="Adobe Caslon Pro"/>
          <w:sz w:val="22"/>
          <w:szCs w:val="22"/>
        </w:rPr>
        <w:t>SEDESOL</w:t>
      </w:r>
      <w:r w:rsidRPr="000907D3">
        <w:rPr>
          <w:rFonts w:ascii="Adobe Caslon Pro" w:hAnsi="Adobe Caslon Pro"/>
          <w:sz w:val="22"/>
          <w:szCs w:val="22"/>
        </w:rPr>
        <w:t xml:space="preserve">. Notoriamente con los </w:t>
      </w:r>
      <w:r w:rsidR="00872FD9" w:rsidRPr="000907D3">
        <w:rPr>
          <w:rFonts w:ascii="Adobe Caslon Pro" w:hAnsi="Adobe Caslon Pro"/>
          <w:sz w:val="22"/>
          <w:szCs w:val="22"/>
        </w:rPr>
        <w:t>P</w:t>
      </w:r>
      <w:r w:rsidRPr="000907D3">
        <w:rPr>
          <w:rFonts w:ascii="Adobe Caslon Pro" w:hAnsi="Adobe Caslon Pro"/>
          <w:sz w:val="22"/>
          <w:szCs w:val="22"/>
        </w:rPr>
        <w:t xml:space="preserve">rogramas de </w:t>
      </w:r>
      <w:r w:rsidR="00872FD9" w:rsidRPr="000907D3">
        <w:rPr>
          <w:rFonts w:ascii="Adobe Caslon Pro" w:hAnsi="Adobe Caslon Pro"/>
          <w:sz w:val="22"/>
          <w:szCs w:val="22"/>
        </w:rPr>
        <w:t xml:space="preserve">Pensión para Adultos Mayores, Desarrollo Humano </w:t>
      </w:r>
      <w:r w:rsidRPr="000907D3">
        <w:rPr>
          <w:rFonts w:ascii="Adobe Caslon Pro" w:hAnsi="Adobe Caslon Pro"/>
          <w:sz w:val="22"/>
          <w:szCs w:val="22"/>
        </w:rPr>
        <w:t xml:space="preserve">Oportunidades y </w:t>
      </w:r>
      <w:r w:rsidR="00872FD9" w:rsidRPr="000907D3">
        <w:rPr>
          <w:rFonts w:ascii="Adobe Caslon Pro" w:hAnsi="Adobe Caslon Pro"/>
          <w:sz w:val="22"/>
          <w:szCs w:val="22"/>
        </w:rPr>
        <w:t>para el Desarrollo de Zonas Prioritarias</w:t>
      </w:r>
      <w:r w:rsidRPr="000907D3">
        <w:rPr>
          <w:rFonts w:ascii="Adobe Caslon Pro" w:hAnsi="Adobe Caslon Pro"/>
          <w:sz w:val="22"/>
          <w:szCs w:val="22"/>
        </w:rPr>
        <w:t xml:space="preserve">, en </w:t>
      </w:r>
      <w:r w:rsidRPr="000907D3">
        <w:rPr>
          <w:rFonts w:ascii="Adobe Caslon Pro" w:hAnsi="Adobe Caslon Pro"/>
          <w:sz w:val="22"/>
          <w:szCs w:val="22"/>
        </w:rPr>
        <w:lastRenderedPageBreak/>
        <w:t xml:space="preserve">los cuales, además de las inversiones en capital humano e infraestructura, se requieren de acciones de sensibilización y de organización para modificar conductas que potencien el efecto sobre los beneficiarios. </w:t>
      </w:r>
    </w:p>
    <w:p w:rsidR="00CF536D" w:rsidRDefault="0076324F" w:rsidP="00026506">
      <w:pPr>
        <w:pStyle w:val="Normal3"/>
        <w:spacing w:before="240"/>
        <w:rPr>
          <w:rFonts w:ascii="Adobe Caslon Pro" w:hAnsi="Adobe Caslon Pro"/>
          <w:sz w:val="22"/>
          <w:szCs w:val="22"/>
        </w:rPr>
      </w:pPr>
      <w:r w:rsidRPr="000907D3">
        <w:rPr>
          <w:rFonts w:ascii="Adobe Caslon Pro" w:hAnsi="Adobe Caslon Pro"/>
          <w:sz w:val="22"/>
          <w:szCs w:val="22"/>
        </w:rPr>
        <w:t xml:space="preserve">Otra oportunidad adicional, es relanzar la participación social de los beneficiarios de los programas sociales, </w:t>
      </w:r>
      <w:r w:rsidR="00872FD9" w:rsidRPr="000907D3">
        <w:rPr>
          <w:rFonts w:ascii="Adobe Caslon Pro" w:hAnsi="Adobe Caslon Pro"/>
          <w:sz w:val="22"/>
          <w:szCs w:val="22"/>
        </w:rPr>
        <w:t>bajo</w:t>
      </w:r>
      <w:r w:rsidRPr="000907D3">
        <w:rPr>
          <w:rFonts w:ascii="Adobe Caslon Pro" w:hAnsi="Adobe Caslon Pro"/>
          <w:sz w:val="22"/>
          <w:szCs w:val="22"/>
        </w:rPr>
        <w:t xml:space="preserve"> la perspectiva de empoderar sus intereses y </w:t>
      </w:r>
      <w:r w:rsidR="00872FD9" w:rsidRPr="000907D3">
        <w:rPr>
          <w:rFonts w:ascii="Adobe Caslon Pro" w:hAnsi="Adobe Caslon Pro"/>
          <w:sz w:val="22"/>
          <w:szCs w:val="22"/>
        </w:rPr>
        <w:t>traducir en acciones concretas</w:t>
      </w:r>
      <w:r w:rsidRPr="000907D3">
        <w:rPr>
          <w:rFonts w:ascii="Adobe Caslon Pro" w:hAnsi="Adobe Caslon Pro"/>
          <w:sz w:val="22"/>
          <w:szCs w:val="22"/>
        </w:rPr>
        <w:t xml:space="preserve"> sus propuestas de mejora </w:t>
      </w:r>
      <w:r w:rsidR="00872FD9" w:rsidRPr="000907D3">
        <w:rPr>
          <w:rFonts w:ascii="Adobe Caslon Pro" w:hAnsi="Adobe Caslon Pro"/>
          <w:sz w:val="22"/>
          <w:szCs w:val="22"/>
        </w:rPr>
        <w:t>sobre</w:t>
      </w:r>
      <w:r w:rsidRPr="000907D3">
        <w:rPr>
          <w:rFonts w:ascii="Adobe Caslon Pro" w:hAnsi="Adobe Caslon Pro"/>
          <w:sz w:val="22"/>
          <w:szCs w:val="22"/>
        </w:rPr>
        <w:t xml:space="preserve"> los programas </w:t>
      </w:r>
      <w:r w:rsidR="00872FD9" w:rsidRPr="000907D3">
        <w:rPr>
          <w:rFonts w:ascii="Adobe Caslon Pro" w:hAnsi="Adobe Caslon Pro"/>
          <w:sz w:val="22"/>
          <w:szCs w:val="22"/>
        </w:rPr>
        <w:t>de los cuales</w:t>
      </w:r>
      <w:r w:rsidRPr="000907D3">
        <w:rPr>
          <w:rFonts w:ascii="Adobe Caslon Pro" w:hAnsi="Adobe Caslon Pro"/>
          <w:sz w:val="22"/>
          <w:szCs w:val="22"/>
        </w:rPr>
        <w:t xml:space="preserve"> son beneficiarios. </w:t>
      </w:r>
      <w:r w:rsidR="00CF536D" w:rsidRPr="000907D3">
        <w:rPr>
          <w:rFonts w:ascii="Adobe Caslon Pro" w:hAnsi="Adobe Caslon Pro"/>
          <w:sz w:val="22"/>
          <w:szCs w:val="22"/>
        </w:rPr>
        <w:t>Para concretarlo, las convocatorias del</w:t>
      </w:r>
      <w:r w:rsidR="005544BD">
        <w:rPr>
          <w:rFonts w:ascii="Adobe Caslon Pro" w:hAnsi="Adobe Caslon Pro"/>
          <w:sz w:val="22"/>
          <w:szCs w:val="22"/>
        </w:rPr>
        <w:t xml:space="preserve"> </w:t>
      </w:r>
      <w:r w:rsidR="00B029F2" w:rsidRPr="000907D3">
        <w:rPr>
          <w:rFonts w:ascii="Adobe Caslon Pro" w:hAnsi="Adobe Caslon Pro"/>
          <w:sz w:val="22"/>
          <w:szCs w:val="22"/>
        </w:rPr>
        <w:t>PCS</w:t>
      </w:r>
      <w:r w:rsidR="00CF536D" w:rsidRPr="000907D3">
        <w:rPr>
          <w:rFonts w:ascii="Adobe Caslon Pro" w:hAnsi="Adobe Caslon Pro"/>
          <w:sz w:val="22"/>
          <w:szCs w:val="22"/>
        </w:rPr>
        <w:t xml:space="preserve"> deberían priorizar </w:t>
      </w:r>
      <w:r w:rsidR="006E7F2B" w:rsidRPr="000907D3">
        <w:rPr>
          <w:rFonts w:ascii="Adobe Caslon Pro" w:hAnsi="Adobe Caslon Pro"/>
          <w:sz w:val="22"/>
          <w:szCs w:val="22"/>
        </w:rPr>
        <w:t xml:space="preserve">los apoyos para </w:t>
      </w:r>
      <w:r w:rsidR="00CF536D" w:rsidRPr="000907D3">
        <w:rPr>
          <w:rFonts w:ascii="Adobe Caslon Pro" w:hAnsi="Adobe Caslon Pro"/>
          <w:sz w:val="22"/>
          <w:szCs w:val="22"/>
        </w:rPr>
        <w:t xml:space="preserve">aquellas vertientes </w:t>
      </w:r>
      <w:r w:rsidR="006E7F2B" w:rsidRPr="000907D3">
        <w:rPr>
          <w:rFonts w:ascii="Adobe Caslon Pro" w:hAnsi="Adobe Caslon Pro"/>
          <w:sz w:val="22"/>
          <w:szCs w:val="22"/>
        </w:rPr>
        <w:t>con</w:t>
      </w:r>
      <w:r w:rsidR="00CF536D" w:rsidRPr="000907D3">
        <w:rPr>
          <w:rFonts w:ascii="Adobe Caslon Pro" w:hAnsi="Adobe Caslon Pro"/>
          <w:sz w:val="22"/>
          <w:szCs w:val="22"/>
        </w:rPr>
        <w:t xml:space="preserve"> actividades </w:t>
      </w:r>
      <w:r w:rsidR="006E7F2B" w:rsidRPr="000907D3">
        <w:rPr>
          <w:rFonts w:ascii="Adobe Caslon Pro" w:hAnsi="Adobe Caslon Pro"/>
          <w:sz w:val="22"/>
          <w:szCs w:val="22"/>
        </w:rPr>
        <w:t>que estén</w:t>
      </w:r>
      <w:r w:rsidR="00CF536D" w:rsidRPr="000907D3">
        <w:rPr>
          <w:rFonts w:ascii="Adobe Caslon Pro" w:hAnsi="Adobe Caslon Pro"/>
          <w:sz w:val="22"/>
          <w:szCs w:val="22"/>
        </w:rPr>
        <w:t xml:space="preserve"> establecidas en la LFFA</w:t>
      </w:r>
      <w:r w:rsidR="006E7F2B" w:rsidRPr="000907D3">
        <w:rPr>
          <w:rFonts w:ascii="Adobe Caslon Pro" w:hAnsi="Adobe Caslon Pro"/>
          <w:sz w:val="22"/>
          <w:szCs w:val="22"/>
        </w:rPr>
        <w:t>R</w:t>
      </w:r>
      <w:r w:rsidR="00CF536D" w:rsidRPr="000907D3">
        <w:rPr>
          <w:rFonts w:ascii="Adobe Caslon Pro" w:hAnsi="Adobe Caslon Pro"/>
          <w:sz w:val="22"/>
          <w:szCs w:val="22"/>
        </w:rPr>
        <w:t>OSC</w:t>
      </w:r>
      <w:r w:rsidR="00444547" w:rsidRPr="000907D3">
        <w:rPr>
          <w:rFonts w:ascii="Adobe Caslon Pro" w:hAnsi="Adobe Caslon Pro"/>
          <w:sz w:val="22"/>
          <w:szCs w:val="22"/>
        </w:rPr>
        <w:t>, y asimismo,</w:t>
      </w:r>
      <w:r w:rsidR="00CF536D" w:rsidRPr="000907D3">
        <w:rPr>
          <w:rFonts w:ascii="Adobe Caslon Pro" w:hAnsi="Adobe Caslon Pro"/>
          <w:sz w:val="22"/>
          <w:szCs w:val="22"/>
        </w:rPr>
        <w:t xml:space="preserve"> directamente vinculadas al Desarrollo Social o a los programas que integran la política social de la </w:t>
      </w:r>
      <w:r w:rsidR="002F714E">
        <w:rPr>
          <w:rFonts w:ascii="Adobe Caslon Pro" w:hAnsi="Adobe Caslon Pro"/>
          <w:sz w:val="22"/>
          <w:szCs w:val="22"/>
        </w:rPr>
        <w:t>SEDESOL</w:t>
      </w:r>
      <w:r w:rsidR="00CF536D" w:rsidRPr="000907D3">
        <w:rPr>
          <w:rFonts w:ascii="Adobe Caslon Pro" w:hAnsi="Adobe Caslon Pro"/>
          <w:sz w:val="22"/>
          <w:szCs w:val="22"/>
        </w:rPr>
        <w:t xml:space="preserve">. </w:t>
      </w:r>
    </w:p>
    <w:p w:rsidR="00CF536D" w:rsidRPr="000907D3" w:rsidRDefault="00CF536D" w:rsidP="009C1296">
      <w:pPr>
        <w:pStyle w:val="Normal3"/>
        <w:spacing w:after="120"/>
        <w:rPr>
          <w:rFonts w:ascii="Adobe Caslon Pro" w:hAnsi="Adobe Caslon Pro"/>
          <w:sz w:val="22"/>
          <w:szCs w:val="22"/>
        </w:rPr>
      </w:pPr>
      <w:r w:rsidRPr="000907D3">
        <w:rPr>
          <w:rFonts w:ascii="Adobe Caslon Pro" w:hAnsi="Adobe Caslon Pro"/>
          <w:sz w:val="22"/>
          <w:szCs w:val="22"/>
        </w:rPr>
        <w:t xml:space="preserve">Por otro lado, el PCS representa para las OSC la posibilidad de acceder a recursos públicos federales para financiar una parte de sus proyectos y actividades. Pero en complemento o en sustitución de estos, se pueden solicitar además recursos de organismos internacionales o donativos privados, así como realizar actividades económicas sin fines de lucro para financiar sus actividades sociales. </w:t>
      </w:r>
    </w:p>
    <w:p w:rsidR="00CF536D" w:rsidRPr="000907D3" w:rsidRDefault="00CF536D" w:rsidP="009C1296">
      <w:pPr>
        <w:pStyle w:val="Default"/>
        <w:spacing w:after="120" w:line="276" w:lineRule="auto"/>
        <w:jc w:val="both"/>
        <w:rPr>
          <w:rFonts w:ascii="Adobe Caslon Pro" w:hAnsi="Adobe Caslon Pro" w:cs="Arial"/>
          <w:sz w:val="22"/>
          <w:szCs w:val="22"/>
        </w:rPr>
      </w:pPr>
    </w:p>
    <w:p w:rsidR="00CF536D" w:rsidRPr="00A037D2" w:rsidRDefault="00CF536D" w:rsidP="009C1296">
      <w:pPr>
        <w:pStyle w:val="Normal3"/>
        <w:spacing w:after="120"/>
        <w:rPr>
          <w:rFonts w:ascii="Adobe Caslon Pro" w:hAnsi="Adobe Caslon Pro"/>
          <w:b/>
          <w:sz w:val="22"/>
          <w:szCs w:val="22"/>
        </w:rPr>
      </w:pPr>
      <w:bookmarkStart w:id="189" w:name="_Toc374381021"/>
      <w:bookmarkStart w:id="190" w:name="_Toc380855741"/>
      <w:bookmarkStart w:id="191" w:name="_Toc263896861"/>
      <w:r w:rsidRPr="00A037D2">
        <w:rPr>
          <w:rFonts w:ascii="Adobe Caslon Pro" w:hAnsi="Adobe Caslon Pro"/>
          <w:b/>
          <w:sz w:val="22"/>
          <w:szCs w:val="22"/>
        </w:rPr>
        <w:t>Marco de actuación de la propuesta</w:t>
      </w:r>
      <w:bookmarkEnd w:id="189"/>
      <w:bookmarkEnd w:id="190"/>
      <w:bookmarkEnd w:id="191"/>
    </w:p>
    <w:p w:rsidR="00CF536D" w:rsidRDefault="00CF536D" w:rsidP="00026506">
      <w:pPr>
        <w:pStyle w:val="Normal3"/>
        <w:spacing w:before="240"/>
        <w:rPr>
          <w:rFonts w:ascii="Adobe Caslon Pro" w:hAnsi="Adobe Caslon Pro"/>
          <w:sz w:val="22"/>
          <w:szCs w:val="22"/>
        </w:rPr>
      </w:pPr>
      <w:r w:rsidRPr="000907D3">
        <w:rPr>
          <w:rFonts w:ascii="Adobe Caslon Pro" w:hAnsi="Adobe Caslon Pro"/>
          <w:sz w:val="22"/>
          <w:szCs w:val="22"/>
        </w:rPr>
        <w:t>El</w:t>
      </w:r>
      <w:r w:rsidR="00F24615">
        <w:rPr>
          <w:rFonts w:ascii="Adobe Caslon Pro" w:hAnsi="Adobe Caslon Pro"/>
          <w:sz w:val="22"/>
          <w:szCs w:val="22"/>
        </w:rPr>
        <w:t xml:space="preserve"> PCS</w:t>
      </w:r>
      <w:r w:rsidR="00E862B3">
        <w:rPr>
          <w:rFonts w:ascii="Adobe Caslon Pro" w:hAnsi="Adobe Caslon Pro"/>
          <w:sz w:val="22"/>
          <w:szCs w:val="22"/>
        </w:rPr>
        <w:t xml:space="preserve"> contribuye al logro del o</w:t>
      </w:r>
      <w:r w:rsidRPr="000907D3">
        <w:rPr>
          <w:rFonts w:ascii="Adobe Caslon Pro" w:hAnsi="Adobe Caslon Pro"/>
          <w:sz w:val="22"/>
          <w:szCs w:val="22"/>
        </w:rPr>
        <w:t>bjetivo 2.2 del Plan Nacional de Desarrollo 2013-2018, en el que se establece como prioridad el transitar hacia una sociedad equitativa e incluyente. En particular, las acciones de</w:t>
      </w:r>
      <w:r w:rsidR="00E862B3">
        <w:rPr>
          <w:rFonts w:ascii="Adobe Caslon Pro" w:hAnsi="Adobe Caslon Pro"/>
          <w:sz w:val="22"/>
          <w:szCs w:val="22"/>
        </w:rPr>
        <w:t xml:space="preserve"> este programa se alinean a la e</w:t>
      </w:r>
      <w:r w:rsidRPr="000907D3">
        <w:rPr>
          <w:rFonts w:ascii="Adobe Caslon Pro" w:hAnsi="Adobe Caslon Pro"/>
          <w:sz w:val="22"/>
          <w:szCs w:val="22"/>
        </w:rPr>
        <w:t xml:space="preserve">strategia 2.2.1 del </w:t>
      </w:r>
      <w:r w:rsidR="00BC7590" w:rsidRPr="000907D3">
        <w:rPr>
          <w:rFonts w:ascii="Adobe Caslon Pro" w:hAnsi="Adobe Caslon Pro"/>
          <w:sz w:val="22"/>
          <w:szCs w:val="22"/>
        </w:rPr>
        <w:t xml:space="preserve">PND </w:t>
      </w:r>
      <w:r w:rsidRPr="000907D3">
        <w:rPr>
          <w:rFonts w:ascii="Adobe Caslon Pro" w:hAnsi="Adobe Caslon Pro"/>
          <w:sz w:val="22"/>
          <w:szCs w:val="22"/>
        </w:rPr>
        <w:t xml:space="preserve">que busca generar esquemas de desarrollo comunitario a través de procesos de participación social. </w:t>
      </w:r>
    </w:p>
    <w:p w:rsidR="00CF536D" w:rsidRDefault="00CF536D" w:rsidP="00595502">
      <w:pPr>
        <w:pStyle w:val="Normal3"/>
        <w:spacing w:after="120"/>
        <w:rPr>
          <w:rFonts w:ascii="Adobe Caslon Pro" w:hAnsi="Adobe Caslon Pro"/>
          <w:sz w:val="22"/>
          <w:szCs w:val="22"/>
        </w:rPr>
      </w:pPr>
      <w:r w:rsidRPr="000907D3">
        <w:rPr>
          <w:rFonts w:ascii="Adobe Caslon Pro" w:hAnsi="Adobe Caslon Pro"/>
          <w:sz w:val="22"/>
          <w:szCs w:val="22"/>
        </w:rPr>
        <w:t>Adicionalmen</w:t>
      </w:r>
      <w:r w:rsidR="00E862B3">
        <w:rPr>
          <w:rFonts w:ascii="Adobe Caslon Pro" w:hAnsi="Adobe Caslon Pro"/>
          <w:sz w:val="22"/>
          <w:szCs w:val="22"/>
        </w:rPr>
        <w:t>te, este programa se alinea al o</w:t>
      </w:r>
      <w:r w:rsidRPr="000907D3">
        <w:rPr>
          <w:rFonts w:ascii="Adobe Caslon Pro" w:hAnsi="Adobe Caslon Pro"/>
          <w:sz w:val="22"/>
          <w:szCs w:val="22"/>
        </w:rPr>
        <w:t>bjetivo 5 del Programa Sectorial de Desarrollo Social</w:t>
      </w:r>
      <w:r w:rsidR="007302D6" w:rsidRPr="000907D3">
        <w:rPr>
          <w:rFonts w:ascii="Adobe Caslon Pro" w:hAnsi="Adobe Caslon Pro"/>
          <w:sz w:val="22"/>
          <w:szCs w:val="22"/>
        </w:rPr>
        <w:t xml:space="preserve"> 2013-2018</w:t>
      </w:r>
      <w:r w:rsidRPr="000907D3">
        <w:rPr>
          <w:rFonts w:ascii="Adobe Caslon Pro" w:hAnsi="Adobe Caslon Pro"/>
          <w:sz w:val="22"/>
          <w:szCs w:val="22"/>
        </w:rPr>
        <w:t>, el cual tiene como propósito fortalecer la participación social para impulsar el desarrollo comunitario a través de esquemas de inclusión productiva y cohesión social</w:t>
      </w:r>
      <w:r w:rsidR="00BC7590" w:rsidRPr="000907D3">
        <w:rPr>
          <w:rFonts w:ascii="Adobe Caslon Pro" w:hAnsi="Adobe Caslon Pro"/>
          <w:sz w:val="22"/>
          <w:szCs w:val="22"/>
        </w:rPr>
        <w:t>.</w:t>
      </w:r>
      <w:r w:rsidR="005342F3">
        <w:rPr>
          <w:rFonts w:ascii="Adobe Caslon Pro" w:hAnsi="Adobe Caslon Pro"/>
          <w:sz w:val="22"/>
          <w:szCs w:val="22"/>
        </w:rPr>
        <w:t xml:space="preserve"> </w:t>
      </w:r>
      <w:r w:rsidR="00BC7590" w:rsidRPr="000907D3">
        <w:rPr>
          <w:rFonts w:ascii="Adobe Caslon Pro" w:hAnsi="Adobe Caslon Pro"/>
          <w:sz w:val="22"/>
          <w:szCs w:val="22"/>
        </w:rPr>
        <w:t xml:space="preserve">Específicamente, se alinea </w:t>
      </w:r>
      <w:r w:rsidRPr="000907D3">
        <w:rPr>
          <w:rFonts w:ascii="Adobe Caslon Pro" w:hAnsi="Adobe Caslon Pro"/>
          <w:sz w:val="22"/>
          <w:szCs w:val="22"/>
        </w:rPr>
        <w:t>a la</w:t>
      </w:r>
      <w:r w:rsidR="005342F3">
        <w:rPr>
          <w:rFonts w:ascii="Adobe Caslon Pro" w:hAnsi="Adobe Caslon Pro"/>
          <w:sz w:val="22"/>
          <w:szCs w:val="22"/>
        </w:rPr>
        <w:t xml:space="preserve"> </w:t>
      </w:r>
      <w:r w:rsidR="00E862B3">
        <w:rPr>
          <w:rFonts w:ascii="Adobe Caslon Pro" w:hAnsi="Adobe Caslon Pro"/>
          <w:sz w:val="22"/>
          <w:szCs w:val="22"/>
        </w:rPr>
        <w:t>e</w:t>
      </w:r>
      <w:r w:rsidRPr="000907D3">
        <w:rPr>
          <w:rFonts w:ascii="Adobe Caslon Pro" w:hAnsi="Adobe Caslon Pro"/>
          <w:sz w:val="22"/>
          <w:szCs w:val="22"/>
        </w:rPr>
        <w:t>strategia 5.1</w:t>
      </w:r>
      <w:r w:rsidR="00BC7590" w:rsidRPr="000907D3">
        <w:rPr>
          <w:rFonts w:ascii="Adobe Caslon Pro" w:hAnsi="Adobe Caslon Pro"/>
          <w:sz w:val="22"/>
          <w:szCs w:val="22"/>
        </w:rPr>
        <w:t xml:space="preserve"> del PSDS</w:t>
      </w:r>
      <w:r w:rsidRPr="000907D3">
        <w:rPr>
          <w:rFonts w:ascii="Adobe Caslon Pro" w:hAnsi="Adobe Caslon Pro"/>
          <w:sz w:val="22"/>
          <w:szCs w:val="22"/>
        </w:rPr>
        <w:t xml:space="preserve">, </w:t>
      </w:r>
      <w:r w:rsidR="006C4E9A" w:rsidRPr="000907D3">
        <w:rPr>
          <w:rFonts w:ascii="Adobe Caslon Pro" w:hAnsi="Adobe Caslon Pro"/>
          <w:sz w:val="22"/>
          <w:szCs w:val="22"/>
        </w:rPr>
        <w:t xml:space="preserve">la cual tiene como objetivo </w:t>
      </w:r>
      <w:r w:rsidR="007302D6" w:rsidRPr="000907D3">
        <w:rPr>
          <w:rFonts w:ascii="Adobe Caslon Pro" w:hAnsi="Adobe Caslon Pro"/>
          <w:sz w:val="22"/>
          <w:szCs w:val="22"/>
        </w:rPr>
        <w:t xml:space="preserve">fortalecer a los actores sociales para que a través de sus actividades promuevan el desarrollo de la cohesión y el capital social de los grupos y regiones que viven en situación de vulnerabilidad y exclusión. </w:t>
      </w:r>
    </w:p>
    <w:p w:rsidR="00595502" w:rsidRDefault="00595502" w:rsidP="00595502">
      <w:pPr>
        <w:pStyle w:val="Normal3"/>
        <w:spacing w:after="120"/>
        <w:rPr>
          <w:rFonts w:ascii="Adobe Caslon Pro" w:hAnsi="Adobe Caslon Pro"/>
          <w:b/>
          <w:sz w:val="22"/>
          <w:szCs w:val="22"/>
        </w:rPr>
      </w:pPr>
      <w:bookmarkStart w:id="192" w:name="_Toc374381022"/>
      <w:bookmarkStart w:id="193" w:name="_Toc380855742"/>
      <w:bookmarkStart w:id="194" w:name="_Toc263896862"/>
    </w:p>
    <w:p w:rsidR="00CF536D" w:rsidRPr="00A037D2" w:rsidRDefault="00CF536D" w:rsidP="00595502">
      <w:pPr>
        <w:pStyle w:val="Normal3"/>
        <w:spacing w:after="120"/>
        <w:rPr>
          <w:rFonts w:ascii="Adobe Caslon Pro" w:hAnsi="Adobe Caslon Pro"/>
          <w:b/>
          <w:sz w:val="22"/>
          <w:szCs w:val="22"/>
        </w:rPr>
      </w:pPr>
      <w:r w:rsidRPr="00A037D2">
        <w:rPr>
          <w:rFonts w:ascii="Adobe Caslon Pro" w:hAnsi="Adobe Caslon Pro"/>
          <w:b/>
          <w:sz w:val="22"/>
          <w:szCs w:val="22"/>
        </w:rPr>
        <w:lastRenderedPageBreak/>
        <w:t>Metas de cobertura para la solución propuesta</w:t>
      </w:r>
      <w:bookmarkEnd w:id="192"/>
      <w:bookmarkEnd w:id="193"/>
      <w:bookmarkEnd w:id="194"/>
    </w:p>
    <w:p w:rsidR="00CF536D" w:rsidRDefault="00CF536D" w:rsidP="00026506">
      <w:pPr>
        <w:pStyle w:val="Normal3"/>
        <w:spacing w:before="240"/>
        <w:rPr>
          <w:rFonts w:ascii="Adobe Caslon Pro" w:hAnsi="Adobe Caslon Pro"/>
          <w:sz w:val="22"/>
          <w:szCs w:val="22"/>
        </w:rPr>
      </w:pPr>
      <w:r w:rsidRPr="000907D3">
        <w:rPr>
          <w:rFonts w:ascii="Adobe Caslon Pro" w:hAnsi="Adobe Caslon Pro"/>
          <w:sz w:val="22"/>
          <w:szCs w:val="22"/>
        </w:rPr>
        <w:t>Como ya se mencionó en el apartado 4.8, este es un programa que opera a la demanda. Por lo que el concepto de avance en la cobertura de la solución propuesta no se aplica necesariamente en programas que selecciona</w:t>
      </w:r>
      <w:r w:rsidR="009F5BE6" w:rsidRPr="000907D3">
        <w:rPr>
          <w:rFonts w:ascii="Adobe Caslon Pro" w:hAnsi="Adobe Caslon Pro"/>
          <w:sz w:val="22"/>
          <w:szCs w:val="22"/>
        </w:rPr>
        <w:t>n</w:t>
      </w:r>
      <w:r w:rsidRPr="000907D3">
        <w:rPr>
          <w:rFonts w:ascii="Adobe Caslon Pro" w:hAnsi="Adobe Caslon Pro"/>
          <w:sz w:val="22"/>
          <w:szCs w:val="22"/>
        </w:rPr>
        <w:t xml:space="preserve"> proyectos a través de convocatorias y con la participación de una Comisión Dictaminadora. Pese a lo anterior, y como referencia</w:t>
      </w:r>
      <w:r w:rsidR="009F5BE6" w:rsidRPr="000907D3">
        <w:rPr>
          <w:rFonts w:ascii="Adobe Caslon Pro" w:hAnsi="Adobe Caslon Pro"/>
          <w:sz w:val="22"/>
          <w:szCs w:val="22"/>
        </w:rPr>
        <w:t>,</w:t>
      </w:r>
      <w:r w:rsidRPr="000907D3">
        <w:rPr>
          <w:rFonts w:ascii="Adobe Caslon Pro" w:hAnsi="Adobe Caslon Pro"/>
          <w:sz w:val="22"/>
          <w:szCs w:val="22"/>
        </w:rPr>
        <w:t xml:space="preserve"> puede realizarse un ejercicio hipotético de avance en metas de cobertura para atender al 100% de las OSC que cuentan con proyectos elegibles en el año 2018. Se toma como base la información reflejada en el apartado 4.8. </w:t>
      </w:r>
    </w:p>
    <w:p w:rsidR="00CF536D" w:rsidRPr="00D059D9" w:rsidRDefault="00CF536D" w:rsidP="004F74BF">
      <w:pPr>
        <w:pStyle w:val="Epgrafe"/>
        <w:spacing w:before="240" w:after="240" w:line="276" w:lineRule="auto"/>
        <w:jc w:val="center"/>
        <w:rPr>
          <w:rFonts w:ascii="Adobe Caslon Pro" w:hAnsi="Adobe Caslon Pro" w:cs="Arial"/>
          <w:color w:val="000000" w:themeColor="text1"/>
          <w:sz w:val="20"/>
          <w:szCs w:val="20"/>
        </w:rPr>
      </w:pPr>
      <w:bookmarkStart w:id="195" w:name="_Toc380855765"/>
      <w:r w:rsidRPr="00D059D9">
        <w:rPr>
          <w:rFonts w:ascii="Adobe Caslon Pro" w:hAnsi="Adobe Caslon Pro" w:cs="Arial"/>
          <w:color w:val="000000" w:themeColor="text1"/>
          <w:sz w:val="20"/>
          <w:szCs w:val="20"/>
        </w:rPr>
        <w:t xml:space="preserve">Cuadro </w:t>
      </w:r>
      <w:r w:rsidR="001E24D5" w:rsidRPr="00D059D9">
        <w:rPr>
          <w:rFonts w:ascii="Adobe Caslon Pro" w:hAnsi="Adobe Caslon Pro" w:cs="Arial"/>
          <w:color w:val="000000" w:themeColor="text1"/>
          <w:sz w:val="20"/>
          <w:szCs w:val="20"/>
        </w:rPr>
        <w:t>15</w:t>
      </w:r>
      <w:r w:rsidRPr="00D059D9">
        <w:rPr>
          <w:rFonts w:ascii="Adobe Caslon Pro" w:hAnsi="Adobe Caslon Pro" w:cs="Arial"/>
          <w:color w:val="000000" w:themeColor="text1"/>
          <w:sz w:val="20"/>
          <w:szCs w:val="20"/>
        </w:rPr>
        <w:t>. Población atendida y objetivo 2014-2018</w:t>
      </w:r>
      <w:bookmarkEnd w:id="195"/>
    </w:p>
    <w:tbl>
      <w:tblPr>
        <w:tblW w:w="9640" w:type="dxa"/>
        <w:jc w:val="center"/>
        <w:tblInd w:w="55" w:type="dxa"/>
        <w:tblCellMar>
          <w:left w:w="70" w:type="dxa"/>
          <w:right w:w="70" w:type="dxa"/>
        </w:tblCellMar>
        <w:tblLook w:val="04A0" w:firstRow="1" w:lastRow="0" w:firstColumn="1" w:lastColumn="0" w:noHBand="0" w:noVBand="1"/>
      </w:tblPr>
      <w:tblGrid>
        <w:gridCol w:w="1198"/>
        <w:gridCol w:w="2357"/>
        <w:gridCol w:w="1898"/>
        <w:gridCol w:w="1071"/>
        <w:gridCol w:w="3116"/>
      </w:tblGrid>
      <w:tr w:rsidR="000D62D1" w:rsidRPr="000D62D1" w:rsidTr="004F74BF">
        <w:trPr>
          <w:trHeight w:val="420"/>
          <w:jc w:val="center"/>
        </w:trPr>
        <w:tc>
          <w:tcPr>
            <w:tcW w:w="1198"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0D62D1" w:rsidRPr="000D62D1" w:rsidRDefault="000D62D1" w:rsidP="004F74BF">
            <w:pPr>
              <w:spacing w:after="0" w:line="240" w:lineRule="auto"/>
              <w:jc w:val="center"/>
              <w:rPr>
                <w:rFonts w:ascii="Adobe Caslon Pro" w:eastAsia="Times New Roman" w:hAnsi="Adobe Caslon Pro"/>
                <w:b/>
                <w:bCs/>
                <w:color w:val="000000"/>
                <w:lang w:eastAsia="es-MX"/>
              </w:rPr>
            </w:pPr>
            <w:r w:rsidRPr="000D62D1">
              <w:rPr>
                <w:rFonts w:ascii="Adobe Caslon Pro" w:eastAsia="Times New Roman" w:hAnsi="Adobe Caslon Pro"/>
                <w:b/>
                <w:bCs/>
                <w:color w:val="000000"/>
                <w:lang w:eastAsia="es-MX"/>
              </w:rPr>
              <w:t>Año</w:t>
            </w:r>
          </w:p>
        </w:tc>
        <w:tc>
          <w:tcPr>
            <w:tcW w:w="2357" w:type="dxa"/>
            <w:tcBorders>
              <w:top w:val="single" w:sz="4" w:space="0" w:color="auto"/>
              <w:left w:val="nil"/>
              <w:bottom w:val="single" w:sz="4" w:space="0" w:color="auto"/>
              <w:right w:val="single" w:sz="4" w:space="0" w:color="auto"/>
            </w:tcBorders>
            <w:shd w:val="clear" w:color="000000" w:fill="BFBFBF"/>
            <w:vAlign w:val="center"/>
            <w:hideMark/>
          </w:tcPr>
          <w:p w:rsidR="000D62D1" w:rsidRPr="000D62D1" w:rsidRDefault="000D62D1" w:rsidP="004F74BF">
            <w:pPr>
              <w:spacing w:after="0" w:line="240" w:lineRule="auto"/>
              <w:jc w:val="center"/>
              <w:rPr>
                <w:rFonts w:ascii="Adobe Caslon Pro" w:eastAsia="Times New Roman" w:hAnsi="Adobe Caslon Pro"/>
                <w:b/>
                <w:bCs/>
                <w:color w:val="000000"/>
                <w:lang w:eastAsia="es-MX"/>
              </w:rPr>
            </w:pPr>
            <w:r w:rsidRPr="000D62D1">
              <w:rPr>
                <w:rFonts w:ascii="Adobe Caslon Pro" w:eastAsia="Times New Roman" w:hAnsi="Adobe Caslon Pro"/>
                <w:b/>
                <w:bCs/>
                <w:color w:val="000000"/>
                <w:lang w:eastAsia="es-MX"/>
              </w:rPr>
              <w:t>Población objetivo total</w:t>
            </w:r>
          </w:p>
        </w:tc>
        <w:tc>
          <w:tcPr>
            <w:tcW w:w="1898" w:type="dxa"/>
            <w:tcBorders>
              <w:top w:val="single" w:sz="4" w:space="0" w:color="auto"/>
              <w:left w:val="nil"/>
              <w:bottom w:val="single" w:sz="4" w:space="0" w:color="auto"/>
              <w:right w:val="single" w:sz="4" w:space="0" w:color="auto"/>
            </w:tcBorders>
            <w:shd w:val="clear" w:color="000000" w:fill="BFBFBF"/>
            <w:vAlign w:val="center"/>
            <w:hideMark/>
          </w:tcPr>
          <w:p w:rsidR="000D62D1" w:rsidRPr="000D62D1" w:rsidRDefault="000D62D1" w:rsidP="004F74BF">
            <w:pPr>
              <w:spacing w:after="0" w:line="240" w:lineRule="auto"/>
              <w:jc w:val="center"/>
              <w:rPr>
                <w:rFonts w:ascii="Adobe Caslon Pro" w:eastAsia="Times New Roman" w:hAnsi="Adobe Caslon Pro"/>
                <w:b/>
                <w:bCs/>
                <w:color w:val="000000"/>
                <w:lang w:eastAsia="es-MX"/>
              </w:rPr>
            </w:pPr>
            <w:r w:rsidRPr="000D62D1">
              <w:rPr>
                <w:rFonts w:ascii="Adobe Caslon Pro" w:eastAsia="Times New Roman" w:hAnsi="Adobe Caslon Pro"/>
                <w:b/>
                <w:bCs/>
                <w:color w:val="000000"/>
                <w:lang w:eastAsia="es-MX"/>
              </w:rPr>
              <w:t>Población atendida</w:t>
            </w:r>
          </w:p>
        </w:tc>
        <w:tc>
          <w:tcPr>
            <w:tcW w:w="1071" w:type="dxa"/>
            <w:tcBorders>
              <w:top w:val="single" w:sz="4" w:space="0" w:color="auto"/>
              <w:left w:val="nil"/>
              <w:bottom w:val="single" w:sz="4" w:space="0" w:color="auto"/>
              <w:right w:val="single" w:sz="4" w:space="0" w:color="auto"/>
            </w:tcBorders>
            <w:shd w:val="clear" w:color="000000" w:fill="BFBFBF"/>
            <w:vAlign w:val="center"/>
            <w:hideMark/>
          </w:tcPr>
          <w:p w:rsidR="000D62D1" w:rsidRPr="000D62D1" w:rsidRDefault="000D62D1" w:rsidP="004F74BF">
            <w:pPr>
              <w:spacing w:after="0" w:line="240" w:lineRule="auto"/>
              <w:jc w:val="center"/>
              <w:rPr>
                <w:rFonts w:ascii="Adobe Caslon Pro" w:eastAsia="Times New Roman" w:hAnsi="Adobe Caslon Pro"/>
                <w:b/>
                <w:bCs/>
                <w:color w:val="000000"/>
                <w:lang w:eastAsia="es-MX"/>
              </w:rPr>
            </w:pPr>
            <w:r w:rsidRPr="000D62D1">
              <w:rPr>
                <w:rFonts w:ascii="Adobe Caslon Pro" w:eastAsia="Times New Roman" w:hAnsi="Adobe Caslon Pro"/>
                <w:b/>
                <w:bCs/>
                <w:color w:val="000000"/>
                <w:lang w:eastAsia="es-MX"/>
              </w:rPr>
              <w:t>Cobertura</w:t>
            </w:r>
          </w:p>
        </w:tc>
        <w:tc>
          <w:tcPr>
            <w:tcW w:w="3116" w:type="dxa"/>
            <w:tcBorders>
              <w:top w:val="single" w:sz="4" w:space="0" w:color="auto"/>
              <w:left w:val="nil"/>
              <w:bottom w:val="single" w:sz="4" w:space="0" w:color="auto"/>
              <w:right w:val="single" w:sz="4" w:space="0" w:color="auto"/>
            </w:tcBorders>
            <w:shd w:val="clear" w:color="000000" w:fill="BFBFBF"/>
            <w:vAlign w:val="center"/>
            <w:hideMark/>
          </w:tcPr>
          <w:p w:rsidR="000D62D1" w:rsidRPr="000D62D1" w:rsidRDefault="000D62D1" w:rsidP="004F74BF">
            <w:pPr>
              <w:spacing w:after="0" w:line="240" w:lineRule="auto"/>
              <w:jc w:val="center"/>
              <w:rPr>
                <w:rFonts w:ascii="Adobe Caslon Pro" w:eastAsia="Times New Roman" w:hAnsi="Adobe Caslon Pro"/>
                <w:b/>
                <w:bCs/>
                <w:color w:val="000000"/>
                <w:lang w:eastAsia="es-MX"/>
              </w:rPr>
            </w:pPr>
            <w:r w:rsidRPr="000D62D1">
              <w:rPr>
                <w:rFonts w:ascii="Adobe Caslon Pro" w:eastAsia="Times New Roman" w:hAnsi="Adobe Caslon Pro"/>
                <w:b/>
                <w:bCs/>
                <w:color w:val="000000"/>
                <w:lang w:eastAsia="es-MX"/>
              </w:rPr>
              <w:t>Presupuesto (precios corrientes)</w:t>
            </w:r>
          </w:p>
        </w:tc>
      </w:tr>
      <w:tr w:rsidR="009E5FE4" w:rsidRPr="000D62D1" w:rsidTr="004F74BF">
        <w:trPr>
          <w:trHeight w:val="420"/>
          <w:jc w:val="center"/>
        </w:trPr>
        <w:tc>
          <w:tcPr>
            <w:tcW w:w="1198" w:type="dxa"/>
            <w:tcBorders>
              <w:top w:val="nil"/>
              <w:left w:val="single" w:sz="4" w:space="0" w:color="auto"/>
              <w:bottom w:val="single" w:sz="4" w:space="0" w:color="auto"/>
              <w:right w:val="single" w:sz="4" w:space="0" w:color="auto"/>
            </w:tcBorders>
            <w:shd w:val="clear" w:color="auto" w:fill="auto"/>
            <w:vAlign w:val="center"/>
            <w:hideMark/>
          </w:tcPr>
          <w:p w:rsidR="009E5FE4" w:rsidRPr="000D62D1" w:rsidRDefault="009E5FE4" w:rsidP="004F74BF">
            <w:pPr>
              <w:spacing w:after="0" w:line="240" w:lineRule="auto"/>
              <w:jc w:val="center"/>
              <w:rPr>
                <w:rFonts w:ascii="Adobe Caslon Pro" w:eastAsia="Times New Roman" w:hAnsi="Adobe Caslon Pro"/>
                <w:color w:val="000000"/>
                <w:sz w:val="20"/>
                <w:szCs w:val="20"/>
                <w:lang w:eastAsia="es-MX"/>
              </w:rPr>
            </w:pPr>
            <w:r w:rsidRPr="000D62D1">
              <w:rPr>
                <w:rFonts w:ascii="Adobe Caslon Pro" w:eastAsia="Times New Roman" w:hAnsi="Adobe Caslon Pro"/>
                <w:color w:val="000000"/>
                <w:sz w:val="20"/>
                <w:szCs w:val="20"/>
                <w:lang w:eastAsia="es-MX"/>
              </w:rPr>
              <w:t>2014</w:t>
            </w:r>
          </w:p>
        </w:tc>
        <w:tc>
          <w:tcPr>
            <w:tcW w:w="2357" w:type="dxa"/>
            <w:tcBorders>
              <w:top w:val="nil"/>
              <w:left w:val="nil"/>
              <w:bottom w:val="single" w:sz="4" w:space="0" w:color="auto"/>
              <w:right w:val="single" w:sz="4" w:space="0" w:color="auto"/>
            </w:tcBorders>
            <w:shd w:val="clear" w:color="auto" w:fill="auto"/>
            <w:vAlign w:val="bottom"/>
            <w:hideMark/>
          </w:tcPr>
          <w:p w:rsidR="009E5FE4" w:rsidRPr="00A23CC5" w:rsidRDefault="009E5FE4" w:rsidP="004F74BF">
            <w:pPr>
              <w:spacing w:after="0" w:line="240" w:lineRule="auto"/>
              <w:jc w:val="center"/>
              <w:rPr>
                <w:rFonts w:ascii="Adobe Caslon Pro" w:eastAsia="Times New Roman" w:hAnsi="Adobe Caslon Pro"/>
                <w:color w:val="000000"/>
                <w:sz w:val="20"/>
                <w:szCs w:val="20"/>
                <w:lang w:eastAsia="es-MX"/>
              </w:rPr>
            </w:pPr>
            <w:r w:rsidRPr="00A23CC5">
              <w:rPr>
                <w:rFonts w:ascii="Adobe Caslon Pro" w:eastAsia="Times New Roman" w:hAnsi="Adobe Caslon Pro"/>
                <w:color w:val="000000"/>
                <w:sz w:val="20"/>
                <w:szCs w:val="20"/>
                <w:lang w:eastAsia="es-MX"/>
              </w:rPr>
              <w:t>5,297</w:t>
            </w:r>
          </w:p>
        </w:tc>
        <w:tc>
          <w:tcPr>
            <w:tcW w:w="1898" w:type="dxa"/>
            <w:tcBorders>
              <w:top w:val="nil"/>
              <w:left w:val="nil"/>
              <w:bottom w:val="single" w:sz="4" w:space="0" w:color="auto"/>
              <w:right w:val="single" w:sz="4" w:space="0" w:color="auto"/>
            </w:tcBorders>
            <w:shd w:val="clear" w:color="auto" w:fill="auto"/>
            <w:vAlign w:val="center"/>
            <w:hideMark/>
          </w:tcPr>
          <w:p w:rsidR="009E5FE4" w:rsidRPr="000D62D1" w:rsidRDefault="009E5FE4" w:rsidP="004F74BF">
            <w:pPr>
              <w:spacing w:after="0" w:line="240" w:lineRule="auto"/>
              <w:jc w:val="center"/>
              <w:rPr>
                <w:rFonts w:ascii="Adobe Caslon Pro" w:eastAsia="Times New Roman" w:hAnsi="Adobe Caslon Pro"/>
                <w:color w:val="000000"/>
                <w:sz w:val="20"/>
                <w:szCs w:val="20"/>
                <w:lang w:eastAsia="es-MX"/>
              </w:rPr>
            </w:pPr>
            <w:r w:rsidRPr="000D62D1">
              <w:rPr>
                <w:rFonts w:ascii="Adobe Caslon Pro" w:eastAsia="Times New Roman" w:hAnsi="Adobe Caslon Pro"/>
                <w:color w:val="000000"/>
                <w:sz w:val="20"/>
                <w:szCs w:val="20"/>
                <w:lang w:eastAsia="es-MX"/>
              </w:rPr>
              <w:t>1,187</w:t>
            </w:r>
          </w:p>
        </w:tc>
        <w:tc>
          <w:tcPr>
            <w:tcW w:w="1071" w:type="dxa"/>
            <w:tcBorders>
              <w:top w:val="nil"/>
              <w:left w:val="nil"/>
              <w:bottom w:val="single" w:sz="4" w:space="0" w:color="auto"/>
              <w:right w:val="single" w:sz="4" w:space="0" w:color="auto"/>
            </w:tcBorders>
            <w:shd w:val="clear" w:color="auto" w:fill="auto"/>
            <w:vAlign w:val="center"/>
            <w:hideMark/>
          </w:tcPr>
          <w:p w:rsidR="009E5FE4" w:rsidRPr="000D62D1" w:rsidRDefault="009E5FE4" w:rsidP="004F74BF">
            <w:pPr>
              <w:spacing w:after="0" w:line="240" w:lineRule="auto"/>
              <w:jc w:val="center"/>
              <w:rPr>
                <w:rFonts w:ascii="Adobe Caslon Pro" w:eastAsia="Times New Roman" w:hAnsi="Adobe Caslon Pro"/>
                <w:color w:val="000000"/>
                <w:sz w:val="20"/>
                <w:szCs w:val="20"/>
                <w:lang w:eastAsia="es-MX"/>
              </w:rPr>
            </w:pPr>
            <w:r w:rsidRPr="000D62D1">
              <w:rPr>
                <w:rFonts w:ascii="Adobe Caslon Pro" w:eastAsia="Times New Roman" w:hAnsi="Adobe Caslon Pro"/>
                <w:color w:val="000000"/>
                <w:sz w:val="20"/>
                <w:szCs w:val="20"/>
                <w:lang w:eastAsia="es-MX"/>
              </w:rPr>
              <w:t>24%</w:t>
            </w:r>
          </w:p>
        </w:tc>
        <w:tc>
          <w:tcPr>
            <w:tcW w:w="3116" w:type="dxa"/>
            <w:tcBorders>
              <w:top w:val="nil"/>
              <w:left w:val="nil"/>
              <w:bottom w:val="single" w:sz="4" w:space="0" w:color="auto"/>
              <w:right w:val="single" w:sz="4" w:space="0" w:color="auto"/>
            </w:tcBorders>
            <w:shd w:val="clear" w:color="auto" w:fill="auto"/>
            <w:vAlign w:val="center"/>
            <w:hideMark/>
          </w:tcPr>
          <w:p w:rsidR="009E5FE4" w:rsidRPr="000D62D1" w:rsidRDefault="009E5FE4" w:rsidP="004F74BF">
            <w:pPr>
              <w:spacing w:after="0" w:line="240" w:lineRule="auto"/>
              <w:jc w:val="center"/>
              <w:rPr>
                <w:rFonts w:ascii="Adobe Caslon Pro" w:eastAsia="Times New Roman" w:hAnsi="Adobe Caslon Pro"/>
                <w:color w:val="000000"/>
                <w:sz w:val="20"/>
                <w:szCs w:val="20"/>
                <w:lang w:eastAsia="es-MX"/>
              </w:rPr>
            </w:pPr>
            <w:r w:rsidRPr="000D62D1">
              <w:rPr>
                <w:rFonts w:ascii="Adobe Caslon Pro" w:eastAsia="Times New Roman" w:hAnsi="Adobe Caslon Pro"/>
                <w:color w:val="000000"/>
                <w:sz w:val="20"/>
                <w:szCs w:val="20"/>
                <w:lang w:eastAsia="es-MX"/>
              </w:rPr>
              <w:t>302,444,633</w:t>
            </w:r>
          </w:p>
        </w:tc>
      </w:tr>
      <w:tr w:rsidR="009E5FE4" w:rsidRPr="000D62D1" w:rsidTr="004F74BF">
        <w:trPr>
          <w:trHeight w:val="420"/>
          <w:jc w:val="center"/>
        </w:trPr>
        <w:tc>
          <w:tcPr>
            <w:tcW w:w="1198" w:type="dxa"/>
            <w:tcBorders>
              <w:top w:val="nil"/>
              <w:left w:val="single" w:sz="4" w:space="0" w:color="auto"/>
              <w:bottom w:val="single" w:sz="4" w:space="0" w:color="auto"/>
              <w:right w:val="single" w:sz="4" w:space="0" w:color="auto"/>
            </w:tcBorders>
            <w:shd w:val="clear" w:color="auto" w:fill="auto"/>
            <w:vAlign w:val="center"/>
            <w:hideMark/>
          </w:tcPr>
          <w:p w:rsidR="009E5FE4" w:rsidRPr="000D62D1" w:rsidRDefault="009E5FE4" w:rsidP="004F74BF">
            <w:pPr>
              <w:spacing w:after="0" w:line="240" w:lineRule="auto"/>
              <w:jc w:val="center"/>
              <w:rPr>
                <w:rFonts w:ascii="Adobe Caslon Pro" w:eastAsia="Times New Roman" w:hAnsi="Adobe Caslon Pro"/>
                <w:color w:val="000000"/>
                <w:sz w:val="20"/>
                <w:szCs w:val="20"/>
                <w:lang w:eastAsia="es-MX"/>
              </w:rPr>
            </w:pPr>
            <w:r w:rsidRPr="000D62D1">
              <w:rPr>
                <w:rFonts w:ascii="Adobe Caslon Pro" w:eastAsia="Times New Roman" w:hAnsi="Adobe Caslon Pro"/>
                <w:color w:val="000000"/>
                <w:sz w:val="20"/>
                <w:szCs w:val="20"/>
                <w:lang w:eastAsia="es-MX"/>
              </w:rPr>
              <w:t>2015</w:t>
            </w:r>
          </w:p>
        </w:tc>
        <w:tc>
          <w:tcPr>
            <w:tcW w:w="2357" w:type="dxa"/>
            <w:tcBorders>
              <w:top w:val="nil"/>
              <w:left w:val="nil"/>
              <w:bottom w:val="single" w:sz="4" w:space="0" w:color="auto"/>
              <w:right w:val="single" w:sz="4" w:space="0" w:color="auto"/>
            </w:tcBorders>
            <w:shd w:val="clear" w:color="auto" w:fill="auto"/>
            <w:vAlign w:val="bottom"/>
            <w:hideMark/>
          </w:tcPr>
          <w:p w:rsidR="009E5FE4" w:rsidRPr="00A23CC5" w:rsidRDefault="009E5FE4" w:rsidP="004F74BF">
            <w:pPr>
              <w:spacing w:after="0" w:line="240" w:lineRule="auto"/>
              <w:jc w:val="center"/>
              <w:rPr>
                <w:rFonts w:ascii="Adobe Caslon Pro" w:eastAsia="Times New Roman" w:hAnsi="Adobe Caslon Pro"/>
                <w:color w:val="000000"/>
                <w:sz w:val="20"/>
                <w:szCs w:val="20"/>
                <w:lang w:eastAsia="es-MX"/>
              </w:rPr>
            </w:pPr>
            <w:r w:rsidRPr="00A23CC5">
              <w:rPr>
                <w:rFonts w:ascii="Adobe Caslon Pro" w:eastAsia="Times New Roman" w:hAnsi="Adobe Caslon Pro"/>
                <w:color w:val="000000"/>
                <w:sz w:val="20"/>
                <w:szCs w:val="20"/>
                <w:lang w:eastAsia="es-MX"/>
              </w:rPr>
              <w:t>5,552</w:t>
            </w:r>
          </w:p>
        </w:tc>
        <w:tc>
          <w:tcPr>
            <w:tcW w:w="1898" w:type="dxa"/>
            <w:tcBorders>
              <w:top w:val="nil"/>
              <w:left w:val="nil"/>
              <w:bottom w:val="single" w:sz="4" w:space="0" w:color="auto"/>
              <w:right w:val="single" w:sz="4" w:space="0" w:color="auto"/>
            </w:tcBorders>
            <w:shd w:val="clear" w:color="auto" w:fill="auto"/>
            <w:vAlign w:val="center"/>
            <w:hideMark/>
          </w:tcPr>
          <w:p w:rsidR="009E5FE4" w:rsidRPr="000D62D1" w:rsidRDefault="009E5FE4" w:rsidP="004F74BF">
            <w:pPr>
              <w:spacing w:after="0" w:line="240" w:lineRule="auto"/>
              <w:jc w:val="center"/>
              <w:rPr>
                <w:rFonts w:ascii="Adobe Caslon Pro" w:eastAsia="Times New Roman" w:hAnsi="Adobe Caslon Pro"/>
                <w:color w:val="000000"/>
                <w:sz w:val="20"/>
                <w:szCs w:val="20"/>
                <w:lang w:eastAsia="es-MX"/>
              </w:rPr>
            </w:pPr>
            <w:r w:rsidRPr="000D62D1">
              <w:rPr>
                <w:rFonts w:ascii="Adobe Caslon Pro" w:eastAsia="Times New Roman" w:hAnsi="Adobe Caslon Pro"/>
                <w:color w:val="000000"/>
                <w:sz w:val="20"/>
                <w:szCs w:val="20"/>
                <w:lang w:eastAsia="es-MX"/>
              </w:rPr>
              <w:t>2,543</w:t>
            </w:r>
          </w:p>
        </w:tc>
        <w:tc>
          <w:tcPr>
            <w:tcW w:w="1071" w:type="dxa"/>
            <w:tcBorders>
              <w:top w:val="nil"/>
              <w:left w:val="nil"/>
              <w:bottom w:val="single" w:sz="4" w:space="0" w:color="auto"/>
              <w:right w:val="single" w:sz="4" w:space="0" w:color="auto"/>
            </w:tcBorders>
            <w:shd w:val="clear" w:color="auto" w:fill="auto"/>
            <w:vAlign w:val="center"/>
            <w:hideMark/>
          </w:tcPr>
          <w:p w:rsidR="009E5FE4" w:rsidRPr="000D62D1" w:rsidRDefault="009E5FE4" w:rsidP="004F74BF">
            <w:pPr>
              <w:spacing w:after="0" w:line="240" w:lineRule="auto"/>
              <w:jc w:val="center"/>
              <w:rPr>
                <w:rFonts w:ascii="Adobe Caslon Pro" w:eastAsia="Times New Roman" w:hAnsi="Adobe Caslon Pro"/>
                <w:color w:val="000000"/>
                <w:sz w:val="20"/>
                <w:szCs w:val="20"/>
                <w:lang w:eastAsia="es-MX"/>
              </w:rPr>
            </w:pPr>
            <w:r w:rsidRPr="000D62D1">
              <w:rPr>
                <w:rFonts w:ascii="Adobe Caslon Pro" w:eastAsia="Times New Roman" w:hAnsi="Adobe Caslon Pro"/>
                <w:color w:val="000000"/>
                <w:sz w:val="20"/>
                <w:szCs w:val="20"/>
                <w:lang w:eastAsia="es-MX"/>
              </w:rPr>
              <w:t>43%</w:t>
            </w:r>
          </w:p>
        </w:tc>
        <w:tc>
          <w:tcPr>
            <w:tcW w:w="3116" w:type="dxa"/>
            <w:tcBorders>
              <w:top w:val="nil"/>
              <w:left w:val="nil"/>
              <w:bottom w:val="single" w:sz="4" w:space="0" w:color="auto"/>
              <w:right w:val="single" w:sz="4" w:space="0" w:color="auto"/>
            </w:tcBorders>
            <w:shd w:val="clear" w:color="auto" w:fill="auto"/>
            <w:vAlign w:val="center"/>
            <w:hideMark/>
          </w:tcPr>
          <w:p w:rsidR="009E5FE4" w:rsidRPr="000D62D1" w:rsidRDefault="009E5FE4" w:rsidP="004F74BF">
            <w:pPr>
              <w:spacing w:after="0" w:line="240" w:lineRule="auto"/>
              <w:jc w:val="center"/>
              <w:rPr>
                <w:rFonts w:ascii="Adobe Caslon Pro" w:eastAsia="Times New Roman" w:hAnsi="Adobe Caslon Pro"/>
                <w:color w:val="000000"/>
                <w:sz w:val="20"/>
                <w:szCs w:val="20"/>
                <w:lang w:eastAsia="es-MX"/>
              </w:rPr>
            </w:pPr>
            <w:r w:rsidRPr="000D62D1">
              <w:rPr>
                <w:rFonts w:ascii="Adobe Caslon Pro" w:eastAsia="Times New Roman" w:hAnsi="Adobe Caslon Pro"/>
                <w:color w:val="000000"/>
                <w:sz w:val="20"/>
                <w:szCs w:val="20"/>
                <w:lang w:eastAsia="es-MX"/>
              </w:rPr>
              <w:t>647,900,784</w:t>
            </w:r>
          </w:p>
        </w:tc>
      </w:tr>
      <w:tr w:rsidR="009E5FE4" w:rsidRPr="000D62D1" w:rsidTr="004F74BF">
        <w:trPr>
          <w:trHeight w:val="345"/>
          <w:jc w:val="center"/>
        </w:trPr>
        <w:tc>
          <w:tcPr>
            <w:tcW w:w="1198" w:type="dxa"/>
            <w:tcBorders>
              <w:top w:val="nil"/>
              <w:left w:val="single" w:sz="4" w:space="0" w:color="auto"/>
              <w:bottom w:val="single" w:sz="4" w:space="0" w:color="auto"/>
              <w:right w:val="single" w:sz="4" w:space="0" w:color="auto"/>
            </w:tcBorders>
            <w:shd w:val="clear" w:color="auto" w:fill="auto"/>
            <w:vAlign w:val="center"/>
            <w:hideMark/>
          </w:tcPr>
          <w:p w:rsidR="009E5FE4" w:rsidRPr="000D62D1" w:rsidRDefault="009E5FE4" w:rsidP="004F74BF">
            <w:pPr>
              <w:spacing w:after="0" w:line="240" w:lineRule="auto"/>
              <w:jc w:val="center"/>
              <w:rPr>
                <w:rFonts w:ascii="Adobe Caslon Pro" w:eastAsia="Times New Roman" w:hAnsi="Adobe Caslon Pro"/>
                <w:color w:val="000000"/>
                <w:sz w:val="20"/>
                <w:szCs w:val="20"/>
                <w:lang w:eastAsia="es-MX"/>
              </w:rPr>
            </w:pPr>
            <w:r w:rsidRPr="000D62D1">
              <w:rPr>
                <w:rFonts w:ascii="Adobe Caslon Pro" w:eastAsia="Times New Roman" w:hAnsi="Adobe Caslon Pro"/>
                <w:color w:val="000000"/>
                <w:sz w:val="20"/>
                <w:szCs w:val="20"/>
                <w:lang w:eastAsia="es-MX"/>
              </w:rPr>
              <w:t>2016</w:t>
            </w:r>
          </w:p>
        </w:tc>
        <w:tc>
          <w:tcPr>
            <w:tcW w:w="2357" w:type="dxa"/>
            <w:tcBorders>
              <w:top w:val="nil"/>
              <w:left w:val="nil"/>
              <w:bottom w:val="single" w:sz="4" w:space="0" w:color="auto"/>
              <w:right w:val="single" w:sz="4" w:space="0" w:color="auto"/>
            </w:tcBorders>
            <w:shd w:val="clear" w:color="auto" w:fill="auto"/>
            <w:vAlign w:val="bottom"/>
            <w:hideMark/>
          </w:tcPr>
          <w:p w:rsidR="009E5FE4" w:rsidRPr="00A23CC5" w:rsidRDefault="009E5FE4" w:rsidP="004F74BF">
            <w:pPr>
              <w:spacing w:after="0" w:line="240" w:lineRule="auto"/>
              <w:jc w:val="center"/>
              <w:rPr>
                <w:rFonts w:ascii="Adobe Caslon Pro" w:eastAsia="Times New Roman" w:hAnsi="Adobe Caslon Pro"/>
                <w:color w:val="000000"/>
                <w:sz w:val="20"/>
                <w:szCs w:val="20"/>
                <w:lang w:eastAsia="es-MX"/>
              </w:rPr>
            </w:pPr>
            <w:r w:rsidRPr="00A23CC5">
              <w:rPr>
                <w:rFonts w:ascii="Adobe Caslon Pro" w:eastAsia="Times New Roman" w:hAnsi="Adobe Caslon Pro"/>
                <w:color w:val="000000"/>
                <w:sz w:val="20"/>
                <w:szCs w:val="20"/>
                <w:lang w:eastAsia="es-MX"/>
              </w:rPr>
              <w:t>5,820</w:t>
            </w:r>
          </w:p>
        </w:tc>
        <w:tc>
          <w:tcPr>
            <w:tcW w:w="1898" w:type="dxa"/>
            <w:tcBorders>
              <w:top w:val="nil"/>
              <w:left w:val="nil"/>
              <w:bottom w:val="single" w:sz="4" w:space="0" w:color="auto"/>
              <w:right w:val="single" w:sz="4" w:space="0" w:color="auto"/>
            </w:tcBorders>
            <w:shd w:val="clear" w:color="auto" w:fill="auto"/>
            <w:vAlign w:val="center"/>
            <w:hideMark/>
          </w:tcPr>
          <w:p w:rsidR="009E5FE4" w:rsidRPr="000D62D1" w:rsidRDefault="009E5FE4" w:rsidP="004F74BF">
            <w:pPr>
              <w:spacing w:after="0" w:line="240" w:lineRule="auto"/>
              <w:jc w:val="center"/>
              <w:rPr>
                <w:rFonts w:ascii="Adobe Caslon Pro" w:eastAsia="Times New Roman" w:hAnsi="Adobe Caslon Pro"/>
                <w:color w:val="000000"/>
                <w:sz w:val="20"/>
                <w:szCs w:val="20"/>
                <w:lang w:eastAsia="es-MX"/>
              </w:rPr>
            </w:pPr>
            <w:r w:rsidRPr="000D62D1">
              <w:rPr>
                <w:rFonts w:ascii="Adobe Caslon Pro" w:eastAsia="Times New Roman" w:hAnsi="Adobe Caslon Pro"/>
                <w:color w:val="000000"/>
                <w:sz w:val="20"/>
                <w:szCs w:val="20"/>
                <w:lang w:eastAsia="es-MX"/>
              </w:rPr>
              <w:t>4,370</w:t>
            </w:r>
          </w:p>
        </w:tc>
        <w:tc>
          <w:tcPr>
            <w:tcW w:w="1071" w:type="dxa"/>
            <w:tcBorders>
              <w:top w:val="nil"/>
              <w:left w:val="nil"/>
              <w:bottom w:val="single" w:sz="4" w:space="0" w:color="auto"/>
              <w:right w:val="single" w:sz="4" w:space="0" w:color="auto"/>
            </w:tcBorders>
            <w:shd w:val="clear" w:color="auto" w:fill="auto"/>
            <w:vAlign w:val="center"/>
            <w:hideMark/>
          </w:tcPr>
          <w:p w:rsidR="009E5FE4" w:rsidRPr="000D62D1" w:rsidRDefault="009E5FE4" w:rsidP="004F74BF">
            <w:pPr>
              <w:spacing w:after="0" w:line="240" w:lineRule="auto"/>
              <w:jc w:val="center"/>
              <w:rPr>
                <w:rFonts w:ascii="Adobe Caslon Pro" w:eastAsia="Times New Roman" w:hAnsi="Adobe Caslon Pro"/>
                <w:color w:val="000000"/>
                <w:sz w:val="20"/>
                <w:szCs w:val="20"/>
                <w:lang w:eastAsia="es-MX"/>
              </w:rPr>
            </w:pPr>
            <w:r w:rsidRPr="000D62D1">
              <w:rPr>
                <w:rFonts w:ascii="Adobe Caslon Pro" w:eastAsia="Times New Roman" w:hAnsi="Adobe Caslon Pro"/>
                <w:color w:val="000000"/>
                <w:sz w:val="20"/>
                <w:szCs w:val="20"/>
                <w:lang w:eastAsia="es-MX"/>
              </w:rPr>
              <w:t>62%</w:t>
            </w:r>
          </w:p>
        </w:tc>
        <w:tc>
          <w:tcPr>
            <w:tcW w:w="3116" w:type="dxa"/>
            <w:tcBorders>
              <w:top w:val="nil"/>
              <w:left w:val="nil"/>
              <w:bottom w:val="single" w:sz="4" w:space="0" w:color="auto"/>
              <w:right w:val="single" w:sz="4" w:space="0" w:color="auto"/>
            </w:tcBorders>
            <w:shd w:val="clear" w:color="auto" w:fill="auto"/>
            <w:vAlign w:val="center"/>
            <w:hideMark/>
          </w:tcPr>
          <w:p w:rsidR="009E5FE4" w:rsidRPr="000D62D1" w:rsidRDefault="009E5FE4" w:rsidP="004F74BF">
            <w:pPr>
              <w:spacing w:after="0" w:line="240" w:lineRule="auto"/>
              <w:jc w:val="center"/>
              <w:rPr>
                <w:rFonts w:ascii="Adobe Caslon Pro" w:eastAsia="Times New Roman" w:hAnsi="Adobe Caslon Pro"/>
                <w:color w:val="000000"/>
                <w:sz w:val="20"/>
                <w:szCs w:val="20"/>
                <w:lang w:eastAsia="es-MX"/>
              </w:rPr>
            </w:pPr>
            <w:r w:rsidRPr="000D62D1">
              <w:rPr>
                <w:rFonts w:ascii="Adobe Caslon Pro" w:eastAsia="Times New Roman" w:hAnsi="Adobe Caslon Pro"/>
                <w:color w:val="000000"/>
                <w:sz w:val="20"/>
                <w:szCs w:val="20"/>
                <w:lang w:eastAsia="es-MX"/>
              </w:rPr>
              <w:t>1,113,431,878</w:t>
            </w:r>
          </w:p>
        </w:tc>
      </w:tr>
      <w:tr w:rsidR="009E5FE4" w:rsidRPr="000D62D1" w:rsidTr="004F74BF">
        <w:trPr>
          <w:trHeight w:val="345"/>
          <w:jc w:val="center"/>
        </w:trPr>
        <w:tc>
          <w:tcPr>
            <w:tcW w:w="1198" w:type="dxa"/>
            <w:tcBorders>
              <w:top w:val="nil"/>
              <w:left w:val="single" w:sz="4" w:space="0" w:color="auto"/>
              <w:bottom w:val="single" w:sz="4" w:space="0" w:color="auto"/>
              <w:right w:val="single" w:sz="4" w:space="0" w:color="auto"/>
            </w:tcBorders>
            <w:shd w:val="clear" w:color="auto" w:fill="auto"/>
            <w:vAlign w:val="center"/>
            <w:hideMark/>
          </w:tcPr>
          <w:p w:rsidR="009E5FE4" w:rsidRPr="000D62D1" w:rsidRDefault="009E5FE4" w:rsidP="004F74BF">
            <w:pPr>
              <w:spacing w:after="0" w:line="240" w:lineRule="auto"/>
              <w:jc w:val="center"/>
              <w:rPr>
                <w:rFonts w:ascii="Adobe Caslon Pro" w:eastAsia="Times New Roman" w:hAnsi="Adobe Caslon Pro"/>
                <w:color w:val="000000"/>
                <w:sz w:val="20"/>
                <w:szCs w:val="20"/>
                <w:lang w:eastAsia="es-MX"/>
              </w:rPr>
            </w:pPr>
            <w:r w:rsidRPr="000D62D1">
              <w:rPr>
                <w:rFonts w:ascii="Adobe Caslon Pro" w:eastAsia="Times New Roman" w:hAnsi="Adobe Caslon Pro"/>
                <w:color w:val="000000"/>
                <w:sz w:val="20"/>
                <w:szCs w:val="20"/>
                <w:lang w:eastAsia="es-MX"/>
              </w:rPr>
              <w:t>2017</w:t>
            </w:r>
          </w:p>
        </w:tc>
        <w:tc>
          <w:tcPr>
            <w:tcW w:w="2357" w:type="dxa"/>
            <w:tcBorders>
              <w:top w:val="nil"/>
              <w:left w:val="nil"/>
              <w:bottom w:val="single" w:sz="4" w:space="0" w:color="auto"/>
              <w:right w:val="single" w:sz="4" w:space="0" w:color="auto"/>
            </w:tcBorders>
            <w:shd w:val="clear" w:color="auto" w:fill="auto"/>
            <w:vAlign w:val="bottom"/>
            <w:hideMark/>
          </w:tcPr>
          <w:p w:rsidR="009E5FE4" w:rsidRPr="00A23CC5" w:rsidRDefault="009E5FE4" w:rsidP="004F74BF">
            <w:pPr>
              <w:spacing w:after="0" w:line="240" w:lineRule="auto"/>
              <w:jc w:val="center"/>
              <w:rPr>
                <w:rFonts w:ascii="Adobe Caslon Pro" w:eastAsia="Times New Roman" w:hAnsi="Adobe Caslon Pro"/>
                <w:color w:val="000000"/>
                <w:sz w:val="20"/>
                <w:szCs w:val="20"/>
                <w:lang w:eastAsia="es-MX"/>
              </w:rPr>
            </w:pPr>
            <w:r w:rsidRPr="00A23CC5">
              <w:rPr>
                <w:rFonts w:ascii="Adobe Caslon Pro" w:eastAsia="Times New Roman" w:hAnsi="Adobe Caslon Pro"/>
                <w:color w:val="000000"/>
                <w:sz w:val="20"/>
                <w:szCs w:val="20"/>
                <w:lang w:eastAsia="es-MX"/>
              </w:rPr>
              <w:t>6,100</w:t>
            </w:r>
          </w:p>
        </w:tc>
        <w:tc>
          <w:tcPr>
            <w:tcW w:w="1898" w:type="dxa"/>
            <w:tcBorders>
              <w:top w:val="nil"/>
              <w:left w:val="nil"/>
              <w:bottom w:val="single" w:sz="4" w:space="0" w:color="auto"/>
              <w:right w:val="single" w:sz="4" w:space="0" w:color="auto"/>
            </w:tcBorders>
            <w:shd w:val="clear" w:color="auto" w:fill="auto"/>
            <w:vAlign w:val="center"/>
            <w:hideMark/>
          </w:tcPr>
          <w:p w:rsidR="009E5FE4" w:rsidRPr="000D62D1" w:rsidRDefault="009E5FE4" w:rsidP="004F74BF">
            <w:pPr>
              <w:spacing w:after="0" w:line="240" w:lineRule="auto"/>
              <w:jc w:val="center"/>
              <w:rPr>
                <w:rFonts w:ascii="Adobe Caslon Pro" w:eastAsia="Times New Roman" w:hAnsi="Adobe Caslon Pro"/>
                <w:color w:val="000000"/>
                <w:sz w:val="20"/>
                <w:szCs w:val="20"/>
                <w:lang w:eastAsia="es-MX"/>
              </w:rPr>
            </w:pPr>
            <w:r w:rsidRPr="000D62D1">
              <w:rPr>
                <w:rFonts w:ascii="Adobe Caslon Pro" w:eastAsia="Times New Roman" w:hAnsi="Adobe Caslon Pro"/>
                <w:color w:val="000000"/>
                <w:sz w:val="20"/>
                <w:szCs w:val="20"/>
                <w:lang w:eastAsia="es-MX"/>
              </w:rPr>
              <w:t>6,798</w:t>
            </w:r>
          </w:p>
        </w:tc>
        <w:tc>
          <w:tcPr>
            <w:tcW w:w="1071" w:type="dxa"/>
            <w:tcBorders>
              <w:top w:val="nil"/>
              <w:left w:val="nil"/>
              <w:bottom w:val="single" w:sz="4" w:space="0" w:color="auto"/>
              <w:right w:val="single" w:sz="4" w:space="0" w:color="auto"/>
            </w:tcBorders>
            <w:shd w:val="clear" w:color="auto" w:fill="auto"/>
            <w:vAlign w:val="center"/>
            <w:hideMark/>
          </w:tcPr>
          <w:p w:rsidR="009E5FE4" w:rsidRPr="000D62D1" w:rsidRDefault="009E5FE4" w:rsidP="004F74BF">
            <w:pPr>
              <w:spacing w:after="0" w:line="240" w:lineRule="auto"/>
              <w:jc w:val="center"/>
              <w:rPr>
                <w:rFonts w:ascii="Adobe Caslon Pro" w:eastAsia="Times New Roman" w:hAnsi="Adobe Caslon Pro"/>
                <w:color w:val="000000"/>
                <w:sz w:val="20"/>
                <w:szCs w:val="20"/>
                <w:lang w:eastAsia="es-MX"/>
              </w:rPr>
            </w:pPr>
            <w:r w:rsidRPr="000D62D1">
              <w:rPr>
                <w:rFonts w:ascii="Adobe Caslon Pro" w:eastAsia="Times New Roman" w:hAnsi="Adobe Caslon Pro"/>
                <w:color w:val="000000"/>
                <w:sz w:val="20"/>
                <w:szCs w:val="20"/>
                <w:lang w:eastAsia="es-MX"/>
              </w:rPr>
              <w:t>81%</w:t>
            </w:r>
          </w:p>
        </w:tc>
        <w:tc>
          <w:tcPr>
            <w:tcW w:w="3116" w:type="dxa"/>
            <w:tcBorders>
              <w:top w:val="nil"/>
              <w:left w:val="nil"/>
              <w:bottom w:val="single" w:sz="4" w:space="0" w:color="auto"/>
              <w:right w:val="single" w:sz="4" w:space="0" w:color="auto"/>
            </w:tcBorders>
            <w:shd w:val="clear" w:color="auto" w:fill="auto"/>
            <w:vAlign w:val="center"/>
            <w:hideMark/>
          </w:tcPr>
          <w:p w:rsidR="009E5FE4" w:rsidRPr="000D62D1" w:rsidRDefault="009E5FE4" w:rsidP="004F74BF">
            <w:pPr>
              <w:spacing w:after="0" w:line="240" w:lineRule="auto"/>
              <w:jc w:val="center"/>
              <w:rPr>
                <w:rFonts w:ascii="Adobe Caslon Pro" w:eastAsia="Times New Roman" w:hAnsi="Adobe Caslon Pro"/>
                <w:color w:val="000000"/>
                <w:sz w:val="20"/>
                <w:szCs w:val="20"/>
                <w:lang w:eastAsia="es-MX"/>
              </w:rPr>
            </w:pPr>
            <w:r w:rsidRPr="000D62D1">
              <w:rPr>
                <w:rFonts w:ascii="Adobe Caslon Pro" w:eastAsia="Times New Roman" w:hAnsi="Adobe Caslon Pro"/>
                <w:color w:val="000000"/>
                <w:sz w:val="20"/>
                <w:szCs w:val="20"/>
                <w:lang w:eastAsia="es-MX"/>
              </w:rPr>
              <w:t>1,732,118,563</w:t>
            </w:r>
          </w:p>
        </w:tc>
      </w:tr>
      <w:tr w:rsidR="009E5FE4" w:rsidRPr="000D62D1" w:rsidTr="004F74BF">
        <w:trPr>
          <w:trHeight w:val="345"/>
          <w:jc w:val="center"/>
        </w:trPr>
        <w:tc>
          <w:tcPr>
            <w:tcW w:w="1198" w:type="dxa"/>
            <w:tcBorders>
              <w:top w:val="nil"/>
              <w:left w:val="single" w:sz="4" w:space="0" w:color="auto"/>
              <w:bottom w:val="single" w:sz="4" w:space="0" w:color="auto"/>
              <w:right w:val="single" w:sz="4" w:space="0" w:color="auto"/>
            </w:tcBorders>
            <w:shd w:val="clear" w:color="auto" w:fill="auto"/>
            <w:vAlign w:val="center"/>
            <w:hideMark/>
          </w:tcPr>
          <w:p w:rsidR="009E5FE4" w:rsidRPr="000D62D1" w:rsidRDefault="009E5FE4" w:rsidP="004F74BF">
            <w:pPr>
              <w:spacing w:after="0" w:line="240" w:lineRule="auto"/>
              <w:jc w:val="center"/>
              <w:rPr>
                <w:rFonts w:ascii="Adobe Caslon Pro" w:eastAsia="Times New Roman" w:hAnsi="Adobe Caslon Pro"/>
                <w:color w:val="000000"/>
                <w:sz w:val="20"/>
                <w:szCs w:val="20"/>
                <w:lang w:eastAsia="es-MX"/>
              </w:rPr>
            </w:pPr>
            <w:r w:rsidRPr="000D62D1">
              <w:rPr>
                <w:rFonts w:ascii="Adobe Caslon Pro" w:eastAsia="Times New Roman" w:hAnsi="Adobe Caslon Pro"/>
                <w:color w:val="000000"/>
                <w:sz w:val="20"/>
                <w:szCs w:val="20"/>
                <w:lang w:eastAsia="es-MX"/>
              </w:rPr>
              <w:t>2018</w:t>
            </w:r>
          </w:p>
        </w:tc>
        <w:tc>
          <w:tcPr>
            <w:tcW w:w="2357" w:type="dxa"/>
            <w:tcBorders>
              <w:top w:val="nil"/>
              <w:left w:val="nil"/>
              <w:bottom w:val="single" w:sz="4" w:space="0" w:color="auto"/>
              <w:right w:val="single" w:sz="4" w:space="0" w:color="auto"/>
            </w:tcBorders>
            <w:shd w:val="clear" w:color="auto" w:fill="auto"/>
            <w:vAlign w:val="bottom"/>
            <w:hideMark/>
          </w:tcPr>
          <w:p w:rsidR="009E5FE4" w:rsidRPr="00A23CC5" w:rsidRDefault="009E5FE4" w:rsidP="004F74BF">
            <w:pPr>
              <w:spacing w:after="0" w:line="240" w:lineRule="auto"/>
              <w:jc w:val="center"/>
              <w:rPr>
                <w:rFonts w:ascii="Adobe Caslon Pro" w:eastAsia="Times New Roman" w:hAnsi="Adobe Caslon Pro"/>
                <w:color w:val="000000"/>
                <w:sz w:val="20"/>
                <w:szCs w:val="20"/>
                <w:lang w:eastAsia="es-MX"/>
              </w:rPr>
            </w:pPr>
            <w:r w:rsidRPr="00A23CC5">
              <w:rPr>
                <w:rFonts w:ascii="Adobe Caslon Pro" w:eastAsia="Times New Roman" w:hAnsi="Adobe Caslon Pro"/>
                <w:color w:val="000000"/>
                <w:sz w:val="20"/>
                <w:szCs w:val="20"/>
                <w:lang w:eastAsia="es-MX"/>
              </w:rPr>
              <w:t>6,395</w:t>
            </w:r>
          </w:p>
        </w:tc>
        <w:tc>
          <w:tcPr>
            <w:tcW w:w="1898" w:type="dxa"/>
            <w:tcBorders>
              <w:top w:val="nil"/>
              <w:left w:val="nil"/>
              <w:bottom w:val="single" w:sz="4" w:space="0" w:color="auto"/>
              <w:right w:val="single" w:sz="4" w:space="0" w:color="auto"/>
            </w:tcBorders>
            <w:shd w:val="clear" w:color="auto" w:fill="auto"/>
            <w:vAlign w:val="center"/>
            <w:hideMark/>
          </w:tcPr>
          <w:p w:rsidR="009E5FE4" w:rsidRPr="000D62D1" w:rsidRDefault="009E5FE4" w:rsidP="004F74BF">
            <w:pPr>
              <w:spacing w:after="0" w:line="240" w:lineRule="auto"/>
              <w:jc w:val="center"/>
              <w:rPr>
                <w:rFonts w:ascii="Adobe Caslon Pro" w:eastAsia="Times New Roman" w:hAnsi="Adobe Caslon Pro"/>
                <w:color w:val="000000"/>
                <w:sz w:val="20"/>
                <w:szCs w:val="20"/>
                <w:lang w:eastAsia="es-MX"/>
              </w:rPr>
            </w:pPr>
            <w:r w:rsidRPr="000D62D1">
              <w:rPr>
                <w:rFonts w:ascii="Adobe Caslon Pro" w:eastAsia="Times New Roman" w:hAnsi="Adobe Caslon Pro"/>
                <w:color w:val="000000"/>
                <w:sz w:val="20"/>
                <w:szCs w:val="20"/>
                <w:lang w:eastAsia="es-MX"/>
              </w:rPr>
              <w:t>9,990</w:t>
            </w:r>
          </w:p>
        </w:tc>
        <w:tc>
          <w:tcPr>
            <w:tcW w:w="1071" w:type="dxa"/>
            <w:tcBorders>
              <w:top w:val="nil"/>
              <w:left w:val="nil"/>
              <w:bottom w:val="single" w:sz="4" w:space="0" w:color="auto"/>
              <w:right w:val="single" w:sz="4" w:space="0" w:color="auto"/>
            </w:tcBorders>
            <w:shd w:val="clear" w:color="auto" w:fill="auto"/>
            <w:vAlign w:val="center"/>
            <w:hideMark/>
          </w:tcPr>
          <w:p w:rsidR="009E5FE4" w:rsidRPr="000D62D1" w:rsidRDefault="009E5FE4" w:rsidP="004F74BF">
            <w:pPr>
              <w:spacing w:after="0" w:line="240" w:lineRule="auto"/>
              <w:jc w:val="center"/>
              <w:rPr>
                <w:rFonts w:ascii="Adobe Caslon Pro" w:eastAsia="Times New Roman" w:hAnsi="Adobe Caslon Pro"/>
                <w:color w:val="000000"/>
                <w:sz w:val="20"/>
                <w:szCs w:val="20"/>
                <w:lang w:eastAsia="es-MX"/>
              </w:rPr>
            </w:pPr>
            <w:r w:rsidRPr="000D62D1">
              <w:rPr>
                <w:rFonts w:ascii="Adobe Caslon Pro" w:eastAsia="Times New Roman" w:hAnsi="Adobe Caslon Pro"/>
                <w:color w:val="000000"/>
                <w:sz w:val="20"/>
                <w:szCs w:val="20"/>
                <w:lang w:eastAsia="es-MX"/>
              </w:rPr>
              <w:t>100%</w:t>
            </w:r>
          </w:p>
        </w:tc>
        <w:tc>
          <w:tcPr>
            <w:tcW w:w="3116" w:type="dxa"/>
            <w:tcBorders>
              <w:top w:val="nil"/>
              <w:left w:val="nil"/>
              <w:bottom w:val="single" w:sz="4" w:space="0" w:color="auto"/>
              <w:right w:val="single" w:sz="4" w:space="0" w:color="auto"/>
            </w:tcBorders>
            <w:shd w:val="clear" w:color="auto" w:fill="auto"/>
            <w:vAlign w:val="center"/>
            <w:hideMark/>
          </w:tcPr>
          <w:p w:rsidR="009E5FE4" w:rsidRPr="000D62D1" w:rsidRDefault="009E5FE4" w:rsidP="004F74BF">
            <w:pPr>
              <w:spacing w:after="0" w:line="240" w:lineRule="auto"/>
              <w:jc w:val="center"/>
              <w:rPr>
                <w:rFonts w:ascii="Adobe Caslon Pro" w:eastAsia="Times New Roman" w:hAnsi="Adobe Caslon Pro"/>
                <w:color w:val="000000"/>
                <w:sz w:val="20"/>
                <w:szCs w:val="20"/>
                <w:lang w:eastAsia="es-MX"/>
              </w:rPr>
            </w:pPr>
            <w:r w:rsidRPr="000D62D1">
              <w:rPr>
                <w:rFonts w:ascii="Adobe Caslon Pro" w:eastAsia="Times New Roman" w:hAnsi="Adobe Caslon Pro"/>
                <w:color w:val="000000"/>
                <w:sz w:val="20"/>
                <w:szCs w:val="20"/>
                <w:lang w:eastAsia="es-MX"/>
              </w:rPr>
              <w:t>2,545,427,025</w:t>
            </w:r>
          </w:p>
        </w:tc>
      </w:tr>
    </w:tbl>
    <w:p w:rsidR="008F5529" w:rsidRDefault="008F5529" w:rsidP="00026506">
      <w:pPr>
        <w:spacing w:before="240"/>
        <w:jc w:val="both"/>
        <w:rPr>
          <w:rFonts w:ascii="Adobe Caslon Pro" w:hAnsi="Adobe Caslon Pro" w:cs="Arial"/>
          <w:sz w:val="18"/>
        </w:rPr>
      </w:pPr>
      <w:r w:rsidRPr="000907D3">
        <w:rPr>
          <w:rFonts w:ascii="Adobe Caslon Pro" w:hAnsi="Adobe Caslon Pro" w:cs="Arial"/>
          <w:sz w:val="18"/>
        </w:rPr>
        <w:t xml:space="preserve">Fuente. Elaboración propia con datos del </w:t>
      </w:r>
      <w:r w:rsidR="002F714E">
        <w:rPr>
          <w:rFonts w:ascii="Adobe Caslon Pro" w:hAnsi="Adobe Caslon Pro" w:cs="Arial"/>
          <w:sz w:val="18"/>
        </w:rPr>
        <w:t>INDESOL</w:t>
      </w:r>
    </w:p>
    <w:p w:rsidR="00073E29" w:rsidRPr="00073E29" w:rsidRDefault="00CF536D" w:rsidP="00073E29">
      <w:pPr>
        <w:pStyle w:val="Default"/>
        <w:spacing w:after="120" w:line="276" w:lineRule="auto"/>
        <w:jc w:val="both"/>
        <w:rPr>
          <w:rFonts w:ascii="Adobe Caslon Pro" w:hAnsi="Adobe Caslon Pro" w:cs="Arial"/>
          <w:sz w:val="22"/>
          <w:szCs w:val="22"/>
        </w:rPr>
      </w:pPr>
      <w:r w:rsidRPr="000907D3">
        <w:rPr>
          <w:rFonts w:ascii="Adobe Caslon Pro" w:hAnsi="Adobe Caslon Pro" w:cs="Arial"/>
          <w:sz w:val="22"/>
          <w:szCs w:val="22"/>
        </w:rPr>
        <w:t>Como puede observarse, con el monto de apoyo promedio constante, es necesario multiplicar por casi 10 veces el presupuesto otorgado en 2013 para lograr la cobertura total de las OSC que se estima que presenten proyectos elegibles en el año 2018. En los hechos, es un escenario poco factible de lograr, toda vez que en 2013 el programa tuvo una reducción de su presupuesto de alrededor de 84 millones de pesos</w:t>
      </w:r>
      <w:r w:rsidR="007E798C">
        <w:rPr>
          <w:rFonts w:ascii="Adobe Caslon Pro" w:hAnsi="Adobe Caslon Pro" w:cs="Arial"/>
          <w:sz w:val="22"/>
          <w:szCs w:val="22"/>
        </w:rPr>
        <w:t xml:space="preserve"> (CEFP, 2013)</w:t>
      </w:r>
      <w:r w:rsidRPr="000907D3">
        <w:rPr>
          <w:rFonts w:ascii="Adobe Caslon Pro" w:hAnsi="Adobe Caslon Pro" w:cs="Arial"/>
          <w:sz w:val="22"/>
          <w:szCs w:val="22"/>
        </w:rPr>
        <w:t xml:space="preserve">. Lo anterior, da elementos adicionales para reiterar que es recomendable que el PCS focalice </w:t>
      </w:r>
      <w:r w:rsidR="00233814" w:rsidRPr="000907D3">
        <w:rPr>
          <w:rFonts w:ascii="Adobe Caslon Pro" w:hAnsi="Adobe Caslon Pro" w:cs="Arial"/>
          <w:sz w:val="22"/>
          <w:szCs w:val="22"/>
        </w:rPr>
        <w:t>sus</w:t>
      </w:r>
      <w:r w:rsidRPr="000907D3">
        <w:rPr>
          <w:rFonts w:ascii="Adobe Caslon Pro" w:hAnsi="Adobe Caslon Pro" w:cs="Arial"/>
          <w:sz w:val="22"/>
          <w:szCs w:val="22"/>
        </w:rPr>
        <w:t xml:space="preserve"> apoy</w:t>
      </w:r>
      <w:r w:rsidR="00233814" w:rsidRPr="000907D3">
        <w:rPr>
          <w:rFonts w:ascii="Adobe Caslon Pro" w:hAnsi="Adobe Caslon Pro" w:cs="Arial"/>
          <w:sz w:val="22"/>
          <w:szCs w:val="22"/>
        </w:rPr>
        <w:t>os</w:t>
      </w:r>
      <w:r w:rsidR="005342F3">
        <w:rPr>
          <w:rFonts w:ascii="Adobe Caslon Pro" w:hAnsi="Adobe Caslon Pro" w:cs="Arial"/>
          <w:sz w:val="22"/>
          <w:szCs w:val="22"/>
        </w:rPr>
        <w:t xml:space="preserve"> </w:t>
      </w:r>
      <w:r w:rsidR="00233814" w:rsidRPr="000907D3">
        <w:rPr>
          <w:rFonts w:ascii="Adobe Caslon Pro" w:hAnsi="Adobe Caslon Pro" w:cs="Arial"/>
          <w:sz w:val="22"/>
          <w:szCs w:val="22"/>
        </w:rPr>
        <w:t>para</w:t>
      </w:r>
      <w:r w:rsidRPr="000907D3">
        <w:rPr>
          <w:rFonts w:ascii="Adobe Caslon Pro" w:hAnsi="Adobe Caslon Pro" w:cs="Arial"/>
          <w:sz w:val="22"/>
          <w:szCs w:val="22"/>
        </w:rPr>
        <w:t xml:space="preserve"> aquellas vertientes directamente vinculadas con el Desarrollo Social. Para apoyar el resto de las vertientes que no se vinculan al Desarrollo Social, el </w:t>
      </w:r>
      <w:r w:rsidR="002F714E">
        <w:rPr>
          <w:rFonts w:ascii="Adobe Caslon Pro" w:hAnsi="Adobe Caslon Pro" w:cs="Arial"/>
          <w:sz w:val="22"/>
          <w:szCs w:val="22"/>
        </w:rPr>
        <w:t>INDESOL</w:t>
      </w:r>
      <w:r w:rsidRPr="000907D3">
        <w:rPr>
          <w:rFonts w:ascii="Adobe Caslon Pro" w:hAnsi="Adobe Caslon Pro" w:cs="Arial"/>
          <w:sz w:val="22"/>
          <w:szCs w:val="22"/>
        </w:rPr>
        <w:t xml:space="preserve"> podría ejercer su capacidad de coordinación interinstitucional</w:t>
      </w:r>
      <w:r w:rsidR="00233814" w:rsidRPr="000907D3">
        <w:rPr>
          <w:rFonts w:ascii="Adobe Caslon Pro" w:hAnsi="Adobe Caslon Pro" w:cs="Arial"/>
          <w:sz w:val="22"/>
          <w:szCs w:val="22"/>
        </w:rPr>
        <w:t>,</w:t>
      </w:r>
      <w:r w:rsidRPr="000907D3">
        <w:rPr>
          <w:rFonts w:ascii="Adobe Caslon Pro" w:hAnsi="Adobe Caslon Pro" w:cs="Arial"/>
          <w:sz w:val="22"/>
          <w:szCs w:val="22"/>
        </w:rPr>
        <w:t xml:space="preserve"> para financiar con recursos </w:t>
      </w:r>
      <w:r w:rsidR="00233814" w:rsidRPr="000907D3">
        <w:rPr>
          <w:rFonts w:ascii="Adobe Caslon Pro" w:hAnsi="Adobe Caslon Pro" w:cs="Arial"/>
          <w:sz w:val="22"/>
          <w:szCs w:val="22"/>
        </w:rPr>
        <w:t xml:space="preserve">provenientes </w:t>
      </w:r>
      <w:r w:rsidRPr="000907D3">
        <w:rPr>
          <w:rFonts w:ascii="Adobe Caslon Pro" w:hAnsi="Adobe Caslon Pro" w:cs="Arial"/>
          <w:sz w:val="22"/>
          <w:szCs w:val="22"/>
        </w:rPr>
        <w:t xml:space="preserve">de las diversas dependencias las convocatorias específicas que </w:t>
      </w:r>
      <w:r w:rsidR="00233814" w:rsidRPr="000907D3">
        <w:rPr>
          <w:rFonts w:ascii="Adobe Caslon Pro" w:hAnsi="Adobe Caslon Pro" w:cs="Arial"/>
          <w:sz w:val="22"/>
          <w:szCs w:val="22"/>
        </w:rPr>
        <w:t xml:space="preserve">por sí mismo </w:t>
      </w:r>
      <w:bookmarkStart w:id="196" w:name="_Toc380855743"/>
      <w:bookmarkStart w:id="197" w:name="_Toc263896863"/>
      <w:r w:rsidR="00073E29">
        <w:rPr>
          <w:rFonts w:ascii="Adobe Caslon Pro" w:hAnsi="Adobe Caslon Pro" w:cs="Arial"/>
          <w:sz w:val="22"/>
          <w:szCs w:val="22"/>
        </w:rPr>
        <w:t>l no puede abarcar.</w:t>
      </w:r>
    </w:p>
    <w:p w:rsidR="00073E29" w:rsidRDefault="00073E29" w:rsidP="00073E29">
      <w:pPr>
        <w:pStyle w:val="Normal3"/>
        <w:spacing w:after="120"/>
        <w:rPr>
          <w:rFonts w:ascii="Adobe Caslon Pro" w:hAnsi="Adobe Caslon Pro"/>
          <w:b/>
          <w:sz w:val="22"/>
        </w:rPr>
      </w:pPr>
    </w:p>
    <w:p w:rsidR="00CF536D" w:rsidRDefault="00CF536D" w:rsidP="00073E29">
      <w:pPr>
        <w:pStyle w:val="Normal3"/>
        <w:spacing w:after="120"/>
        <w:rPr>
          <w:rFonts w:ascii="Adobe Caslon Pro" w:hAnsi="Adobe Caslon Pro"/>
          <w:b/>
          <w:sz w:val="22"/>
        </w:rPr>
      </w:pPr>
      <w:r w:rsidRPr="00A037D2">
        <w:rPr>
          <w:rFonts w:ascii="Adobe Caslon Pro" w:hAnsi="Adobe Caslon Pro"/>
          <w:b/>
          <w:sz w:val="22"/>
        </w:rPr>
        <w:lastRenderedPageBreak/>
        <w:t>Previsiones para la integración y operación de padrones: Explicar las características del padrón de beneficiarios y cómo se prevé integrarlo y actualizarlo</w:t>
      </w:r>
      <w:bookmarkEnd w:id="196"/>
      <w:bookmarkEnd w:id="197"/>
    </w:p>
    <w:p w:rsidR="004E5EB0" w:rsidRPr="001F61D2" w:rsidRDefault="004E5EB0" w:rsidP="00026506">
      <w:pPr>
        <w:pStyle w:val="Normal3"/>
        <w:spacing w:before="240"/>
        <w:rPr>
          <w:rFonts w:ascii="Adobe Caslon Pro" w:hAnsi="Adobe Caslon Pro"/>
          <w:sz w:val="22"/>
          <w:szCs w:val="22"/>
        </w:rPr>
      </w:pPr>
      <w:r w:rsidRPr="001F61D2">
        <w:rPr>
          <w:rFonts w:ascii="Adobe Caslon Pro" w:hAnsi="Adobe Caslon Pro"/>
          <w:sz w:val="22"/>
          <w:szCs w:val="22"/>
        </w:rPr>
        <w:t xml:space="preserve">El tener un adecuado padrón de beneficiarios permite dar transparencia en la aplicación de los recursos de los programas sociales, y es la base para la planeación y evaluación de las acciones. Asimismo, permite detectar duplicidades en la entrega de recursos y realización de acciones. Para lograr lo anterior, la SEDESOL emitió los “Lineamientos Normativos para la Integración del Padrón Único de Beneficiarios” disponibles en http://www.normateca.sedesol.gob.mx/work/models/NORMATECA/Normateca/1_Menu_Principal/2_Normas/2_Sustantivas/Lineamientos_PUB.pdf, los cuales tienen como uno de sus objetivos determinar la estructura de datos y catálogos para homologar y estandarizar los padrones de beneficiarios para su incorporación al Padrón Único de Beneficiarios (PUB), en el que se integran los beneficios que fueron entregados por parte de los programas sociales. </w:t>
      </w:r>
      <w:r w:rsidR="00551F25" w:rsidRPr="001F61D2">
        <w:rPr>
          <w:rFonts w:ascii="Adobe Caslon Pro" w:hAnsi="Adobe Caslon Pro"/>
          <w:sz w:val="22"/>
          <w:szCs w:val="22"/>
        </w:rPr>
        <w:t xml:space="preserve">Al respecto, </w:t>
      </w:r>
      <w:r w:rsidR="0015405C" w:rsidRPr="001F61D2">
        <w:rPr>
          <w:rFonts w:ascii="Adobe Caslon Pro" w:hAnsi="Adobe Caslon Pro"/>
          <w:sz w:val="22"/>
          <w:szCs w:val="22"/>
        </w:rPr>
        <w:t xml:space="preserve">de acuerdo  </w:t>
      </w:r>
      <w:r w:rsidR="00E86B68" w:rsidRPr="001F61D2">
        <w:rPr>
          <w:rFonts w:ascii="Adobe Caslon Pro" w:hAnsi="Adobe Caslon Pro"/>
          <w:sz w:val="22"/>
          <w:szCs w:val="22"/>
        </w:rPr>
        <w:t xml:space="preserve">a lo que  </w:t>
      </w:r>
      <w:r w:rsidR="0015405C" w:rsidRPr="001F61D2">
        <w:rPr>
          <w:rFonts w:ascii="Adobe Caslon Pro" w:hAnsi="Adobe Caslon Pro"/>
          <w:sz w:val="22"/>
          <w:szCs w:val="22"/>
        </w:rPr>
        <w:t xml:space="preserve">determine </w:t>
      </w:r>
      <w:r w:rsidR="00E86B68" w:rsidRPr="001F61D2">
        <w:rPr>
          <w:rFonts w:ascii="Adobe Caslon Pro" w:hAnsi="Adobe Caslon Pro"/>
          <w:sz w:val="22"/>
          <w:szCs w:val="22"/>
        </w:rPr>
        <w:t xml:space="preserve">el PCS </w:t>
      </w:r>
      <w:r w:rsidR="0015405C" w:rsidRPr="001F61D2">
        <w:rPr>
          <w:rFonts w:ascii="Adobe Caslon Pro" w:hAnsi="Adobe Caslon Pro"/>
          <w:sz w:val="22"/>
          <w:szCs w:val="22"/>
        </w:rPr>
        <w:t xml:space="preserve">en colaboración con la </w:t>
      </w:r>
      <w:r w:rsidR="00874EC3">
        <w:rPr>
          <w:rFonts w:ascii="Adobe Caslon Pro" w:hAnsi="Adobe Caslon Pro"/>
          <w:sz w:val="22"/>
          <w:szCs w:val="22"/>
        </w:rPr>
        <w:t>SPPE</w:t>
      </w:r>
      <w:r w:rsidR="001F61D2">
        <w:rPr>
          <w:rFonts w:ascii="Adobe Caslon Pro" w:hAnsi="Adobe Caslon Pro"/>
          <w:sz w:val="22"/>
          <w:szCs w:val="22"/>
        </w:rPr>
        <w:t xml:space="preserve"> de la S</w:t>
      </w:r>
      <w:r w:rsidR="00874EC3">
        <w:rPr>
          <w:rFonts w:ascii="Adobe Caslon Pro" w:hAnsi="Adobe Caslon Pro"/>
          <w:sz w:val="22"/>
          <w:szCs w:val="22"/>
        </w:rPr>
        <w:t>EDESOL</w:t>
      </w:r>
      <w:r w:rsidR="001F61D2">
        <w:rPr>
          <w:rFonts w:ascii="Adobe Caslon Pro" w:hAnsi="Adobe Caslon Pro"/>
          <w:sz w:val="22"/>
          <w:szCs w:val="22"/>
        </w:rPr>
        <w:t>, a través de la</w:t>
      </w:r>
      <w:r w:rsidR="0015405C" w:rsidRPr="001F61D2">
        <w:rPr>
          <w:rFonts w:ascii="Adobe Caslon Pro" w:hAnsi="Adobe Caslon Pro"/>
          <w:sz w:val="22"/>
          <w:szCs w:val="22"/>
        </w:rPr>
        <w:t xml:space="preserve"> D</w:t>
      </w:r>
      <w:r w:rsidR="00E86B68" w:rsidRPr="001F61D2">
        <w:rPr>
          <w:rFonts w:ascii="Adobe Caslon Pro" w:hAnsi="Adobe Caslon Pro"/>
          <w:sz w:val="22"/>
          <w:szCs w:val="22"/>
        </w:rPr>
        <w:t xml:space="preserve">irección </w:t>
      </w:r>
      <w:r w:rsidR="0015405C" w:rsidRPr="001F61D2">
        <w:rPr>
          <w:rFonts w:ascii="Adobe Caslon Pro" w:hAnsi="Adobe Caslon Pro"/>
          <w:sz w:val="22"/>
          <w:szCs w:val="22"/>
        </w:rPr>
        <w:t>G</w:t>
      </w:r>
      <w:r w:rsidR="001F61D2">
        <w:rPr>
          <w:rFonts w:ascii="Adobe Caslon Pro" w:hAnsi="Adobe Caslon Pro"/>
          <w:sz w:val="22"/>
          <w:szCs w:val="22"/>
        </w:rPr>
        <w:t>eneral</w:t>
      </w:r>
      <w:r w:rsidR="00E86B68" w:rsidRPr="001F61D2">
        <w:rPr>
          <w:rFonts w:ascii="Adobe Caslon Pro" w:hAnsi="Adobe Caslon Pro"/>
          <w:sz w:val="22"/>
          <w:szCs w:val="22"/>
        </w:rPr>
        <w:t xml:space="preserve"> de </w:t>
      </w:r>
      <w:r w:rsidR="0015405C" w:rsidRPr="001F61D2">
        <w:rPr>
          <w:rFonts w:ascii="Adobe Caslon Pro" w:hAnsi="Adobe Caslon Pro"/>
          <w:sz w:val="22"/>
          <w:szCs w:val="22"/>
        </w:rPr>
        <w:t>G</w:t>
      </w:r>
      <w:r w:rsidR="001F61D2">
        <w:rPr>
          <w:rFonts w:ascii="Adobe Caslon Pro" w:hAnsi="Adobe Caslon Pro"/>
          <w:sz w:val="22"/>
          <w:szCs w:val="22"/>
        </w:rPr>
        <w:t xml:space="preserve">eoestadística, </w:t>
      </w:r>
      <w:r w:rsidR="00E86B68" w:rsidRPr="001F61D2">
        <w:rPr>
          <w:rFonts w:ascii="Adobe Caslon Pro" w:hAnsi="Adobe Caslon Pro"/>
          <w:sz w:val="22"/>
          <w:szCs w:val="22"/>
        </w:rPr>
        <w:t xml:space="preserve">y </w:t>
      </w:r>
      <w:r w:rsidR="001F61D2">
        <w:rPr>
          <w:rFonts w:ascii="Adobe Caslon Pro" w:hAnsi="Adobe Caslon Pro"/>
          <w:sz w:val="22"/>
          <w:szCs w:val="22"/>
        </w:rPr>
        <w:t>conforme</w:t>
      </w:r>
      <w:r w:rsidR="00E86B68" w:rsidRPr="001F61D2">
        <w:rPr>
          <w:rFonts w:ascii="Adobe Caslon Pro" w:hAnsi="Adobe Caslon Pro"/>
          <w:sz w:val="22"/>
          <w:szCs w:val="22"/>
        </w:rPr>
        <w:t xml:space="preserve"> a la </w:t>
      </w:r>
      <w:r w:rsidR="0015405C" w:rsidRPr="001F61D2">
        <w:rPr>
          <w:rFonts w:ascii="Adobe Caslon Pro" w:hAnsi="Adobe Caslon Pro"/>
          <w:sz w:val="22"/>
          <w:szCs w:val="22"/>
        </w:rPr>
        <w:t>operaci</w:t>
      </w:r>
      <w:r w:rsidR="00E86B68" w:rsidRPr="001F61D2">
        <w:rPr>
          <w:rFonts w:ascii="Adobe Caslon Pro" w:hAnsi="Adobe Caslon Pro"/>
          <w:sz w:val="22"/>
          <w:szCs w:val="22"/>
        </w:rPr>
        <w:t>ón y a las</w:t>
      </w:r>
      <w:r w:rsidR="0015405C" w:rsidRPr="001F61D2">
        <w:rPr>
          <w:rFonts w:ascii="Adobe Caslon Pro" w:hAnsi="Adobe Caslon Pro"/>
          <w:sz w:val="22"/>
          <w:szCs w:val="22"/>
        </w:rPr>
        <w:t xml:space="preserve"> necesidades de información del Programa y el Sector</w:t>
      </w:r>
      <w:r w:rsidR="00E86B68" w:rsidRPr="001F61D2">
        <w:rPr>
          <w:rFonts w:ascii="Adobe Caslon Pro" w:hAnsi="Adobe Caslon Pro"/>
          <w:sz w:val="22"/>
          <w:szCs w:val="22"/>
        </w:rPr>
        <w:t>, se podrá emplear alguno de los siguientes tipos de padrones</w:t>
      </w:r>
      <w:r w:rsidR="00551F25" w:rsidRPr="001F61D2">
        <w:rPr>
          <w:rFonts w:ascii="Adobe Caslon Pro" w:hAnsi="Adobe Caslon Pro"/>
          <w:sz w:val="22"/>
          <w:szCs w:val="22"/>
        </w:rPr>
        <w:t>:</w:t>
      </w:r>
    </w:p>
    <w:p w:rsidR="004E5EB0" w:rsidRPr="001F61D2" w:rsidRDefault="004E5EB0" w:rsidP="00026506">
      <w:pPr>
        <w:pStyle w:val="Normal3"/>
        <w:numPr>
          <w:ilvl w:val="0"/>
          <w:numId w:val="41"/>
        </w:numPr>
        <w:spacing w:before="240"/>
        <w:rPr>
          <w:rFonts w:ascii="Adobe Caslon Pro" w:hAnsi="Adobe Caslon Pro"/>
          <w:sz w:val="22"/>
          <w:szCs w:val="22"/>
        </w:rPr>
      </w:pPr>
      <w:r w:rsidRPr="001F61D2">
        <w:rPr>
          <w:rFonts w:ascii="Adobe Caslon Pro" w:hAnsi="Adobe Caslon Pro"/>
          <w:sz w:val="22"/>
          <w:szCs w:val="22"/>
        </w:rPr>
        <w:t>Personas. El registro se distingue por la fecha en la que recibe el beneficio y el tipo de apoyo y se integra a partir de la información captada en el Cuestionario Único de Información Socioeconómica (CUIS).</w:t>
      </w:r>
    </w:p>
    <w:p w:rsidR="004E5EB0" w:rsidRPr="001F61D2" w:rsidRDefault="0025571B" w:rsidP="00026506">
      <w:pPr>
        <w:pStyle w:val="Normal3"/>
        <w:numPr>
          <w:ilvl w:val="0"/>
          <w:numId w:val="41"/>
        </w:numPr>
        <w:spacing w:before="240"/>
        <w:rPr>
          <w:rFonts w:ascii="Adobe Caslon Pro" w:hAnsi="Adobe Caslon Pro"/>
          <w:sz w:val="22"/>
          <w:szCs w:val="22"/>
        </w:rPr>
      </w:pPr>
      <w:r>
        <w:rPr>
          <w:rFonts w:ascii="Adobe Caslon Pro" w:hAnsi="Adobe Caslon Pro"/>
          <w:sz w:val="22"/>
          <w:szCs w:val="22"/>
        </w:rPr>
        <w:t>Actores s</w:t>
      </w:r>
      <w:r w:rsidR="004E5EB0" w:rsidRPr="001F61D2">
        <w:rPr>
          <w:rFonts w:ascii="Adobe Caslon Pro" w:hAnsi="Adobe Caslon Pro"/>
          <w:sz w:val="22"/>
          <w:szCs w:val="22"/>
        </w:rPr>
        <w:t>ociales. Se consideran dos tipos: a) Intermediarios, los que reciben recursos de un programa y con base en la normatividad vigente, focalizan y entregan los recursos y b) Beneficiarios, son los que reciben apoyos o recursos de los programas, o de un Actor Social Intermediario, y hacen uso de ellos. Para la integración de este padrón se requiere al menos la información que captada en el Cuestionario Único de Actores Sociales (CUAS).</w:t>
      </w:r>
    </w:p>
    <w:p w:rsidR="004E5EB0" w:rsidRPr="001F61D2" w:rsidRDefault="004E5EB0" w:rsidP="00026506">
      <w:pPr>
        <w:pStyle w:val="Normal3"/>
        <w:numPr>
          <w:ilvl w:val="0"/>
          <w:numId w:val="41"/>
        </w:numPr>
        <w:spacing w:before="240"/>
        <w:rPr>
          <w:rFonts w:ascii="Adobe Caslon Pro" w:hAnsi="Adobe Caslon Pro"/>
          <w:sz w:val="22"/>
          <w:szCs w:val="22"/>
        </w:rPr>
      </w:pPr>
      <w:r w:rsidRPr="001F61D2">
        <w:rPr>
          <w:rFonts w:ascii="Adobe Caslon Pro" w:hAnsi="Adobe Caslon Pro"/>
          <w:sz w:val="22"/>
          <w:szCs w:val="22"/>
        </w:rPr>
        <w:t xml:space="preserve">Poblaciones beneficiarias de obras de infraestructura o acciones comunitarias. La información solicitada es para almacenar los datos de las obras o acciones de infraestructura social y de servicios de proyectos concluidos que benefician a una población determinada. Para la integración de este </w:t>
      </w:r>
      <w:r w:rsidRPr="001F61D2">
        <w:rPr>
          <w:rFonts w:ascii="Adobe Caslon Pro" w:hAnsi="Adobe Caslon Pro"/>
          <w:sz w:val="22"/>
          <w:szCs w:val="22"/>
        </w:rPr>
        <w:lastRenderedPageBreak/>
        <w:t>padrón se requiere al menos la información que captada en el Cuestionario Único de Obras y Servicios (CUOS).</w:t>
      </w:r>
    </w:p>
    <w:p w:rsidR="001F61D2" w:rsidRDefault="001F61D2" w:rsidP="00026506">
      <w:pPr>
        <w:spacing w:before="240"/>
        <w:jc w:val="both"/>
        <w:rPr>
          <w:rFonts w:ascii="Adobe Caslon Pro" w:eastAsia="Times New Roman" w:hAnsi="Adobe Caslon Pro"/>
          <w:b/>
          <w:bCs/>
          <w:color w:val="C00000"/>
          <w:sz w:val="26"/>
          <w:szCs w:val="26"/>
        </w:rPr>
      </w:pPr>
      <w:r>
        <w:br w:type="page"/>
      </w:r>
    </w:p>
    <w:p w:rsidR="00E61585" w:rsidRPr="000907D3" w:rsidRDefault="009A7A25" w:rsidP="00026506">
      <w:pPr>
        <w:pStyle w:val="Ttulo2"/>
        <w:spacing w:before="240" w:after="240"/>
        <w:jc w:val="both"/>
      </w:pPr>
      <w:bookmarkStart w:id="198" w:name="_Toc391925240"/>
      <w:r>
        <w:lastRenderedPageBreak/>
        <w:t xml:space="preserve">4. </w:t>
      </w:r>
      <w:r w:rsidR="00E61585" w:rsidRPr="000907D3">
        <w:t xml:space="preserve">Conclusiones </w:t>
      </w:r>
      <w:r w:rsidR="00E169EF">
        <w:t>generales</w:t>
      </w:r>
      <w:bookmarkEnd w:id="198"/>
    </w:p>
    <w:p w:rsidR="00E61585" w:rsidRPr="000907D3" w:rsidRDefault="00E61585" w:rsidP="00026506">
      <w:pPr>
        <w:spacing w:before="240"/>
        <w:jc w:val="both"/>
        <w:rPr>
          <w:rFonts w:ascii="Adobe Caslon Pro" w:hAnsi="Adobe Caslon Pro" w:cs="Arial"/>
          <w:bCs/>
          <w:color w:val="000000"/>
        </w:rPr>
      </w:pPr>
      <w:r w:rsidRPr="000907D3">
        <w:rPr>
          <w:rFonts w:ascii="Adobe Caslon Pro" w:hAnsi="Adobe Caslon Pro" w:cs="Arial"/>
          <w:bCs/>
          <w:color w:val="000000"/>
        </w:rPr>
        <w:t xml:space="preserve">El problema central identificado en el árbol de problemas es que existen </w:t>
      </w:r>
      <w:r w:rsidR="0025571B">
        <w:rPr>
          <w:rFonts w:ascii="Adobe Caslon Pro" w:hAnsi="Adobe Caslon Pro" w:cs="Arial"/>
          <w:bCs/>
          <w:i/>
          <w:color w:val="000000"/>
        </w:rPr>
        <w:t>actores sociales</w:t>
      </w:r>
      <w:r w:rsidR="00037A7E" w:rsidRPr="000907D3">
        <w:rPr>
          <w:rFonts w:ascii="Adobe Caslon Pro" w:hAnsi="Adobe Caslon Pro" w:cs="Arial"/>
          <w:bCs/>
          <w:i/>
          <w:color w:val="000000"/>
        </w:rPr>
        <w:t xml:space="preserve"> con capacidad limitada para desarrollar acciones de fomento a la cohesión social y al capital social de grupos y regiones que viven en situación de vulnerabilidad y exclusión.</w:t>
      </w:r>
      <w:r w:rsidR="00A83C3D">
        <w:rPr>
          <w:rFonts w:ascii="Adobe Caslon Pro" w:hAnsi="Adobe Caslon Pro" w:cs="Arial"/>
          <w:bCs/>
          <w:i/>
          <w:color w:val="000000"/>
        </w:rPr>
        <w:t xml:space="preserve"> </w:t>
      </w:r>
      <w:r w:rsidRPr="000907D3">
        <w:rPr>
          <w:rFonts w:ascii="Adobe Caslon Pro" w:hAnsi="Adobe Caslon Pro" w:cs="Arial"/>
          <w:bCs/>
          <w:color w:val="000000"/>
        </w:rPr>
        <w:t>La literatura revisada permite concluir que los nuevos modelos de desarrollo consideran las políticas de fomento de las actividades de los actores sociales como un factor clave para el logro de resultados con un enfoque participativo, de acceso a derechos y de inclusión social, por lo que una intervención pública relacionada es ampliamente justificada.</w:t>
      </w:r>
    </w:p>
    <w:p w:rsidR="00E61585" w:rsidRDefault="00E61585" w:rsidP="00026506">
      <w:pPr>
        <w:spacing w:before="240"/>
        <w:jc w:val="both"/>
        <w:rPr>
          <w:rFonts w:ascii="Adobe Caslon Pro" w:hAnsi="Adobe Caslon Pro" w:cs="Arial"/>
          <w:bCs/>
          <w:color w:val="000000"/>
        </w:rPr>
      </w:pPr>
      <w:r w:rsidRPr="000907D3">
        <w:rPr>
          <w:rFonts w:ascii="Adobe Caslon Pro" w:hAnsi="Adobe Caslon Pro" w:cs="Arial"/>
          <w:bCs/>
          <w:color w:val="000000"/>
        </w:rPr>
        <w:t xml:space="preserve">Por su parte, un insuficiente nivel de involucramiento de los actores sociales en las acciones orientadas al desarrollo social, debido a la existencia de pocos o ineficaces mecanismos que permitan su articulación adecuada con el </w:t>
      </w:r>
      <w:r w:rsidR="00BE60D4">
        <w:rPr>
          <w:rFonts w:ascii="Adobe Caslon Pro" w:hAnsi="Adobe Caslon Pro" w:cs="Arial"/>
          <w:bCs/>
          <w:color w:val="000000"/>
        </w:rPr>
        <w:t>gobierno</w:t>
      </w:r>
      <w:r w:rsidRPr="000907D3">
        <w:rPr>
          <w:rFonts w:ascii="Adobe Caslon Pro" w:hAnsi="Adobe Caslon Pro" w:cs="Arial"/>
          <w:bCs/>
          <w:color w:val="000000"/>
        </w:rPr>
        <w:t xml:space="preserve">. Lo anterior, justifica la necesidad de fortalecer la participación conjunta de los actores sociales y el </w:t>
      </w:r>
      <w:r w:rsidR="00BE60D4">
        <w:rPr>
          <w:rFonts w:ascii="Adobe Caslon Pro" w:hAnsi="Adobe Caslon Pro" w:cs="Arial"/>
          <w:bCs/>
          <w:color w:val="000000"/>
        </w:rPr>
        <w:t>gobierno</w:t>
      </w:r>
      <w:r w:rsidRPr="000907D3">
        <w:rPr>
          <w:rFonts w:ascii="Adobe Caslon Pro" w:hAnsi="Adobe Caslon Pro" w:cs="Arial"/>
          <w:bCs/>
          <w:color w:val="000000"/>
        </w:rPr>
        <w:t xml:space="preserve"> para el logro de fines comunes. Asimismo, los limitados recursos públicos para la realización de acciones por parte de los actores sociales, se traduce en diferentes problemáticas que forman un círculo vicioso que limita la profesionalización de los acores sociales y desalienta la participación ciudadana.</w:t>
      </w:r>
    </w:p>
    <w:p w:rsidR="00E61585" w:rsidRPr="000907D3" w:rsidRDefault="00E61585" w:rsidP="00026506">
      <w:pPr>
        <w:spacing w:before="240"/>
        <w:jc w:val="both"/>
        <w:rPr>
          <w:rFonts w:ascii="Adobe Caslon Pro" w:hAnsi="Adobe Caslon Pro" w:cs="Arial"/>
          <w:bCs/>
          <w:color w:val="000000"/>
        </w:rPr>
      </w:pPr>
      <w:r w:rsidRPr="000907D3">
        <w:rPr>
          <w:rFonts w:ascii="Adobe Caslon Pro" w:hAnsi="Adobe Caslon Pro" w:cs="Arial"/>
          <w:bCs/>
          <w:color w:val="000000"/>
        </w:rPr>
        <w:t xml:space="preserve">Se observa también un desarrollo institucional limitado de los actores sociales caracterizado por insuficiencia de capacidades técnicas, administrativas y operativas que impiden a los actores sociales tener más y mejores alcances con las actividades que realizan. Al mismo tiempo que existe una limitada información sobre el impacto y valor del trabajo de los actores sociales, que resta visibilidad al trabajo realizado por este sector. Adicionalmente, se aprecia una escasa o nula sinergia entre actores sociales que limita el alcance y articulación de sus esfuerzos, así como la generación y socialización de aprendizajes en pro del desarrollo social. </w:t>
      </w:r>
    </w:p>
    <w:p w:rsidR="00E61585" w:rsidRPr="000907D3" w:rsidRDefault="00E61585" w:rsidP="00026506">
      <w:pPr>
        <w:spacing w:before="240"/>
        <w:jc w:val="both"/>
        <w:rPr>
          <w:rFonts w:ascii="Adobe Caslon Pro" w:hAnsi="Adobe Caslon Pro" w:cs="Arial"/>
          <w:bCs/>
          <w:color w:val="000000"/>
        </w:rPr>
      </w:pPr>
      <w:r w:rsidRPr="000907D3">
        <w:rPr>
          <w:rFonts w:ascii="Adobe Caslon Pro" w:hAnsi="Adobe Caslon Pro" w:cs="Arial"/>
          <w:bCs/>
          <w:color w:val="000000"/>
        </w:rPr>
        <w:t xml:space="preserve">En última instancia, las debilidades de los actores sociales pueden generar que tengan una corta vida o alcances limitados, lo que causa una pérdida de conocimiento y la desaparición de la vinculación gestada con la población sobre la que pueden incidir. Como se ha mencionado, los nuevos modelos de desarrollo muestran la importancia de la participación social y comunitaria en los procesos de toma de decisiones y en </w:t>
      </w:r>
      <w:r w:rsidRPr="000907D3">
        <w:rPr>
          <w:rFonts w:ascii="Adobe Caslon Pro" w:hAnsi="Adobe Caslon Pro" w:cs="Arial"/>
          <w:bCs/>
          <w:color w:val="000000"/>
        </w:rPr>
        <w:lastRenderedPageBreak/>
        <w:t>la ejecución y monitoreo de acciones, por tanto, nuevamente, se considera justificado evitar o combatir estos efectos negativos mediante acciones públicas que</w:t>
      </w:r>
      <w:r w:rsidR="00A90481">
        <w:rPr>
          <w:rFonts w:ascii="Adobe Caslon Pro" w:hAnsi="Adobe Caslon Pro" w:cs="Arial"/>
          <w:bCs/>
          <w:color w:val="000000"/>
        </w:rPr>
        <w:t xml:space="preserve"> </w:t>
      </w:r>
      <w:r w:rsidRPr="000907D3">
        <w:rPr>
          <w:rFonts w:ascii="Adobe Caslon Pro" w:hAnsi="Adobe Caslon Pro" w:cs="Arial"/>
          <w:bCs/>
          <w:color w:val="000000"/>
        </w:rPr>
        <w:t>fomenten el trabajo de los actores sociales.</w:t>
      </w:r>
    </w:p>
    <w:p w:rsidR="00E61585" w:rsidRPr="000907D3" w:rsidRDefault="00E61585" w:rsidP="00026506">
      <w:pPr>
        <w:spacing w:before="240"/>
        <w:jc w:val="both"/>
        <w:rPr>
          <w:rFonts w:ascii="Adobe Caslon Pro" w:hAnsi="Adobe Caslon Pro" w:cs="Arial"/>
          <w:bCs/>
          <w:color w:val="000000"/>
        </w:rPr>
      </w:pPr>
      <w:r w:rsidRPr="000907D3">
        <w:rPr>
          <w:rFonts w:ascii="Adobe Caslon Pro" w:hAnsi="Adobe Caslon Pro" w:cs="Arial"/>
          <w:bCs/>
          <w:color w:val="000000"/>
        </w:rPr>
        <w:t xml:space="preserve">Por otro lado, el PCS en general internaliza las mejores prácticas de fondos </w:t>
      </w:r>
      <w:r w:rsidR="00277719">
        <w:rPr>
          <w:rFonts w:ascii="Adobe Caslon Pro" w:hAnsi="Adobe Caslon Pro" w:cs="Arial"/>
          <w:bCs/>
          <w:color w:val="000000"/>
        </w:rPr>
        <w:t xml:space="preserve">concursables para asignar a OSC </w:t>
      </w:r>
      <w:r w:rsidRPr="000907D3">
        <w:rPr>
          <w:rFonts w:ascii="Adobe Caslon Pro" w:hAnsi="Adobe Caslon Pro" w:cs="Arial"/>
          <w:bCs/>
          <w:color w:val="000000"/>
        </w:rPr>
        <w:t>recursos públicos escasos</w:t>
      </w:r>
      <w:r w:rsidR="00277719">
        <w:rPr>
          <w:rFonts w:ascii="Adobe Caslon Pro" w:hAnsi="Adobe Caslon Pro" w:cs="Arial"/>
          <w:bCs/>
          <w:color w:val="000000"/>
        </w:rPr>
        <w:t xml:space="preserve">, buscando contribuir al fortalecimiento de dichos </w:t>
      </w:r>
      <w:r w:rsidR="0025571B">
        <w:rPr>
          <w:rFonts w:ascii="Adobe Caslon Pro" w:hAnsi="Adobe Caslon Pro" w:cs="Arial"/>
          <w:bCs/>
          <w:color w:val="000000"/>
        </w:rPr>
        <w:t>actores sociales</w:t>
      </w:r>
      <w:r w:rsidRPr="000907D3">
        <w:rPr>
          <w:rFonts w:ascii="Adobe Caslon Pro" w:hAnsi="Adobe Caslon Pro" w:cs="Arial"/>
          <w:bCs/>
          <w:color w:val="000000"/>
        </w:rPr>
        <w:t xml:space="preserve">. Los Comités de Dictaminación expresan un balance deseable entre el criterio gubernamental, la sociedad civil y la academia, en procesos transparentes y participativos. Sin embargo, las acciones de cofinanciamiento pueden ser potenciadas si el </w:t>
      </w:r>
      <w:r w:rsidR="002F714E">
        <w:rPr>
          <w:rFonts w:ascii="Adobe Caslon Pro" w:hAnsi="Adobe Caslon Pro" w:cs="Arial"/>
          <w:bCs/>
          <w:color w:val="000000"/>
        </w:rPr>
        <w:t>INDESOL</w:t>
      </w:r>
      <w:r w:rsidRPr="000907D3">
        <w:rPr>
          <w:rFonts w:ascii="Adobe Caslon Pro" w:hAnsi="Adobe Caslon Pro" w:cs="Arial"/>
          <w:bCs/>
          <w:color w:val="000000"/>
        </w:rPr>
        <w:t>, utiliza su liderazgo para construir redes de OSC que den soporte social a la acción pública de la política social. En efecto, un vacío que debe ser cubierto en la política social, es la construcción de redes sociales que generen una masa crítica entorno a los programas sociales.</w:t>
      </w:r>
    </w:p>
    <w:p w:rsidR="00E61585" w:rsidRPr="000907D3" w:rsidRDefault="00E61585" w:rsidP="00026506">
      <w:pPr>
        <w:spacing w:before="240"/>
        <w:jc w:val="both"/>
        <w:rPr>
          <w:rFonts w:ascii="Adobe Caslon Pro" w:hAnsi="Adobe Caslon Pro" w:cs="Arial"/>
          <w:bCs/>
          <w:color w:val="000000"/>
        </w:rPr>
      </w:pPr>
      <w:r w:rsidRPr="000907D3">
        <w:rPr>
          <w:rFonts w:ascii="Adobe Caslon Pro" w:hAnsi="Adobe Caslon Pro" w:cs="Arial"/>
          <w:bCs/>
          <w:color w:val="000000"/>
        </w:rPr>
        <w:t xml:space="preserve">En el marco del PCS, es recomendable fortalecer las capacidades de los actores sociales para el seguimiento, monitoreo y evaluación de sus proyectos. Asimismo, se recomienda considerar que para todo proyecto, una actividad exigible sea la generación de información para la medición de resultados por parte de un tercero. La generalidad de las actividades diluye, igualmente, la responsabilidad de las diversas secretarías y dependencias de </w:t>
      </w:r>
      <w:r w:rsidR="00BE60D4">
        <w:rPr>
          <w:rFonts w:ascii="Adobe Caslon Pro" w:hAnsi="Adobe Caslon Pro" w:cs="Arial"/>
          <w:bCs/>
          <w:color w:val="000000"/>
        </w:rPr>
        <w:t>gobierno</w:t>
      </w:r>
      <w:r w:rsidRPr="000907D3">
        <w:rPr>
          <w:rFonts w:ascii="Adobe Caslon Pro" w:hAnsi="Adobe Caslon Pro" w:cs="Arial"/>
          <w:bCs/>
          <w:color w:val="000000"/>
        </w:rPr>
        <w:t xml:space="preserve"> respecto al cumplimiento de sus obligaciones con la sociedad civil, así como en la designación de programas, proyectos y presupuesto para el fomento de las actividades de las OSC. Es necesario avanzar en una mejor precisión y definición de las actividades a fomentar.</w:t>
      </w:r>
    </w:p>
    <w:p w:rsidR="003B492B" w:rsidRDefault="00E61585" w:rsidP="00026506">
      <w:pPr>
        <w:spacing w:before="240"/>
        <w:jc w:val="both"/>
        <w:rPr>
          <w:rFonts w:ascii="Adobe Caslon Pro" w:hAnsi="Adobe Caslon Pro" w:cs="Arial"/>
          <w:bCs/>
          <w:color w:val="000000"/>
        </w:rPr>
      </w:pPr>
      <w:r w:rsidRPr="000907D3">
        <w:rPr>
          <w:rFonts w:ascii="Adobe Caslon Pro" w:hAnsi="Adobe Caslon Pro" w:cs="Arial"/>
          <w:bCs/>
          <w:color w:val="000000"/>
        </w:rPr>
        <w:t>En la sección del Diagnóstico se encuentra que las limitaciones para realizar acciones de fomento a la cohesión y al capital social de grupos en situación de vulnerabilidad y exclusión pueden ser de diversa índole dependiendo de las características de las OSC. Así, existen, aunque relativamente pocas, OSC con un suficiente desarrollo institucional que al ser apoyadas con recursos públicos pueden ampliar sus acciones y cobertura para lograr objetivos de desarrollo social. En cambio, existe una gran mayoría, cuyo desarrollo institucional es incipiente y por tanto sus capacidades para lograr resultados se encuentran limitadas. Considerando que en la LFFA</w:t>
      </w:r>
      <w:r w:rsidR="007D675A">
        <w:rPr>
          <w:rFonts w:ascii="Adobe Caslon Pro" w:hAnsi="Adobe Caslon Pro" w:cs="Arial"/>
          <w:bCs/>
          <w:color w:val="000000"/>
        </w:rPr>
        <w:t>R</w:t>
      </w:r>
      <w:r w:rsidRPr="000907D3">
        <w:rPr>
          <w:rFonts w:ascii="Adobe Caslon Pro" w:hAnsi="Adobe Caslon Pro" w:cs="Arial"/>
          <w:bCs/>
          <w:color w:val="000000"/>
        </w:rPr>
        <w:t xml:space="preserve">OSC se ha determinado que las OSC son organizaciones de interés público, las acciones de fomento de los diversos programas tendrían que dirigirse a todas las OSC que cumplan con criterios de elegibilidad. </w:t>
      </w:r>
    </w:p>
    <w:p w:rsidR="00A44622" w:rsidRPr="003B492B" w:rsidRDefault="00E61585" w:rsidP="00026506">
      <w:pPr>
        <w:spacing w:before="240"/>
        <w:jc w:val="both"/>
        <w:rPr>
          <w:rFonts w:ascii="Adobe Caslon Pro" w:hAnsi="Adobe Caslon Pro" w:cs="Arial"/>
          <w:bCs/>
          <w:color w:val="000000"/>
        </w:rPr>
      </w:pPr>
      <w:r w:rsidRPr="000907D3">
        <w:rPr>
          <w:rFonts w:ascii="Adobe Caslon Pro" w:hAnsi="Adobe Caslon Pro" w:cs="Arial"/>
          <w:bCs/>
          <w:color w:val="000000"/>
        </w:rPr>
        <w:lastRenderedPageBreak/>
        <w:t>Considerando lo anterior, y que el PCS requiere tanto asegurar que se logran resultados en las condiciones de vida de la población en situación de vulnerabilidad atendidas por las OSC apoyadas, como fomentar el trabajo de las OSC de acuerdo con lo establecido en la Ley de Fomento, se recomienda el diseño de estrategias diferenciadas de apoyo de acuerdo con las características de los ac</w:t>
      </w:r>
      <w:r w:rsidR="008B4035">
        <w:rPr>
          <w:rFonts w:ascii="Adobe Caslon Pro" w:hAnsi="Adobe Caslon Pro" w:cs="Arial"/>
          <w:bCs/>
          <w:color w:val="000000"/>
        </w:rPr>
        <w:t>tores sociales. De manera más precisa</w:t>
      </w:r>
      <w:r w:rsidRPr="000907D3">
        <w:rPr>
          <w:rFonts w:ascii="Adobe Caslon Pro" w:hAnsi="Adobe Caslon Pro" w:cs="Arial"/>
          <w:bCs/>
          <w:color w:val="000000"/>
        </w:rPr>
        <w:t>, se requiere que para aquellos actores sociales que presentan un grado incipiente de desarrollo institucional, la intervención del PCS e</w:t>
      </w:r>
      <w:r w:rsidR="00AB2DB5">
        <w:rPr>
          <w:rFonts w:ascii="Adobe Caslon Pro" w:hAnsi="Adobe Caslon Pro" w:cs="Arial"/>
          <w:bCs/>
          <w:color w:val="000000"/>
        </w:rPr>
        <w:t xml:space="preserve">stablezca </w:t>
      </w:r>
      <w:r w:rsidRPr="000907D3">
        <w:rPr>
          <w:rFonts w:ascii="Adobe Caslon Pro" w:hAnsi="Adobe Caslon Pro" w:cs="Arial"/>
          <w:bCs/>
          <w:color w:val="000000"/>
        </w:rPr>
        <w:t xml:space="preserve">una medida de “fortalecimiento” como resultado directo del financiamiento. </w:t>
      </w:r>
    </w:p>
    <w:bookmarkEnd w:id="109"/>
    <w:bookmarkEnd w:id="110"/>
    <w:p w:rsidR="001C46C8" w:rsidRDefault="001C46C8" w:rsidP="00026506">
      <w:pPr>
        <w:spacing w:before="240"/>
        <w:jc w:val="both"/>
        <w:rPr>
          <w:rFonts w:ascii="Adobe Caslon Pro" w:hAnsi="Adobe Caslon Pro" w:cs="Arial"/>
          <w:b/>
          <w:color w:val="000000"/>
        </w:rPr>
      </w:pPr>
      <w:r>
        <w:rPr>
          <w:rFonts w:ascii="Adobe Caslon Pro" w:hAnsi="Adobe Caslon Pro" w:cs="Arial"/>
          <w:b/>
        </w:rPr>
        <w:br w:type="page"/>
      </w:r>
    </w:p>
    <w:p w:rsidR="00D25F5B" w:rsidRPr="000907D3" w:rsidRDefault="00E169EF" w:rsidP="00026506">
      <w:pPr>
        <w:pStyle w:val="Ttulo2"/>
        <w:spacing w:before="240" w:after="240"/>
        <w:jc w:val="both"/>
      </w:pPr>
      <w:bookmarkStart w:id="199" w:name="_Toc391925241"/>
      <w:r>
        <w:lastRenderedPageBreak/>
        <w:t>Bibliografía</w:t>
      </w:r>
      <w:bookmarkEnd w:id="199"/>
    </w:p>
    <w:p w:rsidR="007E798C" w:rsidRPr="00860B3A" w:rsidRDefault="007E798C" w:rsidP="007E798C">
      <w:pPr>
        <w:spacing w:after="120" w:line="240" w:lineRule="auto"/>
        <w:ind w:right="174" w:hanging="284"/>
        <w:jc w:val="both"/>
        <w:rPr>
          <w:rFonts w:ascii="Adobe Caslon Pro" w:hAnsi="Adobe Caslon Pro" w:cs="Arial"/>
        </w:rPr>
      </w:pPr>
      <w:r w:rsidRPr="00860B3A">
        <w:rPr>
          <w:rFonts w:ascii="Adobe Caslon Pro" w:hAnsi="Adobe Caslon Pro" w:cs="Arial"/>
        </w:rPr>
        <w:t>Ablanedo, I. (2009). “Las organizaciones de la sociedad civil en la legislación mexicana”. Estados Unidos: Centro Internacional</w:t>
      </w:r>
      <w:r w:rsidR="0022257F">
        <w:rPr>
          <w:rFonts w:ascii="Adobe Caslon Pro" w:hAnsi="Adobe Caslon Pro" w:cs="Arial"/>
        </w:rPr>
        <w:t xml:space="preserve"> para la Ley Sin Fines de Lucro.</w:t>
      </w:r>
    </w:p>
    <w:p w:rsidR="007E798C" w:rsidRPr="00860B3A" w:rsidRDefault="007E798C" w:rsidP="007E798C">
      <w:pPr>
        <w:spacing w:after="120" w:line="240" w:lineRule="auto"/>
        <w:ind w:right="174" w:hanging="284"/>
        <w:jc w:val="both"/>
        <w:rPr>
          <w:rFonts w:ascii="Adobe Caslon Pro" w:hAnsi="Adobe Caslon Pro" w:cs="Arial"/>
        </w:rPr>
      </w:pPr>
      <w:r w:rsidRPr="00860B3A">
        <w:rPr>
          <w:rFonts w:ascii="Adobe Caslon Pro" w:hAnsi="Adobe Caslon Pro" w:cs="Arial"/>
        </w:rPr>
        <w:t xml:space="preserve">Barreto, M. (1999). “As organizaçoessociaisna reforma do Estado brasileiro” Brasil: en </w:t>
      </w:r>
      <w:proofErr w:type="spellStart"/>
      <w:r w:rsidRPr="00860B3A">
        <w:rPr>
          <w:rFonts w:ascii="Adobe Caslon Pro" w:hAnsi="Adobe Caslon Pro" w:cs="Arial"/>
        </w:rPr>
        <w:t>Bresser</w:t>
      </w:r>
      <w:proofErr w:type="spellEnd"/>
      <w:r w:rsidRPr="00860B3A">
        <w:rPr>
          <w:rFonts w:ascii="Adobe Caslon Pro" w:hAnsi="Adobe Caslon Pro" w:cs="Arial"/>
        </w:rPr>
        <w:t xml:space="preserve"> Pereira, </w:t>
      </w:r>
      <w:proofErr w:type="spellStart"/>
      <w:r w:rsidRPr="00860B3A">
        <w:rPr>
          <w:rFonts w:ascii="Adobe Caslon Pro" w:hAnsi="Adobe Caslon Pro" w:cs="Arial"/>
        </w:rPr>
        <w:t>Luiz</w:t>
      </w:r>
      <w:proofErr w:type="spellEnd"/>
      <w:r w:rsidR="0022257F">
        <w:rPr>
          <w:rFonts w:ascii="Adobe Caslon Pro" w:hAnsi="Adobe Caslon Pro" w:cs="Arial"/>
        </w:rPr>
        <w:t>.</w:t>
      </w:r>
      <w:r w:rsidRPr="00860B3A">
        <w:rPr>
          <w:rFonts w:ascii="Adobe Caslon Pro" w:hAnsi="Adobe Caslon Pro" w:cs="Arial"/>
        </w:rPr>
        <w:t xml:space="preserve"> </w:t>
      </w:r>
    </w:p>
    <w:p w:rsidR="007E798C" w:rsidRPr="006C6205" w:rsidRDefault="007E798C" w:rsidP="007E798C">
      <w:pPr>
        <w:spacing w:after="120" w:line="240" w:lineRule="auto"/>
        <w:ind w:right="174" w:hanging="284"/>
        <w:jc w:val="both"/>
        <w:rPr>
          <w:rFonts w:ascii="Adobe Caslon Pro" w:hAnsi="Adobe Caslon Pro" w:cs="Arial"/>
          <w:lang w:val="en-US"/>
        </w:rPr>
      </w:pPr>
      <w:r w:rsidRPr="00860B3A">
        <w:rPr>
          <w:rFonts w:ascii="Adobe Caslon Pro" w:hAnsi="Adobe Caslon Pro" w:cs="Arial"/>
        </w:rPr>
        <w:t xml:space="preserve">Bebbington, A. (2007). “Investigación y cambio social: desafíos para las ONG en Centroamérica y México”. </w:t>
      </w:r>
      <w:r w:rsidRPr="006C6205">
        <w:rPr>
          <w:rFonts w:ascii="Adobe Caslon Pro" w:hAnsi="Adobe Caslon Pro" w:cs="Arial"/>
          <w:lang w:val="en-US"/>
        </w:rPr>
        <w:t>Guatemala:</w:t>
      </w:r>
      <w:r w:rsidR="0022257F" w:rsidRPr="006C6205">
        <w:rPr>
          <w:rFonts w:ascii="Adobe Caslon Pro" w:hAnsi="Adobe Caslon Pro" w:cs="Arial"/>
          <w:lang w:val="en-US"/>
        </w:rPr>
        <w:t xml:space="preserve"> Editorial de </w:t>
      </w:r>
      <w:proofErr w:type="spellStart"/>
      <w:r w:rsidR="0022257F" w:rsidRPr="006C6205">
        <w:rPr>
          <w:rFonts w:ascii="Adobe Caslon Pro" w:hAnsi="Adobe Caslon Pro" w:cs="Arial"/>
          <w:lang w:val="en-US"/>
        </w:rPr>
        <w:t>Ciencias</w:t>
      </w:r>
      <w:proofErr w:type="spellEnd"/>
      <w:r w:rsidR="0022257F" w:rsidRPr="006C6205">
        <w:rPr>
          <w:rFonts w:ascii="Adobe Caslon Pro" w:hAnsi="Adobe Caslon Pro" w:cs="Arial"/>
          <w:lang w:val="en-US"/>
        </w:rPr>
        <w:t xml:space="preserve"> </w:t>
      </w:r>
      <w:proofErr w:type="spellStart"/>
      <w:r w:rsidR="0022257F" w:rsidRPr="006C6205">
        <w:rPr>
          <w:rFonts w:ascii="Adobe Caslon Pro" w:hAnsi="Adobe Caslon Pro" w:cs="Arial"/>
          <w:lang w:val="en-US"/>
        </w:rPr>
        <w:t>Sociales</w:t>
      </w:r>
      <w:proofErr w:type="spellEnd"/>
      <w:r w:rsidR="0022257F" w:rsidRPr="006C6205">
        <w:rPr>
          <w:rFonts w:ascii="Adobe Caslon Pro" w:hAnsi="Adobe Caslon Pro" w:cs="Arial"/>
          <w:lang w:val="en-US"/>
        </w:rPr>
        <w:t>.</w:t>
      </w:r>
    </w:p>
    <w:p w:rsidR="007E798C" w:rsidRPr="00860B3A" w:rsidRDefault="007E798C" w:rsidP="007E798C">
      <w:pPr>
        <w:spacing w:after="120" w:line="240" w:lineRule="auto"/>
        <w:ind w:right="174" w:hanging="284"/>
        <w:jc w:val="both"/>
        <w:rPr>
          <w:rFonts w:ascii="Adobe Caslon Pro" w:hAnsi="Adobe Caslon Pro" w:cs="Arial"/>
          <w:lang w:val="en-US"/>
        </w:rPr>
      </w:pPr>
      <w:r w:rsidRPr="006C6205">
        <w:rPr>
          <w:rFonts w:ascii="Adobe Caslon Pro" w:hAnsi="Adobe Caslon Pro" w:cs="Arial"/>
          <w:lang w:val="en-US"/>
        </w:rPr>
        <w:t xml:space="preserve">Brinkerhoff, J. (2008). </w:t>
      </w:r>
      <w:r w:rsidRPr="00860B3A">
        <w:rPr>
          <w:rFonts w:ascii="Adobe Caslon Pro" w:hAnsi="Adobe Caslon Pro" w:cs="Arial"/>
          <w:lang w:val="en-US"/>
        </w:rPr>
        <w:t>“Donor-Funded Government—NGO Partnership for Public Service Improvement: Cases from India and Pakistan”. Estados Unidos: Voluntas: International Journal of Volunt</w:t>
      </w:r>
      <w:r w:rsidR="0022257F">
        <w:rPr>
          <w:rFonts w:ascii="Adobe Caslon Pro" w:hAnsi="Adobe Caslon Pro" w:cs="Arial"/>
          <w:lang w:val="en-US"/>
        </w:rPr>
        <w:t>ary and Nonprofit Organizations.</w:t>
      </w:r>
    </w:p>
    <w:p w:rsidR="007E798C" w:rsidRPr="00860B3A" w:rsidRDefault="007E798C" w:rsidP="007E798C">
      <w:pPr>
        <w:spacing w:after="120"/>
        <w:ind w:right="174" w:hanging="284"/>
        <w:jc w:val="both"/>
        <w:rPr>
          <w:rFonts w:ascii="Adobe Caslon Pro" w:hAnsi="Adobe Caslon Pro" w:cs="Arial"/>
        </w:rPr>
      </w:pPr>
      <w:proofErr w:type="gramStart"/>
      <w:r>
        <w:rPr>
          <w:rFonts w:ascii="Adobe Caslon Pro" w:hAnsi="Adobe Caslon Pro" w:cs="Arial"/>
          <w:lang w:val="en-US"/>
        </w:rPr>
        <w:t xml:space="preserve">Carroll, </w:t>
      </w:r>
      <w:r w:rsidRPr="00860B3A">
        <w:rPr>
          <w:rFonts w:ascii="Adobe Caslon Pro" w:hAnsi="Adobe Caslon Pro" w:cs="Arial"/>
          <w:lang w:val="en-US"/>
        </w:rPr>
        <w:t>T.</w:t>
      </w:r>
      <w:r>
        <w:rPr>
          <w:rFonts w:ascii="Adobe Caslon Pro" w:hAnsi="Adobe Caslon Pro" w:cs="Arial"/>
          <w:lang w:val="en-US"/>
        </w:rPr>
        <w:t xml:space="preserve"> </w:t>
      </w:r>
      <w:r w:rsidRPr="00860B3A">
        <w:rPr>
          <w:rFonts w:ascii="Adobe Caslon Pro" w:hAnsi="Adobe Caslon Pro" w:cs="Arial"/>
          <w:lang w:val="en-US"/>
        </w:rPr>
        <w:t>(1992).</w:t>
      </w:r>
      <w:proofErr w:type="gramEnd"/>
      <w:r w:rsidRPr="00860B3A">
        <w:rPr>
          <w:rFonts w:ascii="Adobe Caslon Pro" w:hAnsi="Adobe Caslon Pro" w:cs="Arial"/>
          <w:lang w:val="en-US"/>
        </w:rPr>
        <w:t xml:space="preserve"> “Intermediary NGOs: The Supporting Link in Grassroots Development”. </w:t>
      </w:r>
      <w:r w:rsidRPr="00860B3A">
        <w:rPr>
          <w:rFonts w:ascii="Adobe Caslon Pro" w:hAnsi="Adobe Caslon Pro" w:cs="Arial"/>
        </w:rPr>
        <w:t xml:space="preserve">Estados Unidos: </w:t>
      </w:r>
      <w:proofErr w:type="spellStart"/>
      <w:r w:rsidRPr="00860B3A">
        <w:rPr>
          <w:rFonts w:ascii="Adobe Caslon Pro" w:hAnsi="Adobe Caslon Pro" w:cs="Arial"/>
        </w:rPr>
        <w:t>Kumarian</w:t>
      </w:r>
      <w:proofErr w:type="spellEnd"/>
      <w:r w:rsidRPr="00860B3A">
        <w:rPr>
          <w:rFonts w:ascii="Adobe Caslon Pro" w:hAnsi="Adobe Caslon Pro" w:cs="Arial"/>
        </w:rPr>
        <w:t xml:space="preserve"> </w:t>
      </w:r>
      <w:proofErr w:type="spellStart"/>
      <w:r w:rsidRPr="00860B3A">
        <w:rPr>
          <w:rFonts w:ascii="Adobe Caslon Pro" w:hAnsi="Adobe Caslon Pro" w:cs="Arial"/>
        </w:rPr>
        <w:t>Press</w:t>
      </w:r>
      <w:proofErr w:type="spellEnd"/>
      <w:r w:rsidR="0022257F">
        <w:rPr>
          <w:rFonts w:ascii="Adobe Caslon Pro" w:hAnsi="Adobe Caslon Pro" w:cs="Arial"/>
        </w:rPr>
        <w:t>.</w:t>
      </w:r>
    </w:p>
    <w:p w:rsidR="007E798C" w:rsidRPr="00860B3A" w:rsidRDefault="007E798C" w:rsidP="007E798C">
      <w:pPr>
        <w:spacing w:after="120" w:line="240" w:lineRule="auto"/>
        <w:ind w:right="174" w:hanging="284"/>
        <w:jc w:val="both"/>
        <w:rPr>
          <w:rFonts w:ascii="Adobe Caslon Pro" w:hAnsi="Adobe Caslon Pro" w:cs="Arial"/>
        </w:rPr>
      </w:pPr>
      <w:r w:rsidRPr="00860B3A">
        <w:rPr>
          <w:rFonts w:ascii="Adobe Caslon Pro" w:hAnsi="Adobe Caslon Pro" w:cs="Arial"/>
        </w:rPr>
        <w:t>CEFP (2013). “Nota Informativa”. México: Centro de E</w:t>
      </w:r>
      <w:r w:rsidR="001E4613">
        <w:rPr>
          <w:rFonts w:ascii="Adobe Caslon Pro" w:hAnsi="Adobe Caslon Pro" w:cs="Arial"/>
        </w:rPr>
        <w:t>studios de las Finanzas Pública</w:t>
      </w:r>
      <w:r w:rsidR="0022257F">
        <w:rPr>
          <w:rFonts w:ascii="Adobe Caslon Pro" w:hAnsi="Adobe Caslon Pro" w:cs="Arial"/>
        </w:rPr>
        <w:t>.</w:t>
      </w:r>
    </w:p>
    <w:p w:rsidR="007E798C" w:rsidRPr="00860B3A" w:rsidRDefault="007E798C" w:rsidP="007E798C">
      <w:pPr>
        <w:spacing w:after="120" w:line="240" w:lineRule="auto"/>
        <w:ind w:right="174" w:hanging="284"/>
        <w:jc w:val="both"/>
        <w:rPr>
          <w:rFonts w:ascii="Adobe Caslon Pro" w:hAnsi="Adobe Caslon Pro" w:cs="Arial"/>
        </w:rPr>
      </w:pPr>
      <w:r w:rsidRPr="00860B3A">
        <w:rPr>
          <w:rFonts w:ascii="Adobe Caslon Pro" w:hAnsi="Adobe Caslon Pro" w:cs="Arial"/>
        </w:rPr>
        <w:t>CEMEFI (2013). “Indicadores de Institucionalidad y Transparencia”. México: Centro Mexic</w:t>
      </w:r>
      <w:r w:rsidR="0022257F">
        <w:rPr>
          <w:rFonts w:ascii="Adobe Caslon Pro" w:hAnsi="Adobe Caslon Pro" w:cs="Arial"/>
        </w:rPr>
        <w:t>ano para la Filantropía.</w:t>
      </w:r>
    </w:p>
    <w:p w:rsidR="007E798C" w:rsidRPr="00994916" w:rsidRDefault="007E798C" w:rsidP="007E798C">
      <w:pPr>
        <w:spacing w:after="120"/>
        <w:ind w:right="174" w:hanging="284"/>
        <w:rPr>
          <w:rFonts w:ascii="Adobe Caslon Pro" w:hAnsi="Adobe Caslon Pro" w:cs="Arial"/>
          <w:lang w:val="en-US"/>
        </w:rPr>
      </w:pPr>
      <w:r w:rsidRPr="006C6205">
        <w:rPr>
          <w:rFonts w:ascii="Adobe Caslon Pro" w:hAnsi="Adobe Caslon Pro" w:cs="Arial"/>
        </w:rPr>
        <w:t xml:space="preserve">Center </w:t>
      </w:r>
      <w:proofErr w:type="spellStart"/>
      <w:r w:rsidRPr="006C6205">
        <w:rPr>
          <w:rFonts w:ascii="Adobe Caslon Pro" w:hAnsi="Adobe Caslon Pro" w:cs="Arial"/>
        </w:rPr>
        <w:t>for</w:t>
      </w:r>
      <w:proofErr w:type="spellEnd"/>
      <w:r w:rsidRPr="006C6205">
        <w:rPr>
          <w:rFonts w:ascii="Adobe Caslon Pro" w:hAnsi="Adobe Caslon Pro" w:cs="Arial"/>
        </w:rPr>
        <w:t xml:space="preserve"> Civil </w:t>
      </w:r>
      <w:proofErr w:type="spellStart"/>
      <w:r w:rsidRPr="006C6205">
        <w:rPr>
          <w:rFonts w:ascii="Adobe Caslon Pro" w:hAnsi="Adobe Caslon Pro" w:cs="Arial"/>
        </w:rPr>
        <w:t>Society</w:t>
      </w:r>
      <w:proofErr w:type="spellEnd"/>
      <w:r w:rsidRPr="006C6205">
        <w:rPr>
          <w:rFonts w:ascii="Adobe Caslon Pro" w:hAnsi="Adobe Caslon Pro" w:cs="Arial"/>
        </w:rPr>
        <w:t xml:space="preserve"> </w:t>
      </w:r>
      <w:proofErr w:type="spellStart"/>
      <w:r w:rsidRPr="006C6205">
        <w:rPr>
          <w:rFonts w:ascii="Adobe Caslon Pro" w:hAnsi="Adobe Caslon Pro" w:cs="Arial"/>
        </w:rPr>
        <w:t>Studies</w:t>
      </w:r>
      <w:proofErr w:type="spellEnd"/>
      <w:r w:rsidRPr="006C6205">
        <w:rPr>
          <w:rFonts w:ascii="Adobe Caslon Pro" w:hAnsi="Adobe Caslon Pro" w:cs="Arial"/>
        </w:rPr>
        <w:t xml:space="preserve"> de la Universidad Johns </w:t>
      </w:r>
      <w:r w:rsidR="001E4613" w:rsidRPr="006C6205">
        <w:rPr>
          <w:rFonts w:ascii="Adobe Caslon Pro" w:hAnsi="Adobe Caslon Pro" w:cs="Arial"/>
        </w:rPr>
        <w:t xml:space="preserve">Hopkins (2003). </w:t>
      </w:r>
      <w:proofErr w:type="spellStart"/>
      <w:r w:rsidR="001E4613" w:rsidRPr="00994916">
        <w:rPr>
          <w:rFonts w:ascii="Adobe Caslon Pro" w:hAnsi="Adobe Caslon Pro" w:cs="Arial"/>
          <w:lang w:val="en-US"/>
        </w:rPr>
        <w:t>Estados</w:t>
      </w:r>
      <w:proofErr w:type="spellEnd"/>
      <w:r w:rsidR="001E4613" w:rsidRPr="00994916">
        <w:rPr>
          <w:rFonts w:ascii="Adobe Caslon Pro" w:hAnsi="Adobe Caslon Pro" w:cs="Arial"/>
          <w:lang w:val="en-US"/>
        </w:rPr>
        <w:t xml:space="preserve"> </w:t>
      </w:r>
      <w:proofErr w:type="spellStart"/>
      <w:r w:rsidR="001E4613" w:rsidRPr="00994916">
        <w:rPr>
          <w:rFonts w:ascii="Adobe Caslon Pro" w:hAnsi="Adobe Caslon Pro" w:cs="Arial"/>
          <w:lang w:val="en-US"/>
        </w:rPr>
        <w:t>Unidos</w:t>
      </w:r>
      <w:proofErr w:type="spellEnd"/>
      <w:r w:rsidR="001E4613" w:rsidRPr="00994916">
        <w:rPr>
          <w:rFonts w:ascii="Adobe Caslon Pro" w:hAnsi="Adobe Caslon Pro" w:cs="Arial"/>
          <w:lang w:val="en-US"/>
        </w:rPr>
        <w:t>:</w:t>
      </w:r>
      <w:r w:rsidRPr="00994916">
        <w:rPr>
          <w:rFonts w:ascii="Adobe Caslon Pro" w:hAnsi="Adobe Caslon Pro" w:cs="Arial"/>
          <w:lang w:val="en-US"/>
        </w:rPr>
        <w:t xml:space="preserve"> The Johns Hopkins Global Civil Society Index</w:t>
      </w:r>
      <w:r w:rsidR="0022257F" w:rsidRPr="00994916">
        <w:rPr>
          <w:rFonts w:ascii="Adobe Caslon Pro" w:hAnsi="Adobe Caslon Pro" w:cs="Arial"/>
          <w:lang w:val="en-US"/>
        </w:rPr>
        <w:t>.</w:t>
      </w:r>
    </w:p>
    <w:p w:rsidR="007E798C" w:rsidRPr="00860B3A" w:rsidRDefault="007E798C" w:rsidP="007E798C">
      <w:pPr>
        <w:spacing w:after="120"/>
        <w:ind w:right="174" w:hanging="284"/>
        <w:jc w:val="both"/>
        <w:rPr>
          <w:rFonts w:ascii="Adobe Caslon Pro" w:hAnsi="Adobe Caslon Pro" w:cs="Arial"/>
        </w:rPr>
      </w:pPr>
      <w:proofErr w:type="gramStart"/>
      <w:r w:rsidRPr="00994916">
        <w:rPr>
          <w:rFonts w:ascii="Adobe Caslon Pro" w:hAnsi="Adobe Caslon Pro" w:cs="Arial"/>
          <w:lang w:val="en-US"/>
        </w:rPr>
        <w:t>CEPAL (2008).</w:t>
      </w:r>
      <w:proofErr w:type="gramEnd"/>
      <w:r w:rsidRPr="00994916">
        <w:rPr>
          <w:rFonts w:ascii="Adobe Caslon Pro" w:hAnsi="Adobe Caslon Pro" w:cs="Arial"/>
          <w:lang w:val="en-US"/>
        </w:rPr>
        <w:t xml:space="preserve"> </w:t>
      </w:r>
      <w:r w:rsidRPr="00860B3A">
        <w:rPr>
          <w:rFonts w:ascii="Adobe Caslon Pro" w:hAnsi="Adobe Caslon Pro" w:cs="Arial"/>
        </w:rPr>
        <w:t>“Superar la Pobreza Mediante la Inclusión Social”. Chile: Comisión Económica para América Latina y el Caribe</w:t>
      </w:r>
      <w:r w:rsidR="0022257F">
        <w:rPr>
          <w:rFonts w:ascii="Adobe Caslon Pro" w:hAnsi="Adobe Caslon Pro" w:cs="Arial"/>
        </w:rPr>
        <w:t>.</w:t>
      </w:r>
    </w:p>
    <w:p w:rsidR="007E798C" w:rsidRPr="00860B3A" w:rsidRDefault="007E798C" w:rsidP="007E798C">
      <w:pPr>
        <w:spacing w:after="120" w:line="240" w:lineRule="auto"/>
        <w:ind w:right="174" w:hanging="284"/>
        <w:jc w:val="both"/>
        <w:rPr>
          <w:rFonts w:ascii="Adobe Caslon Pro" w:hAnsi="Adobe Caslon Pro" w:cs="Arial"/>
        </w:rPr>
      </w:pPr>
      <w:r w:rsidRPr="00860B3A">
        <w:rPr>
          <w:rFonts w:ascii="Adobe Caslon Pro" w:hAnsi="Adobe Caslon Pro" w:cs="Arial"/>
        </w:rPr>
        <w:t>CIVICUS (2010). “Informe Anual. Alianza Mundial para la Participación Ciudadana”. Mundial:</w:t>
      </w:r>
      <w:r w:rsidRPr="00860B3A">
        <w:rPr>
          <w:rFonts w:ascii="Adobe Caslon Pro" w:hAnsi="Adobe Caslon Pro"/>
        </w:rPr>
        <w:t xml:space="preserve"> </w:t>
      </w:r>
      <w:r w:rsidRPr="00860B3A">
        <w:rPr>
          <w:rFonts w:ascii="Adobe Caslon Pro" w:hAnsi="Adobe Caslon Pro" w:cs="Arial"/>
        </w:rPr>
        <w:t>Alianza Mundial para la Participación Ciudadana</w:t>
      </w:r>
      <w:r w:rsidR="0022257F">
        <w:rPr>
          <w:rFonts w:ascii="Adobe Caslon Pro" w:hAnsi="Adobe Caslon Pro" w:cs="Arial"/>
        </w:rPr>
        <w:t>.</w:t>
      </w:r>
    </w:p>
    <w:p w:rsidR="007E798C" w:rsidRPr="00860B3A" w:rsidRDefault="007E798C" w:rsidP="007E798C">
      <w:pPr>
        <w:spacing w:after="120"/>
        <w:ind w:right="174" w:hanging="284"/>
        <w:rPr>
          <w:rFonts w:ascii="Adobe Caslon Pro" w:hAnsi="Adobe Caslon Pro" w:cs="Arial"/>
        </w:rPr>
      </w:pPr>
      <w:r w:rsidRPr="00860B3A">
        <w:rPr>
          <w:rFonts w:ascii="Adobe Caslon Pro" w:hAnsi="Adobe Caslon Pro" w:cs="Arial"/>
        </w:rPr>
        <w:t>CONEVAL (2008-2012). “Medición de pobreza”. México: Consejo Nacional de Evaluación de l</w:t>
      </w:r>
      <w:r w:rsidR="0022257F">
        <w:rPr>
          <w:rFonts w:ascii="Adobe Caslon Pro" w:hAnsi="Adobe Caslon Pro" w:cs="Arial"/>
        </w:rPr>
        <w:t>a Política de Desarrollo Social.</w:t>
      </w:r>
    </w:p>
    <w:p w:rsidR="007E798C" w:rsidRPr="00860B3A" w:rsidRDefault="007E798C" w:rsidP="007E798C">
      <w:pPr>
        <w:spacing w:after="120"/>
        <w:ind w:right="174" w:hanging="284"/>
        <w:jc w:val="both"/>
        <w:rPr>
          <w:rFonts w:ascii="Adobe Caslon Pro" w:hAnsi="Adobe Caslon Pro" w:cs="Arial"/>
        </w:rPr>
      </w:pPr>
      <w:r w:rsidRPr="00860B3A">
        <w:rPr>
          <w:rFonts w:ascii="Adobe Caslon Pro" w:hAnsi="Adobe Caslon Pro" w:cs="Arial"/>
        </w:rPr>
        <w:t>CONEVAL (s/f). “Elementos mínimos a considerar en la elaboración de diagnósticos de programas nuevos”. México: Consejo Nacional de Evaluación de l</w:t>
      </w:r>
      <w:r w:rsidR="0022257F">
        <w:rPr>
          <w:rFonts w:ascii="Adobe Caslon Pro" w:hAnsi="Adobe Caslon Pro" w:cs="Arial"/>
        </w:rPr>
        <w:t>a Política de Desarrollo Social.</w:t>
      </w:r>
    </w:p>
    <w:p w:rsidR="007E798C" w:rsidRDefault="007E798C" w:rsidP="007E798C">
      <w:pPr>
        <w:spacing w:after="120"/>
        <w:ind w:right="174" w:hanging="284"/>
        <w:jc w:val="both"/>
        <w:rPr>
          <w:rFonts w:ascii="Adobe Caslon Pro" w:hAnsi="Adobe Caslon Pro" w:cs="Arial"/>
        </w:rPr>
      </w:pPr>
      <w:r w:rsidRPr="00860B3A">
        <w:rPr>
          <w:rFonts w:ascii="Adobe Caslon Pro" w:hAnsi="Adobe Caslon Pro" w:cs="Arial"/>
        </w:rPr>
        <w:lastRenderedPageBreak/>
        <w:t>Díaz-Albertini, J. (2003). “Capital social, organizaciones de base y el estado: Recuperando los eslabones perdidos de la sociabilidad”. Chile: Comisión Económica para América Latina y el Caribe</w:t>
      </w:r>
      <w:r w:rsidR="0022257F">
        <w:rPr>
          <w:rFonts w:ascii="Adobe Caslon Pro" w:hAnsi="Adobe Caslon Pro" w:cs="Arial"/>
        </w:rPr>
        <w:t>.</w:t>
      </w:r>
    </w:p>
    <w:p w:rsidR="007E798C" w:rsidRPr="00860B3A" w:rsidRDefault="007E798C" w:rsidP="007E798C">
      <w:pPr>
        <w:spacing w:after="120"/>
        <w:ind w:right="174" w:hanging="284"/>
        <w:jc w:val="both"/>
        <w:rPr>
          <w:rFonts w:ascii="Adobe Caslon Pro" w:hAnsi="Adobe Caslon Pro" w:cs="Arial"/>
        </w:rPr>
      </w:pPr>
      <w:r w:rsidRPr="00860B3A">
        <w:rPr>
          <w:rFonts w:ascii="Adobe Caslon Pro" w:hAnsi="Adobe Caslon Pro" w:cs="Arial"/>
        </w:rPr>
        <w:t>Diputados (2002). “Ley Federal de Transparencia y Acceso a la Información Pública Gubernament</w:t>
      </w:r>
      <w:r w:rsidR="0022257F">
        <w:rPr>
          <w:rFonts w:ascii="Adobe Caslon Pro" w:hAnsi="Adobe Caslon Pro" w:cs="Arial"/>
        </w:rPr>
        <w:t>al” México: Cámara de Diputados.</w:t>
      </w:r>
    </w:p>
    <w:p w:rsidR="007E798C" w:rsidRPr="00860B3A" w:rsidRDefault="007E798C" w:rsidP="007E798C">
      <w:pPr>
        <w:spacing w:after="120" w:line="240" w:lineRule="auto"/>
        <w:ind w:right="174" w:hanging="284"/>
        <w:jc w:val="both"/>
        <w:rPr>
          <w:rFonts w:ascii="Adobe Caslon Pro" w:hAnsi="Adobe Caslon Pro" w:cs="Arial"/>
        </w:rPr>
      </w:pPr>
      <w:r w:rsidRPr="00860B3A">
        <w:rPr>
          <w:rFonts w:ascii="Adobe Caslon Pro" w:hAnsi="Adobe Caslon Pro" w:cs="Arial"/>
        </w:rPr>
        <w:t>Diputados (2004). “Ley General de Desarrollo Social” México: Cámara de Diputados</w:t>
      </w:r>
      <w:r w:rsidR="0022257F">
        <w:rPr>
          <w:rFonts w:ascii="Adobe Caslon Pro" w:hAnsi="Adobe Caslon Pro" w:cs="Arial"/>
        </w:rPr>
        <w:t>.</w:t>
      </w:r>
    </w:p>
    <w:p w:rsidR="007E798C" w:rsidRPr="00860B3A" w:rsidRDefault="007E798C" w:rsidP="007E798C">
      <w:pPr>
        <w:spacing w:after="120"/>
        <w:ind w:right="174" w:hanging="284"/>
        <w:jc w:val="both"/>
        <w:rPr>
          <w:rFonts w:ascii="Adobe Caslon Pro" w:hAnsi="Adobe Caslon Pro" w:cs="Arial"/>
        </w:rPr>
      </w:pPr>
      <w:r w:rsidRPr="00860B3A">
        <w:rPr>
          <w:rFonts w:ascii="Adobe Caslon Pro" w:hAnsi="Adobe Caslon Pro" w:cs="Arial"/>
        </w:rPr>
        <w:t xml:space="preserve">DOF (2004). “Ley Federal de Fomento a las Actividades realizadas por Organizaciones de la Sociedad Civil”. México: </w:t>
      </w:r>
      <w:r w:rsidR="0022257F">
        <w:rPr>
          <w:rFonts w:ascii="Adobe Caslon Pro" w:hAnsi="Adobe Caslon Pro" w:cs="Arial"/>
        </w:rPr>
        <w:t>Diario Oficial de la Federación.</w:t>
      </w:r>
    </w:p>
    <w:p w:rsidR="0022257F" w:rsidRDefault="007E798C" w:rsidP="007E798C">
      <w:pPr>
        <w:spacing w:after="120"/>
        <w:ind w:right="174" w:hanging="284"/>
        <w:jc w:val="both"/>
        <w:rPr>
          <w:rFonts w:ascii="Adobe Caslon Pro" w:hAnsi="Adobe Caslon Pro" w:cs="Arial"/>
        </w:rPr>
      </w:pPr>
      <w:r w:rsidRPr="00860B3A">
        <w:rPr>
          <w:rFonts w:ascii="Adobe Caslon Pro" w:hAnsi="Adobe Caslon Pro" w:cs="Arial"/>
        </w:rPr>
        <w:t xml:space="preserve">DOF (2007) “Plan Nacional de Desarrollo (2007-2012)”. México: </w:t>
      </w:r>
      <w:r w:rsidR="0022257F">
        <w:rPr>
          <w:rFonts w:ascii="Adobe Caslon Pro" w:hAnsi="Adobe Caslon Pro" w:cs="Arial"/>
        </w:rPr>
        <w:t>Diario Oficial de la Federación.</w:t>
      </w:r>
    </w:p>
    <w:p w:rsidR="007E798C" w:rsidRPr="00860B3A" w:rsidRDefault="007E798C" w:rsidP="007E798C">
      <w:pPr>
        <w:spacing w:after="120"/>
        <w:ind w:right="174" w:hanging="284"/>
        <w:jc w:val="both"/>
        <w:rPr>
          <w:rFonts w:ascii="Adobe Caslon Pro" w:hAnsi="Adobe Caslon Pro" w:cs="Arial"/>
        </w:rPr>
      </w:pPr>
      <w:r w:rsidRPr="00860B3A">
        <w:rPr>
          <w:rFonts w:ascii="Adobe Caslon Pro" w:hAnsi="Adobe Caslon Pro" w:cs="Arial"/>
        </w:rPr>
        <w:t>DOF (2009) “Lineamientos Generales para la Elaboración de Diagnósticos de cuyos resultados se obtienen Propuestas de Atención de Programas de Desarrollo Social”. México: Diario Oficial de la Federación</w:t>
      </w:r>
      <w:r w:rsidR="0022257F">
        <w:rPr>
          <w:rFonts w:ascii="Adobe Caslon Pro" w:hAnsi="Adobe Caslon Pro" w:cs="Arial"/>
        </w:rPr>
        <w:t>.</w:t>
      </w:r>
    </w:p>
    <w:p w:rsidR="007E798C" w:rsidRPr="00860B3A" w:rsidRDefault="007E798C" w:rsidP="007E798C">
      <w:pPr>
        <w:spacing w:after="120"/>
        <w:ind w:right="174" w:hanging="284"/>
        <w:jc w:val="both"/>
        <w:rPr>
          <w:rFonts w:ascii="Adobe Caslon Pro" w:hAnsi="Adobe Caslon Pro" w:cs="Arial"/>
        </w:rPr>
      </w:pPr>
      <w:r w:rsidRPr="00860B3A">
        <w:rPr>
          <w:rFonts w:ascii="Adobe Caslon Pro" w:hAnsi="Adobe Caslon Pro" w:cs="Arial"/>
        </w:rPr>
        <w:t>DOF (2013) “Plan Nacional de Desarrollo (2013-2018)”. México: Diario Oficial de la Federación</w:t>
      </w:r>
      <w:r w:rsidR="0022257F">
        <w:rPr>
          <w:rFonts w:ascii="Adobe Caslon Pro" w:hAnsi="Adobe Caslon Pro" w:cs="Arial"/>
        </w:rPr>
        <w:t>.</w:t>
      </w:r>
    </w:p>
    <w:p w:rsidR="007E798C" w:rsidRPr="00860B3A" w:rsidRDefault="007E798C" w:rsidP="007E798C">
      <w:pPr>
        <w:spacing w:after="120"/>
        <w:ind w:right="174" w:hanging="284"/>
        <w:jc w:val="both"/>
        <w:rPr>
          <w:rFonts w:ascii="Adobe Caslon Pro" w:hAnsi="Adobe Caslon Pro" w:cs="Arial"/>
        </w:rPr>
      </w:pPr>
      <w:r w:rsidRPr="00860B3A">
        <w:rPr>
          <w:rFonts w:ascii="Adobe Caslon Pro" w:hAnsi="Adobe Caslon Pro" w:cs="Arial"/>
        </w:rPr>
        <w:t>DOF (2013) “Programa Sectorial de Desarrollo Social (2013-2018)”. México: Diario Oficial de la Federación</w:t>
      </w:r>
      <w:r w:rsidR="0022257F">
        <w:rPr>
          <w:rFonts w:ascii="Adobe Caslon Pro" w:hAnsi="Adobe Caslon Pro" w:cs="Arial"/>
        </w:rPr>
        <w:t>.</w:t>
      </w:r>
    </w:p>
    <w:p w:rsidR="007E798C" w:rsidRPr="0022257F" w:rsidRDefault="007E798C" w:rsidP="007E798C">
      <w:pPr>
        <w:spacing w:after="120" w:line="240" w:lineRule="auto"/>
        <w:ind w:right="174" w:hanging="284"/>
        <w:jc w:val="both"/>
        <w:rPr>
          <w:rFonts w:ascii="Adobe Caslon Pro" w:hAnsi="Adobe Caslon Pro" w:cs="Arial"/>
          <w:lang w:val="en-US"/>
        </w:rPr>
      </w:pPr>
      <w:proofErr w:type="spellStart"/>
      <w:r w:rsidRPr="0022257F">
        <w:rPr>
          <w:rFonts w:ascii="Adobe Caslon Pro" w:hAnsi="Adobe Caslon Pro" w:cs="Arial"/>
        </w:rPr>
        <w:t>Dongre</w:t>
      </w:r>
      <w:proofErr w:type="spellEnd"/>
      <w:r w:rsidRPr="0022257F">
        <w:rPr>
          <w:rFonts w:ascii="Adobe Caslon Pro" w:hAnsi="Adobe Caslon Pro" w:cs="Arial"/>
        </w:rPr>
        <w:t xml:space="preserve">, </w:t>
      </w:r>
      <w:proofErr w:type="spellStart"/>
      <w:r w:rsidRPr="0022257F">
        <w:rPr>
          <w:rFonts w:ascii="Adobe Caslon Pro" w:hAnsi="Adobe Caslon Pro" w:cs="Arial"/>
        </w:rPr>
        <w:t>Yashavantha</w:t>
      </w:r>
      <w:proofErr w:type="spellEnd"/>
      <w:r w:rsidRPr="0022257F">
        <w:rPr>
          <w:rFonts w:ascii="Adobe Caslon Pro" w:hAnsi="Adobe Caslon Pro" w:cs="Arial"/>
        </w:rPr>
        <w:t xml:space="preserve"> y </w:t>
      </w:r>
      <w:proofErr w:type="spellStart"/>
      <w:r w:rsidRPr="0022257F">
        <w:rPr>
          <w:rFonts w:ascii="Adobe Caslon Pro" w:hAnsi="Adobe Caslon Pro" w:cs="Arial"/>
        </w:rPr>
        <w:t>Gopalan</w:t>
      </w:r>
      <w:proofErr w:type="spellEnd"/>
      <w:r w:rsidRPr="0022257F">
        <w:rPr>
          <w:rFonts w:ascii="Adobe Caslon Pro" w:hAnsi="Adobe Caslon Pro" w:cs="Arial"/>
        </w:rPr>
        <w:t xml:space="preserve"> </w:t>
      </w:r>
      <w:proofErr w:type="spellStart"/>
      <w:r w:rsidRPr="0022257F">
        <w:rPr>
          <w:rFonts w:ascii="Adobe Caslon Pro" w:hAnsi="Adobe Caslon Pro" w:cs="Arial"/>
        </w:rPr>
        <w:t>Shanthi</w:t>
      </w:r>
      <w:proofErr w:type="spellEnd"/>
      <w:r w:rsidRPr="0022257F">
        <w:rPr>
          <w:rFonts w:ascii="Adobe Caslon Pro" w:hAnsi="Adobe Caslon Pro" w:cs="Arial"/>
        </w:rPr>
        <w:t xml:space="preserve"> (2008). </w:t>
      </w:r>
      <w:r w:rsidRPr="00860B3A">
        <w:rPr>
          <w:rFonts w:ascii="Adobe Caslon Pro" w:hAnsi="Adobe Caslon Pro" w:cs="Arial"/>
          <w:lang w:val="en-US"/>
        </w:rPr>
        <w:t>“Third Sector Governance in India”. Estados Unidos: Comparative Third Sector Governance in Asia, en Samuil Hasan and J</w:t>
      </w:r>
      <w:r w:rsidR="0022257F">
        <w:rPr>
          <w:rFonts w:ascii="Adobe Caslon Pro" w:hAnsi="Adobe Caslon Pro" w:cs="Arial"/>
          <w:lang w:val="en-US"/>
        </w:rPr>
        <w:t>enny Onyx (Eds.).</w:t>
      </w:r>
    </w:p>
    <w:p w:rsidR="007E798C" w:rsidRPr="00860B3A" w:rsidRDefault="007E798C" w:rsidP="007E798C">
      <w:pPr>
        <w:spacing w:after="120" w:line="240" w:lineRule="auto"/>
        <w:ind w:right="174" w:hanging="284"/>
        <w:jc w:val="both"/>
        <w:rPr>
          <w:rFonts w:ascii="Adobe Caslon Pro" w:hAnsi="Adobe Caslon Pro" w:cs="Arial"/>
        </w:rPr>
      </w:pPr>
      <w:r w:rsidRPr="00860B3A">
        <w:rPr>
          <w:rFonts w:ascii="Adobe Caslon Pro" w:hAnsi="Adobe Caslon Pro"/>
        </w:rPr>
        <w:t>Fantova, F. (2005). “Manual para la gestión de la intervención social. Políticas, organizaciones y sistemas para la acción”. España: Editorial CCS</w:t>
      </w:r>
      <w:r w:rsidR="0022257F">
        <w:rPr>
          <w:rFonts w:ascii="Adobe Caslon Pro" w:hAnsi="Adobe Caslon Pro" w:cs="Arial"/>
        </w:rPr>
        <w:t>.</w:t>
      </w:r>
    </w:p>
    <w:p w:rsidR="007E798C" w:rsidRPr="00860B3A" w:rsidRDefault="007E798C" w:rsidP="007E798C">
      <w:pPr>
        <w:spacing w:after="120"/>
        <w:ind w:right="174" w:hanging="284"/>
        <w:jc w:val="both"/>
        <w:rPr>
          <w:rFonts w:ascii="Adobe Caslon Pro" w:hAnsi="Adobe Caslon Pro" w:cs="Arial"/>
        </w:rPr>
      </w:pPr>
      <w:r w:rsidRPr="00860B3A">
        <w:rPr>
          <w:rFonts w:ascii="Adobe Caslon Pro" w:hAnsi="Adobe Caslon Pro" w:cs="Arial"/>
        </w:rPr>
        <w:t>Favela, A. (2004).  “Dimensiones cuantitativas de las Organizaciones Civiles en México”, en Cadena Jorge (coord.), Las Organizaciones Civiles Mexicanas Hoy en Ciencias y Humanidades. México: Universidad Nacional Autónoma de México</w:t>
      </w:r>
      <w:r w:rsidR="0022257F">
        <w:rPr>
          <w:rFonts w:ascii="Adobe Caslon Pro" w:hAnsi="Adobe Caslon Pro" w:cs="Arial"/>
        </w:rPr>
        <w:t>.</w:t>
      </w:r>
    </w:p>
    <w:p w:rsidR="007E798C" w:rsidRPr="00860B3A" w:rsidRDefault="007E798C" w:rsidP="007E798C">
      <w:pPr>
        <w:spacing w:after="120"/>
        <w:ind w:right="174" w:hanging="284"/>
        <w:jc w:val="both"/>
        <w:rPr>
          <w:rFonts w:ascii="Adobe Caslon Pro" w:hAnsi="Adobe Caslon Pro" w:cs="Arial"/>
        </w:rPr>
      </w:pPr>
      <w:r w:rsidRPr="00860B3A">
        <w:rPr>
          <w:rFonts w:ascii="Adobe Caslon Pro" w:hAnsi="Adobe Caslon Pro" w:cs="Arial"/>
        </w:rPr>
        <w:t>Fundación SES (2004). “Las OSC y la incidencia en las políticas educativas en América Latina”. Argentina: Fundación Sustentabilidad, Educación y Solidaridad</w:t>
      </w:r>
      <w:r w:rsidR="0022257F">
        <w:rPr>
          <w:rFonts w:ascii="Adobe Caslon Pro" w:hAnsi="Adobe Caslon Pro" w:cs="Arial"/>
        </w:rPr>
        <w:t>.</w:t>
      </w:r>
    </w:p>
    <w:p w:rsidR="007E798C" w:rsidRPr="00860B3A" w:rsidRDefault="007E798C" w:rsidP="007E798C">
      <w:pPr>
        <w:spacing w:after="120" w:line="240" w:lineRule="auto"/>
        <w:ind w:right="174" w:hanging="284"/>
        <w:jc w:val="both"/>
        <w:rPr>
          <w:rFonts w:ascii="Adobe Caslon Pro" w:hAnsi="Adobe Caslon Pro" w:cs="Arial"/>
        </w:rPr>
      </w:pPr>
      <w:r w:rsidRPr="00860B3A">
        <w:rPr>
          <w:rFonts w:ascii="Adobe Caslon Pro" w:hAnsi="Adobe Caslon Pro" w:cs="Arial"/>
        </w:rPr>
        <w:t xml:space="preserve">Hernández, A. (2012). “La participación de las organizaciones de la sociedad civil en la formación de políticas públicas en América Latina: referentes teóricos y experiencias recientes”. Italia: Congreso de Investigación sobre el Tercer Sector. CEMEFI. </w:t>
      </w:r>
    </w:p>
    <w:p w:rsidR="007E798C" w:rsidRPr="00860B3A" w:rsidRDefault="007E798C" w:rsidP="007E798C">
      <w:pPr>
        <w:spacing w:after="120" w:line="240" w:lineRule="auto"/>
        <w:ind w:right="174" w:hanging="284"/>
        <w:jc w:val="both"/>
        <w:rPr>
          <w:rFonts w:ascii="Adobe Caslon Pro" w:hAnsi="Adobe Caslon Pro" w:cs="Arial"/>
        </w:rPr>
      </w:pPr>
      <w:r w:rsidRPr="00860B3A">
        <w:rPr>
          <w:rFonts w:ascii="Adobe Caslon Pro" w:hAnsi="Adobe Caslon Pro" w:cs="Arial"/>
        </w:rPr>
        <w:lastRenderedPageBreak/>
        <w:t>Hevia, F., Ávila, H. y Vergara, S. (2011). “Participación ciudadana en México: consejos consultivos e instancias públicas de deliberación en el gobierno federal”. México: Facultad Latin</w:t>
      </w:r>
      <w:r w:rsidR="0022257F">
        <w:rPr>
          <w:rFonts w:ascii="Adobe Caslon Pro" w:hAnsi="Adobe Caslon Pro" w:cs="Arial"/>
        </w:rPr>
        <w:t>oamericana de Ciencias Sociales.</w:t>
      </w:r>
    </w:p>
    <w:p w:rsidR="007E798C" w:rsidRPr="00860B3A" w:rsidRDefault="007E798C" w:rsidP="007E798C">
      <w:pPr>
        <w:spacing w:after="120"/>
        <w:ind w:right="174" w:hanging="284"/>
        <w:jc w:val="both"/>
        <w:rPr>
          <w:rFonts w:ascii="Adobe Caslon Pro" w:hAnsi="Adobe Caslon Pro" w:cs="Arial"/>
        </w:rPr>
      </w:pPr>
      <w:r w:rsidRPr="00860B3A">
        <w:rPr>
          <w:rFonts w:ascii="Adobe Caslon Pro" w:hAnsi="Adobe Caslon Pro" w:cs="Arial"/>
        </w:rPr>
        <w:t>IFAI (2009). México: Instituto Federal de Acceso a la In</w:t>
      </w:r>
      <w:r w:rsidR="0022257F">
        <w:rPr>
          <w:rFonts w:ascii="Adobe Caslon Pro" w:hAnsi="Adobe Caslon Pro" w:cs="Arial"/>
        </w:rPr>
        <w:t>formación y Protección de Datos.</w:t>
      </w:r>
    </w:p>
    <w:p w:rsidR="007E798C" w:rsidRPr="00860B3A" w:rsidRDefault="007E798C" w:rsidP="007E798C">
      <w:pPr>
        <w:spacing w:after="120" w:line="240" w:lineRule="auto"/>
        <w:ind w:right="174" w:hanging="284"/>
        <w:jc w:val="both"/>
        <w:rPr>
          <w:rFonts w:ascii="Adobe Caslon Pro" w:hAnsi="Adobe Caslon Pro" w:cs="Arial"/>
        </w:rPr>
      </w:pPr>
      <w:r w:rsidRPr="00860B3A">
        <w:rPr>
          <w:rFonts w:ascii="Adobe Caslon Pro" w:hAnsi="Adobe Caslon Pro" w:cs="Arial"/>
        </w:rPr>
        <w:t>Illescas, I. (2005). “La participación y el liderazgo desde la perspectiva de los Estudios Culturales de la Comunidad: un enfoque desde la praxis mexicana, tesis de doctorado”. Cuba: Universidad de Oriente Facultad de Ciencias Sociales, Departamento de Soc</w:t>
      </w:r>
      <w:r w:rsidR="0022257F">
        <w:rPr>
          <w:rFonts w:ascii="Adobe Caslon Pro" w:hAnsi="Adobe Caslon Pro" w:cs="Arial"/>
        </w:rPr>
        <w:t>iología.</w:t>
      </w:r>
    </w:p>
    <w:p w:rsidR="007E798C" w:rsidRDefault="007E798C" w:rsidP="007E798C">
      <w:pPr>
        <w:spacing w:after="120" w:line="240" w:lineRule="auto"/>
        <w:ind w:right="174" w:hanging="284"/>
        <w:jc w:val="both"/>
        <w:rPr>
          <w:rFonts w:ascii="Adobe Caslon Pro" w:hAnsi="Adobe Caslon Pro" w:cs="Arial"/>
        </w:rPr>
      </w:pPr>
      <w:r w:rsidRPr="00860B3A">
        <w:rPr>
          <w:rFonts w:ascii="Adobe Caslon Pro" w:hAnsi="Adobe Caslon Pro" w:cs="Arial"/>
        </w:rPr>
        <w:t>ILPES (2004). “Boletín 15 Metodología de Marco Lógico”. Chile: Instituto Latinoamericano y del Caribe de Pl</w:t>
      </w:r>
      <w:r w:rsidR="0022257F">
        <w:rPr>
          <w:rFonts w:ascii="Adobe Caslon Pro" w:hAnsi="Adobe Caslon Pro" w:cs="Arial"/>
        </w:rPr>
        <w:t>anificación Económica y Social.</w:t>
      </w:r>
      <w:r w:rsidRPr="00860B3A">
        <w:rPr>
          <w:rFonts w:ascii="Adobe Caslon Pro" w:hAnsi="Adobe Caslon Pro" w:cs="Arial"/>
        </w:rPr>
        <w:t xml:space="preserve"> </w:t>
      </w:r>
    </w:p>
    <w:p w:rsidR="007E798C" w:rsidRPr="00860B3A" w:rsidRDefault="007E798C" w:rsidP="007E798C">
      <w:pPr>
        <w:spacing w:after="120" w:line="240" w:lineRule="auto"/>
        <w:ind w:right="174" w:hanging="284"/>
        <w:jc w:val="both"/>
        <w:rPr>
          <w:rFonts w:ascii="Adobe Caslon Pro" w:hAnsi="Adobe Caslon Pro"/>
        </w:rPr>
      </w:pPr>
      <w:r w:rsidRPr="00860B3A">
        <w:rPr>
          <w:rFonts w:ascii="Adobe Caslon Pro" w:hAnsi="Adobe Caslon Pro" w:cs="Arial"/>
        </w:rPr>
        <w:t>ITAM (2010). “Leyes Estatales de Fomento a las actividades de las OSC” México: Instituto Tecnológico Autónomo de México (consulta: mayo de 2014).</w:t>
      </w:r>
      <w:r w:rsidRPr="00860B3A">
        <w:rPr>
          <w:rFonts w:ascii="Adobe Caslon Pro" w:hAnsi="Adobe Caslon Pro"/>
        </w:rPr>
        <w:t xml:space="preserve"> </w:t>
      </w:r>
    </w:p>
    <w:p w:rsidR="0022257F" w:rsidRDefault="007E798C" w:rsidP="007E798C">
      <w:pPr>
        <w:spacing w:after="120" w:line="240" w:lineRule="auto"/>
        <w:ind w:right="174" w:hanging="284"/>
        <w:jc w:val="both"/>
        <w:rPr>
          <w:rFonts w:ascii="Adobe Caslon Pro" w:hAnsi="Adobe Caslon Pro" w:cs="Arial"/>
        </w:rPr>
      </w:pPr>
      <w:r w:rsidRPr="00860B3A">
        <w:rPr>
          <w:rFonts w:ascii="Adobe Caslon Pro" w:hAnsi="Adobe Caslon Pro" w:cs="Arial"/>
        </w:rPr>
        <w:t>INDESOL (2012). “Almanaque de la Sociedad Civil Mexicana”. México: Institut</w:t>
      </w:r>
      <w:r w:rsidR="0022257F">
        <w:rPr>
          <w:rFonts w:ascii="Adobe Caslon Pro" w:hAnsi="Adobe Caslon Pro" w:cs="Arial"/>
        </w:rPr>
        <w:t>o Nacional de Desarrollo Social.</w:t>
      </w:r>
    </w:p>
    <w:p w:rsidR="007E798C" w:rsidRPr="00860B3A" w:rsidRDefault="007E798C" w:rsidP="007E798C">
      <w:pPr>
        <w:spacing w:after="120" w:line="240" w:lineRule="auto"/>
        <w:ind w:right="174" w:hanging="284"/>
        <w:jc w:val="both"/>
        <w:rPr>
          <w:rFonts w:ascii="Adobe Caslon Pro" w:hAnsi="Adobe Caslon Pro" w:cs="Arial"/>
        </w:rPr>
      </w:pPr>
      <w:r w:rsidRPr="00860B3A">
        <w:rPr>
          <w:rFonts w:ascii="Adobe Caslon Pro" w:hAnsi="Adobe Caslon Pro" w:cs="Arial"/>
        </w:rPr>
        <w:t>INEGI (2008). “Cuenta satélite de las instituciones sin fines de lucro de México”. México: Instituto Naci</w:t>
      </w:r>
      <w:r w:rsidR="0022257F">
        <w:rPr>
          <w:rFonts w:ascii="Adobe Caslon Pro" w:hAnsi="Adobe Caslon Pro" w:cs="Arial"/>
        </w:rPr>
        <w:t>onal de Estadística y Geografía.</w:t>
      </w:r>
    </w:p>
    <w:p w:rsidR="007E798C" w:rsidRPr="00860B3A" w:rsidRDefault="007E798C" w:rsidP="007E798C">
      <w:pPr>
        <w:spacing w:after="120"/>
        <w:ind w:right="174" w:hanging="284"/>
        <w:rPr>
          <w:rFonts w:ascii="Adobe Caslon Pro" w:hAnsi="Adobe Caslon Pro" w:cs="Arial"/>
        </w:rPr>
      </w:pPr>
      <w:r w:rsidRPr="00860B3A">
        <w:rPr>
          <w:rFonts w:ascii="Adobe Caslon Pro" w:hAnsi="Adobe Caslon Pro" w:cs="Arial"/>
        </w:rPr>
        <w:t>INEGI (2012). “Encuesta Nacional de Ingreso y Gastos en los Hogares”. México: Instituto Nacio</w:t>
      </w:r>
      <w:r w:rsidR="0022257F">
        <w:rPr>
          <w:rFonts w:ascii="Adobe Caslon Pro" w:hAnsi="Adobe Caslon Pro" w:cs="Arial"/>
        </w:rPr>
        <w:t>nal de Estadística y Geografía.</w:t>
      </w:r>
    </w:p>
    <w:p w:rsidR="007E798C" w:rsidRDefault="007E798C" w:rsidP="007E798C">
      <w:pPr>
        <w:spacing w:after="120"/>
        <w:ind w:right="174" w:hanging="284"/>
        <w:rPr>
          <w:rFonts w:ascii="Adobe Caslon Pro" w:hAnsi="Adobe Caslon Pro" w:cs="Arial"/>
        </w:rPr>
      </w:pPr>
      <w:r w:rsidRPr="00860B3A">
        <w:rPr>
          <w:rFonts w:ascii="Adobe Caslon Pro" w:hAnsi="Adobe Caslon Pro" w:cs="Arial"/>
        </w:rPr>
        <w:t>INEGI (2012). “Encuesta Nacional sobre Cultura Política y Prácticas Ciudadanas”. México: Instituto Naci</w:t>
      </w:r>
      <w:r w:rsidR="0022257F">
        <w:rPr>
          <w:rFonts w:ascii="Adobe Caslon Pro" w:hAnsi="Adobe Caslon Pro" w:cs="Arial"/>
        </w:rPr>
        <w:t>onal de Estadística y Geografía.</w:t>
      </w:r>
    </w:p>
    <w:p w:rsidR="007E798C" w:rsidRPr="006C6205" w:rsidRDefault="007E798C" w:rsidP="007E798C">
      <w:pPr>
        <w:spacing w:after="120"/>
        <w:ind w:right="174" w:hanging="284"/>
        <w:rPr>
          <w:rFonts w:ascii="Adobe Caslon Pro" w:hAnsi="Adobe Caslon Pro" w:cs="Arial"/>
        </w:rPr>
      </w:pPr>
      <w:proofErr w:type="spellStart"/>
      <w:r w:rsidRPr="006C6205">
        <w:rPr>
          <w:rFonts w:ascii="Adobe Caslon Pro" w:hAnsi="Adobe Caslon Pro" w:cs="Arial"/>
        </w:rPr>
        <w:t>Jalali</w:t>
      </w:r>
      <w:proofErr w:type="spellEnd"/>
      <w:r w:rsidRPr="006C6205">
        <w:rPr>
          <w:rFonts w:ascii="Adobe Caslon Pro" w:hAnsi="Adobe Caslon Pro" w:cs="Arial"/>
        </w:rPr>
        <w:t xml:space="preserve">, R. (2008). “International </w:t>
      </w:r>
      <w:proofErr w:type="spellStart"/>
      <w:r w:rsidRPr="006C6205">
        <w:rPr>
          <w:rFonts w:ascii="Adobe Caslon Pro" w:hAnsi="Adobe Caslon Pro" w:cs="Arial"/>
        </w:rPr>
        <w:t>Funding</w:t>
      </w:r>
      <w:proofErr w:type="spellEnd"/>
      <w:r w:rsidRPr="006C6205">
        <w:rPr>
          <w:rFonts w:ascii="Adobe Caslon Pro" w:hAnsi="Adobe Caslon Pro" w:cs="Arial"/>
        </w:rPr>
        <w:t xml:space="preserve"> of </w:t>
      </w:r>
      <w:proofErr w:type="spellStart"/>
      <w:r w:rsidRPr="006C6205">
        <w:rPr>
          <w:rFonts w:ascii="Adobe Caslon Pro" w:hAnsi="Adobe Caslon Pro" w:cs="Arial"/>
        </w:rPr>
        <w:t>NGOs</w:t>
      </w:r>
      <w:proofErr w:type="spellEnd"/>
      <w:r w:rsidRPr="006C6205">
        <w:rPr>
          <w:rFonts w:ascii="Adobe Caslon Pro" w:hAnsi="Adobe Caslon Pro" w:cs="Arial"/>
        </w:rPr>
        <w:t xml:space="preserve"> in India: </w:t>
      </w:r>
      <w:proofErr w:type="spellStart"/>
      <w:r w:rsidRPr="006C6205">
        <w:rPr>
          <w:rFonts w:ascii="Adobe Caslon Pro" w:hAnsi="Adobe Caslon Pro" w:cs="Arial"/>
        </w:rPr>
        <w:t>Bringing</w:t>
      </w:r>
      <w:proofErr w:type="spellEnd"/>
      <w:r w:rsidRPr="006C6205">
        <w:rPr>
          <w:rFonts w:ascii="Adobe Caslon Pro" w:hAnsi="Adobe Caslon Pro" w:cs="Arial"/>
        </w:rPr>
        <w:t xml:space="preserve"> </w:t>
      </w:r>
      <w:proofErr w:type="spellStart"/>
      <w:r w:rsidRPr="006C6205">
        <w:rPr>
          <w:rFonts w:ascii="Adobe Caslon Pro" w:hAnsi="Adobe Caslon Pro" w:cs="Arial"/>
        </w:rPr>
        <w:t>the</w:t>
      </w:r>
      <w:proofErr w:type="spellEnd"/>
      <w:r w:rsidRPr="006C6205">
        <w:rPr>
          <w:rFonts w:ascii="Adobe Caslon Pro" w:hAnsi="Adobe Caslon Pro" w:cs="Arial"/>
        </w:rPr>
        <w:t xml:space="preserve"> </w:t>
      </w:r>
      <w:proofErr w:type="spellStart"/>
      <w:r w:rsidRPr="006C6205">
        <w:rPr>
          <w:rFonts w:ascii="Adobe Caslon Pro" w:hAnsi="Adobe Caslon Pro" w:cs="Arial"/>
        </w:rPr>
        <w:t>State</w:t>
      </w:r>
      <w:proofErr w:type="spellEnd"/>
      <w:r w:rsidRPr="006C6205">
        <w:rPr>
          <w:rFonts w:ascii="Adobe Caslon Pro" w:hAnsi="Adobe Caslon Pro" w:cs="Arial"/>
        </w:rPr>
        <w:t xml:space="preserve"> Back In” Estados Unidos: </w:t>
      </w:r>
      <w:proofErr w:type="spellStart"/>
      <w:r w:rsidRPr="006C6205">
        <w:rPr>
          <w:rFonts w:ascii="Adobe Caslon Pro" w:hAnsi="Adobe Caslon Pro" w:cs="Arial"/>
        </w:rPr>
        <w:t>Voluntas</w:t>
      </w:r>
      <w:proofErr w:type="spellEnd"/>
      <w:r w:rsidRPr="006C6205">
        <w:rPr>
          <w:rFonts w:ascii="Adobe Caslon Pro" w:hAnsi="Adobe Caslon Pro" w:cs="Arial"/>
        </w:rPr>
        <w:t xml:space="preserve">: International </w:t>
      </w:r>
      <w:proofErr w:type="spellStart"/>
      <w:r w:rsidRPr="006C6205">
        <w:rPr>
          <w:rFonts w:ascii="Adobe Caslon Pro" w:hAnsi="Adobe Caslon Pro" w:cs="Arial"/>
        </w:rPr>
        <w:t>Journal</w:t>
      </w:r>
      <w:proofErr w:type="spellEnd"/>
      <w:r w:rsidRPr="006C6205">
        <w:rPr>
          <w:rFonts w:ascii="Adobe Caslon Pro" w:hAnsi="Adobe Caslon Pro" w:cs="Arial"/>
        </w:rPr>
        <w:t xml:space="preserve"> of </w:t>
      </w:r>
      <w:proofErr w:type="spellStart"/>
      <w:r w:rsidRPr="006C6205">
        <w:rPr>
          <w:rFonts w:ascii="Adobe Caslon Pro" w:hAnsi="Adobe Caslon Pro" w:cs="Arial"/>
        </w:rPr>
        <w:t>Volunt</w:t>
      </w:r>
      <w:r w:rsidR="0022257F" w:rsidRPr="006C6205">
        <w:rPr>
          <w:rFonts w:ascii="Adobe Caslon Pro" w:hAnsi="Adobe Caslon Pro" w:cs="Arial"/>
        </w:rPr>
        <w:t>ary</w:t>
      </w:r>
      <w:proofErr w:type="spellEnd"/>
      <w:r w:rsidR="0022257F" w:rsidRPr="006C6205">
        <w:rPr>
          <w:rFonts w:ascii="Adobe Caslon Pro" w:hAnsi="Adobe Caslon Pro" w:cs="Arial"/>
        </w:rPr>
        <w:t xml:space="preserve"> and </w:t>
      </w:r>
      <w:proofErr w:type="spellStart"/>
      <w:r w:rsidR="0022257F" w:rsidRPr="006C6205">
        <w:rPr>
          <w:rFonts w:ascii="Adobe Caslon Pro" w:hAnsi="Adobe Caslon Pro" w:cs="Arial"/>
        </w:rPr>
        <w:t>Nonprofit</w:t>
      </w:r>
      <w:proofErr w:type="spellEnd"/>
      <w:r w:rsidR="0022257F" w:rsidRPr="006C6205">
        <w:rPr>
          <w:rFonts w:ascii="Adobe Caslon Pro" w:hAnsi="Adobe Caslon Pro" w:cs="Arial"/>
        </w:rPr>
        <w:t xml:space="preserve"> </w:t>
      </w:r>
      <w:proofErr w:type="spellStart"/>
      <w:r w:rsidR="0022257F" w:rsidRPr="006C6205">
        <w:rPr>
          <w:rFonts w:ascii="Adobe Caslon Pro" w:hAnsi="Adobe Caslon Pro" w:cs="Arial"/>
        </w:rPr>
        <w:t>Organizations</w:t>
      </w:r>
      <w:proofErr w:type="spellEnd"/>
      <w:r w:rsidR="0022257F" w:rsidRPr="006C6205">
        <w:rPr>
          <w:rFonts w:ascii="Adobe Caslon Pro" w:hAnsi="Adobe Caslon Pro" w:cs="Arial"/>
        </w:rPr>
        <w:t>.</w:t>
      </w:r>
    </w:p>
    <w:p w:rsidR="007E798C" w:rsidRPr="007E798C" w:rsidRDefault="007E798C" w:rsidP="007E798C">
      <w:pPr>
        <w:spacing w:after="120" w:line="240" w:lineRule="auto"/>
        <w:ind w:right="174" w:hanging="284"/>
        <w:jc w:val="both"/>
        <w:rPr>
          <w:rFonts w:ascii="Adobe Caslon Pro" w:hAnsi="Adobe Caslon Pro" w:cs="Arial"/>
          <w:lang w:val="en-US"/>
        </w:rPr>
      </w:pPr>
      <w:proofErr w:type="spellStart"/>
      <w:r w:rsidRPr="00860B3A">
        <w:rPr>
          <w:rFonts w:ascii="Adobe Caslon Pro" w:hAnsi="Adobe Caslon Pro" w:cs="Arial"/>
          <w:lang w:val="en-US"/>
        </w:rPr>
        <w:t>Kudva</w:t>
      </w:r>
      <w:proofErr w:type="spellEnd"/>
      <w:r w:rsidRPr="00860B3A">
        <w:rPr>
          <w:rFonts w:ascii="Adobe Caslon Pro" w:hAnsi="Adobe Caslon Pro" w:cs="Arial"/>
          <w:lang w:val="en-US"/>
        </w:rPr>
        <w:t xml:space="preserve">, N. (2005). “Conceptualizing NGO-State Relations in Karnataka: Conflicts and Collaboration amidst Organizational Diversity”. </w:t>
      </w:r>
      <w:r w:rsidRPr="007E798C">
        <w:rPr>
          <w:rFonts w:ascii="Adobe Caslon Pro" w:hAnsi="Adobe Caslon Pro" w:cs="Arial"/>
          <w:lang w:val="en-US"/>
        </w:rPr>
        <w:t>Estados Unidos: Conference on the Development of Bangalore</w:t>
      </w:r>
      <w:r w:rsidR="0022257F">
        <w:rPr>
          <w:rFonts w:ascii="Adobe Caslon Pro" w:hAnsi="Adobe Caslon Pro" w:cs="Arial"/>
          <w:lang w:val="en-US"/>
        </w:rPr>
        <w:t>.</w:t>
      </w:r>
    </w:p>
    <w:p w:rsidR="007E798C" w:rsidRPr="00860B3A" w:rsidRDefault="007E798C" w:rsidP="007E798C">
      <w:pPr>
        <w:spacing w:after="120" w:line="240" w:lineRule="auto"/>
        <w:ind w:right="174" w:hanging="284"/>
        <w:jc w:val="both"/>
        <w:rPr>
          <w:rFonts w:ascii="Adobe Caslon Pro" w:hAnsi="Adobe Caslon Pro" w:cs="Arial"/>
        </w:rPr>
      </w:pPr>
      <w:proofErr w:type="gramStart"/>
      <w:r w:rsidRPr="00994916">
        <w:rPr>
          <w:rFonts w:ascii="Adobe Caslon Pro" w:hAnsi="Adobe Caslon Pro" w:cs="Arial"/>
          <w:lang w:val="en-US"/>
        </w:rPr>
        <w:t>Lewis, D. y Kanji, K. (2009).</w:t>
      </w:r>
      <w:proofErr w:type="gramEnd"/>
      <w:r w:rsidRPr="00994916">
        <w:rPr>
          <w:rFonts w:ascii="Adobe Caslon Pro" w:hAnsi="Adobe Caslon Pro" w:cs="Arial"/>
          <w:lang w:val="en-US"/>
        </w:rPr>
        <w:t xml:space="preserve"> </w:t>
      </w:r>
      <w:r w:rsidRPr="00860B3A">
        <w:rPr>
          <w:rFonts w:ascii="Adobe Caslon Pro" w:hAnsi="Adobe Caslon Pro" w:cs="Arial"/>
          <w:lang w:val="en-US"/>
        </w:rPr>
        <w:t xml:space="preserve">“Non-governmental organizations and development”. </w:t>
      </w:r>
      <w:r w:rsidRPr="00860B3A">
        <w:rPr>
          <w:rFonts w:ascii="Adobe Caslon Pro" w:hAnsi="Adobe Caslon Pro" w:cs="Arial"/>
        </w:rPr>
        <w:t xml:space="preserve">Estados Unidos: </w:t>
      </w:r>
      <w:proofErr w:type="spellStart"/>
      <w:r w:rsidRPr="00860B3A">
        <w:rPr>
          <w:rFonts w:ascii="Adobe Caslon Pro" w:hAnsi="Adobe Caslon Pro" w:cs="Arial"/>
        </w:rPr>
        <w:t>Routledge</w:t>
      </w:r>
      <w:proofErr w:type="spellEnd"/>
      <w:r w:rsidR="0022257F">
        <w:rPr>
          <w:rFonts w:ascii="Adobe Caslon Pro" w:hAnsi="Adobe Caslon Pro" w:cs="Arial"/>
        </w:rPr>
        <w:t>.</w:t>
      </w:r>
    </w:p>
    <w:p w:rsidR="007E798C" w:rsidRPr="00860B3A" w:rsidRDefault="007E798C" w:rsidP="007E798C">
      <w:pPr>
        <w:spacing w:after="120"/>
        <w:ind w:right="174" w:hanging="284"/>
        <w:jc w:val="both"/>
        <w:rPr>
          <w:rFonts w:ascii="Adobe Caslon Pro" w:hAnsi="Adobe Caslon Pro" w:cs="Arial"/>
        </w:rPr>
      </w:pPr>
      <w:r w:rsidRPr="00860B3A">
        <w:rPr>
          <w:rFonts w:ascii="Adobe Caslon Pro" w:hAnsi="Adobe Caslon Pro" w:cs="Arial"/>
        </w:rPr>
        <w:t>Méndez, J. y Pérez, G. (2013). “Documento Básico sobre Coordinación Interinstitucional y Participación Social”. México: Consejo Nacional de Evaluación de la Política de Desarrollo Social-El Colegio de México</w:t>
      </w:r>
      <w:r w:rsidR="0022257F">
        <w:rPr>
          <w:rFonts w:ascii="Adobe Caslon Pro" w:hAnsi="Adobe Caslon Pro" w:cs="Arial"/>
        </w:rPr>
        <w:t>.</w:t>
      </w:r>
    </w:p>
    <w:p w:rsidR="007E798C" w:rsidRPr="00860B3A" w:rsidRDefault="007E798C" w:rsidP="007E798C">
      <w:pPr>
        <w:spacing w:after="120" w:line="240" w:lineRule="auto"/>
        <w:ind w:right="174" w:hanging="284"/>
        <w:jc w:val="both"/>
        <w:rPr>
          <w:rFonts w:ascii="Adobe Caslon Pro" w:hAnsi="Adobe Caslon Pro" w:cs="Arial"/>
        </w:rPr>
      </w:pPr>
      <w:r w:rsidRPr="00860B3A">
        <w:rPr>
          <w:rFonts w:ascii="Adobe Caslon Pro" w:hAnsi="Adobe Caslon Pro" w:cs="Arial"/>
        </w:rPr>
        <w:lastRenderedPageBreak/>
        <w:t xml:space="preserve">Morales, C. (1998). “Ni privado ni estatal: en busca de una nueva estrategia para la Provisión de servicios públicos”, en Revista de Servicio Público, Año 49 Número 4, octubre-diciembre, </w:t>
      </w:r>
      <w:proofErr w:type="spellStart"/>
      <w:r w:rsidRPr="00860B3A">
        <w:rPr>
          <w:rFonts w:ascii="Adobe Caslon Pro" w:hAnsi="Adobe Caslon Pro" w:cs="Arial"/>
        </w:rPr>
        <w:t>pp</w:t>
      </w:r>
      <w:proofErr w:type="spellEnd"/>
      <w:r w:rsidRPr="00860B3A">
        <w:rPr>
          <w:rFonts w:ascii="Adobe Caslon Pro" w:hAnsi="Adobe Caslon Pro" w:cs="Arial"/>
        </w:rPr>
        <w:t xml:space="preserve"> 17-147</w:t>
      </w:r>
      <w:r w:rsidR="0022257F">
        <w:rPr>
          <w:rFonts w:ascii="Adobe Caslon Pro" w:hAnsi="Adobe Caslon Pro" w:cs="Arial"/>
        </w:rPr>
        <w:t>.</w:t>
      </w:r>
    </w:p>
    <w:p w:rsidR="007E798C" w:rsidRPr="00860B3A" w:rsidRDefault="007E798C" w:rsidP="007E798C">
      <w:pPr>
        <w:spacing w:after="120" w:line="240" w:lineRule="auto"/>
        <w:ind w:right="174" w:hanging="284"/>
        <w:jc w:val="both"/>
        <w:rPr>
          <w:rFonts w:ascii="Adobe Caslon Pro" w:hAnsi="Adobe Caslon Pro" w:cs="Arial"/>
        </w:rPr>
      </w:pPr>
      <w:r w:rsidRPr="00860B3A">
        <w:rPr>
          <w:rFonts w:ascii="Adobe Caslon Pro" w:hAnsi="Adobe Caslon Pro" w:cs="Arial"/>
        </w:rPr>
        <w:t>Muñoz, O. (2001) “Estrategias de desarrollo en economías emergentes. Lecciones de la experiencia latinoamericana” Chile: Departamento de Ingeniería Industria</w:t>
      </w:r>
      <w:r w:rsidR="0022257F">
        <w:rPr>
          <w:rFonts w:ascii="Adobe Caslon Pro" w:hAnsi="Adobe Caslon Pro" w:cs="Arial"/>
        </w:rPr>
        <w:t>l, Universidad de Chile, FLACSO.</w:t>
      </w:r>
    </w:p>
    <w:p w:rsidR="007E798C" w:rsidRPr="00860B3A" w:rsidRDefault="007E798C" w:rsidP="007E798C">
      <w:pPr>
        <w:spacing w:after="120"/>
        <w:ind w:right="174" w:hanging="284"/>
        <w:jc w:val="both"/>
        <w:rPr>
          <w:rFonts w:ascii="Adobe Caslon Pro" w:hAnsi="Adobe Caslon Pro" w:cs="Arial"/>
        </w:rPr>
      </w:pPr>
      <w:r w:rsidRPr="00860B3A">
        <w:rPr>
          <w:rFonts w:ascii="Adobe Caslon Pro" w:hAnsi="Adobe Caslon Pro" w:cs="Arial"/>
        </w:rPr>
        <w:t>Ocejo, A. (2011) “Organizaciones de la Sociedad Civil, Control Ciudadano e Incidencia Política En México. Seis Casos Para Entender Una Práctica Heterogénea Emergente (2005 – 2009)”. Tesis para obtener el grado de Doctora en Ciencias Políticas y Sociales. FCPyS. México: Universid</w:t>
      </w:r>
      <w:r w:rsidR="0022257F">
        <w:rPr>
          <w:rFonts w:ascii="Adobe Caslon Pro" w:hAnsi="Adobe Caslon Pro" w:cs="Arial"/>
        </w:rPr>
        <w:t>ad Nacional Autónoma de México.</w:t>
      </w:r>
    </w:p>
    <w:p w:rsidR="007E798C" w:rsidRPr="00860B3A" w:rsidRDefault="007E798C" w:rsidP="007E798C">
      <w:pPr>
        <w:spacing w:after="120" w:line="240" w:lineRule="auto"/>
        <w:ind w:right="174" w:hanging="284"/>
        <w:jc w:val="both"/>
        <w:rPr>
          <w:rFonts w:ascii="Adobe Caslon Pro" w:hAnsi="Adobe Caslon Pro" w:cs="Arial"/>
        </w:rPr>
      </w:pPr>
      <w:r w:rsidRPr="00860B3A">
        <w:rPr>
          <w:rFonts w:ascii="Adobe Caslon Pro" w:hAnsi="Adobe Caslon Pro" w:cs="Arial"/>
        </w:rPr>
        <w:t>Olvera, A. (2009)” La participación ciudadana y sus retos en México. Un breve estudio del desarrollo de la cultura y de las instituciones participativas y diagnóstico de su problemática actual, con propuestas para hacer funcionales las instancias de par</w:t>
      </w:r>
      <w:r w:rsidR="0022257F">
        <w:rPr>
          <w:rFonts w:ascii="Adobe Caslon Pro" w:hAnsi="Adobe Caslon Pro" w:cs="Arial"/>
        </w:rPr>
        <w:t>ticipación democrática”. México.</w:t>
      </w:r>
    </w:p>
    <w:p w:rsidR="007E798C" w:rsidRDefault="007E798C" w:rsidP="007E798C">
      <w:pPr>
        <w:spacing w:after="120" w:line="240" w:lineRule="auto"/>
        <w:ind w:right="174" w:hanging="284"/>
        <w:jc w:val="both"/>
        <w:rPr>
          <w:rFonts w:ascii="Adobe Caslon Pro" w:hAnsi="Adobe Caslon Pro" w:cs="Arial"/>
        </w:rPr>
      </w:pPr>
      <w:r w:rsidRPr="00860B3A">
        <w:rPr>
          <w:rFonts w:ascii="Adobe Caslon Pro" w:hAnsi="Adobe Caslon Pro" w:cs="Arial"/>
        </w:rPr>
        <w:t>PNUD (2012) “Índice de Desarrollo Humano por Entidad Federativa”. México: Programa de las Naci</w:t>
      </w:r>
      <w:r w:rsidR="0022257F">
        <w:rPr>
          <w:rFonts w:ascii="Adobe Caslon Pro" w:hAnsi="Adobe Caslon Pro" w:cs="Arial"/>
        </w:rPr>
        <w:t>ones Unidas para el Desarrollo.</w:t>
      </w:r>
      <w:r w:rsidRPr="00860B3A">
        <w:rPr>
          <w:rFonts w:ascii="Adobe Caslon Pro" w:hAnsi="Adobe Caslon Pro" w:cs="Arial"/>
        </w:rPr>
        <w:t xml:space="preserve"> </w:t>
      </w:r>
    </w:p>
    <w:p w:rsidR="007E798C" w:rsidRPr="00860B3A" w:rsidRDefault="007E798C" w:rsidP="007E798C">
      <w:pPr>
        <w:spacing w:after="120" w:line="240" w:lineRule="auto"/>
        <w:ind w:right="174" w:hanging="284"/>
        <w:jc w:val="both"/>
        <w:rPr>
          <w:rFonts w:ascii="Adobe Caslon Pro" w:hAnsi="Adobe Caslon Pro" w:cs="Arial"/>
        </w:rPr>
      </w:pPr>
      <w:r w:rsidRPr="00860B3A">
        <w:rPr>
          <w:rFonts w:ascii="Adobe Caslon Pro" w:hAnsi="Adobe Caslon Pro" w:cs="Arial"/>
        </w:rPr>
        <w:t>Presidencia de la República (2013). “Anexo Estadístico del Primer Informe de Gobierno Presidente Enrique Peña Nieto”. Méxi</w:t>
      </w:r>
      <w:r w:rsidR="0022257F">
        <w:rPr>
          <w:rFonts w:ascii="Adobe Caslon Pro" w:hAnsi="Adobe Caslon Pro" w:cs="Arial"/>
        </w:rPr>
        <w:t>co: Presidencia de la República.</w:t>
      </w:r>
    </w:p>
    <w:p w:rsidR="007E798C" w:rsidRPr="00860B3A" w:rsidRDefault="007E798C" w:rsidP="007E798C">
      <w:pPr>
        <w:spacing w:after="120"/>
        <w:ind w:right="174" w:hanging="284"/>
        <w:jc w:val="both"/>
        <w:rPr>
          <w:rFonts w:ascii="Adobe Caslon Pro" w:hAnsi="Adobe Caslon Pro" w:cs="Arial"/>
        </w:rPr>
      </w:pPr>
      <w:r w:rsidRPr="00860B3A">
        <w:rPr>
          <w:rFonts w:ascii="Adobe Caslon Pro" w:hAnsi="Adobe Caslon Pro" w:cs="Arial"/>
        </w:rPr>
        <w:t xml:space="preserve">Rovere, M. (1998) </w:t>
      </w:r>
      <w:r>
        <w:rPr>
          <w:rFonts w:ascii="Adobe Caslon Pro" w:hAnsi="Adobe Caslon Pro" w:cs="Arial"/>
        </w:rPr>
        <w:t>“</w:t>
      </w:r>
      <w:r w:rsidRPr="00860B3A">
        <w:rPr>
          <w:rFonts w:ascii="Adobe Caslon Pro" w:hAnsi="Adobe Caslon Pro" w:cs="Arial"/>
        </w:rPr>
        <w:t>Redes en salud; Un nuevo paradigma para el abordaje de las organizaciones y la comunidad</w:t>
      </w:r>
      <w:r>
        <w:rPr>
          <w:rFonts w:ascii="Adobe Caslon Pro" w:hAnsi="Adobe Caslon Pro" w:cs="Arial"/>
        </w:rPr>
        <w:t>”</w:t>
      </w:r>
      <w:r w:rsidRPr="00860B3A">
        <w:rPr>
          <w:rFonts w:ascii="Adobe Caslon Pro" w:hAnsi="Adobe Caslon Pro" w:cs="Arial"/>
        </w:rPr>
        <w:t xml:space="preserve">. Argentina: </w:t>
      </w:r>
      <w:r w:rsidR="0022257F">
        <w:rPr>
          <w:rFonts w:ascii="Adobe Caslon Pro" w:eastAsiaTheme="minorHAnsi" w:hAnsi="Adobe Caslon Pro" w:cs="TimesNewRoman"/>
        </w:rPr>
        <w:t>Instituto Lazarte.</w:t>
      </w:r>
    </w:p>
    <w:p w:rsidR="007E798C" w:rsidRPr="00860B3A" w:rsidRDefault="007E798C" w:rsidP="007E798C">
      <w:pPr>
        <w:spacing w:after="120"/>
        <w:ind w:right="174" w:hanging="284"/>
        <w:jc w:val="both"/>
        <w:rPr>
          <w:rFonts w:ascii="Adobe Caslon Pro" w:hAnsi="Adobe Caslon Pro" w:cs="Arial"/>
        </w:rPr>
      </w:pPr>
      <w:r>
        <w:rPr>
          <w:rFonts w:ascii="Adobe Caslon Pro" w:hAnsi="Adobe Caslon Pro" w:cs="Arial"/>
        </w:rPr>
        <w:t>SEDESOL (2007</w:t>
      </w:r>
      <w:r w:rsidRPr="00860B3A">
        <w:rPr>
          <w:rFonts w:ascii="Adobe Caslon Pro" w:hAnsi="Adobe Caslon Pro" w:cs="Arial"/>
        </w:rPr>
        <w:t>). “Meta Evaluación 2007-2012 del PCS”. México: Secretaría de Desarrollo Social</w:t>
      </w:r>
      <w:r w:rsidR="0022257F">
        <w:rPr>
          <w:rFonts w:ascii="Adobe Caslon Pro" w:hAnsi="Adobe Caslon Pro" w:cs="Arial"/>
        </w:rPr>
        <w:t>.</w:t>
      </w:r>
    </w:p>
    <w:p w:rsidR="007E798C" w:rsidRPr="00860B3A" w:rsidRDefault="007E798C" w:rsidP="007E798C">
      <w:pPr>
        <w:spacing w:after="120"/>
        <w:ind w:right="174" w:hanging="284"/>
        <w:jc w:val="both"/>
        <w:rPr>
          <w:rFonts w:ascii="Adobe Caslon Pro" w:hAnsi="Adobe Caslon Pro" w:cs="Arial"/>
        </w:rPr>
      </w:pPr>
      <w:r w:rsidRPr="00860B3A">
        <w:rPr>
          <w:rFonts w:ascii="Adobe Caslon Pro" w:hAnsi="Adobe Caslon Pro" w:cs="Arial"/>
        </w:rPr>
        <w:t>SEDESOL (2009). “Diagnóstico de la situación de los actores sociales que promueven el desarrollo social”. México: Secretaría de Desarrol</w:t>
      </w:r>
      <w:r w:rsidR="0022257F">
        <w:rPr>
          <w:rFonts w:ascii="Adobe Caslon Pro" w:hAnsi="Adobe Caslon Pro" w:cs="Arial"/>
        </w:rPr>
        <w:t>lo Social.</w:t>
      </w:r>
    </w:p>
    <w:p w:rsidR="007E798C" w:rsidRPr="00860B3A" w:rsidRDefault="007E798C" w:rsidP="007E798C">
      <w:pPr>
        <w:spacing w:after="120"/>
        <w:ind w:right="174" w:hanging="284"/>
        <w:jc w:val="both"/>
        <w:rPr>
          <w:rFonts w:ascii="Adobe Caslon Pro" w:hAnsi="Adobe Caslon Pro" w:cs="Arial"/>
        </w:rPr>
      </w:pPr>
      <w:r w:rsidRPr="00860B3A">
        <w:rPr>
          <w:rFonts w:ascii="Adobe Caslon Pro" w:hAnsi="Adobe Caslon Pro" w:cs="Arial"/>
        </w:rPr>
        <w:t xml:space="preserve">SEDESOL (2011). “ACUERDO por el que se emiten las Reglas de Operación del Programa de Coinversión Social, para el ejercicio fiscal 2012”. México: </w:t>
      </w:r>
      <w:r w:rsidR="0022257F">
        <w:rPr>
          <w:rFonts w:ascii="Adobe Caslon Pro" w:hAnsi="Adobe Caslon Pro" w:cs="Arial"/>
        </w:rPr>
        <w:t>Secretaría de Desarrollo Social.</w:t>
      </w:r>
    </w:p>
    <w:p w:rsidR="007E798C" w:rsidRPr="00860B3A" w:rsidRDefault="007E798C" w:rsidP="007E798C">
      <w:pPr>
        <w:spacing w:after="120"/>
        <w:ind w:right="174" w:hanging="284"/>
        <w:jc w:val="both"/>
        <w:rPr>
          <w:rFonts w:ascii="Adobe Caslon Pro" w:hAnsi="Adobe Caslon Pro" w:cs="Arial"/>
        </w:rPr>
      </w:pPr>
      <w:r w:rsidRPr="00860B3A">
        <w:rPr>
          <w:rFonts w:ascii="Adobe Caslon Pro" w:hAnsi="Adobe Caslon Pro" w:cs="Arial"/>
        </w:rPr>
        <w:t>SEDESOL (2011). “Nota sobre población potencial y población objetivo”. México: S</w:t>
      </w:r>
      <w:r w:rsidR="0022257F">
        <w:rPr>
          <w:rFonts w:ascii="Adobe Caslon Pro" w:hAnsi="Adobe Caslon Pro" w:cs="Arial"/>
        </w:rPr>
        <w:t>ecretaría de Desarrollo Social.</w:t>
      </w:r>
      <w:r w:rsidRPr="00860B3A">
        <w:rPr>
          <w:rFonts w:ascii="Adobe Caslon Pro" w:hAnsi="Adobe Caslon Pro" w:cs="Arial"/>
        </w:rPr>
        <w:t xml:space="preserve"> </w:t>
      </w:r>
    </w:p>
    <w:p w:rsidR="007E798C" w:rsidRPr="00860B3A" w:rsidRDefault="007E798C" w:rsidP="007E798C">
      <w:pPr>
        <w:spacing w:after="120" w:line="240" w:lineRule="auto"/>
        <w:ind w:right="174" w:hanging="284"/>
        <w:jc w:val="both"/>
        <w:rPr>
          <w:rFonts w:ascii="Adobe Caslon Pro" w:hAnsi="Adobe Caslon Pro" w:cs="Arial"/>
        </w:rPr>
      </w:pPr>
      <w:r w:rsidRPr="00860B3A">
        <w:rPr>
          <w:rFonts w:ascii="Adobe Caslon Pro" w:hAnsi="Adobe Caslon Pro" w:cs="Arial"/>
        </w:rPr>
        <w:t xml:space="preserve">SEDESOL (2013). “ACUERDO por el que se emiten las Reglas de Operación del Programa de Coinversión Social, para el ejercicio fiscal 2013”. México: </w:t>
      </w:r>
      <w:r w:rsidR="0022257F">
        <w:rPr>
          <w:rFonts w:ascii="Adobe Caslon Pro" w:hAnsi="Adobe Caslon Pro" w:cs="Arial"/>
        </w:rPr>
        <w:t>Secretaría de Desarrollo Social.</w:t>
      </w:r>
    </w:p>
    <w:p w:rsidR="007E798C" w:rsidRPr="00860B3A" w:rsidRDefault="007E798C" w:rsidP="007E798C">
      <w:pPr>
        <w:spacing w:after="120" w:line="240" w:lineRule="auto"/>
        <w:ind w:right="174" w:hanging="284"/>
        <w:jc w:val="both"/>
        <w:rPr>
          <w:rFonts w:ascii="Adobe Caslon Pro" w:hAnsi="Adobe Caslon Pro" w:cs="Arial"/>
        </w:rPr>
      </w:pPr>
      <w:r w:rsidRPr="00860B3A">
        <w:rPr>
          <w:rFonts w:ascii="Adobe Caslon Pro" w:hAnsi="Adobe Caslon Pro" w:cs="Arial"/>
        </w:rPr>
        <w:lastRenderedPageBreak/>
        <w:t>SIGEPPCS (2013). “Sistema de Gestión de Proyectos del PCS”. México: Instituto Nacional de Desarr</w:t>
      </w:r>
      <w:r w:rsidR="0022257F">
        <w:rPr>
          <w:rFonts w:ascii="Adobe Caslon Pro" w:hAnsi="Adobe Caslon Pro" w:cs="Arial"/>
        </w:rPr>
        <w:t>ollo Social.</w:t>
      </w:r>
    </w:p>
    <w:p w:rsidR="007E798C" w:rsidRPr="00860B3A" w:rsidRDefault="007E798C" w:rsidP="007E798C">
      <w:pPr>
        <w:spacing w:after="120" w:line="240" w:lineRule="auto"/>
        <w:ind w:right="174" w:hanging="284"/>
        <w:jc w:val="both"/>
        <w:rPr>
          <w:rFonts w:ascii="Adobe Caslon Pro" w:hAnsi="Adobe Caslon Pro" w:cs="Arial"/>
        </w:rPr>
      </w:pPr>
      <w:r>
        <w:rPr>
          <w:rFonts w:ascii="Adobe Caslon Pro" w:hAnsi="Adobe Caslon Pro" w:cs="Arial"/>
        </w:rPr>
        <w:t>SIRFOSC</w:t>
      </w:r>
      <w:r w:rsidRPr="00860B3A">
        <w:rPr>
          <w:rFonts w:ascii="Adobe Caslon Pro" w:hAnsi="Adobe Caslon Pro" w:cs="Arial"/>
        </w:rPr>
        <w:t xml:space="preserve"> (varios años) “Informe Anual de la Comisión de Fomento”. México: Sistema de Infor</w:t>
      </w:r>
      <w:r w:rsidR="0022257F">
        <w:rPr>
          <w:rFonts w:ascii="Adobe Caslon Pro" w:hAnsi="Adobe Caslon Pro" w:cs="Arial"/>
        </w:rPr>
        <w:t>mación del Registro de las OSC.</w:t>
      </w:r>
      <w:r w:rsidRPr="00860B3A">
        <w:rPr>
          <w:rFonts w:ascii="Adobe Caslon Pro" w:hAnsi="Adobe Caslon Pro" w:cs="Arial"/>
        </w:rPr>
        <w:t xml:space="preserve"> </w:t>
      </w:r>
    </w:p>
    <w:p w:rsidR="007E798C" w:rsidRPr="00860B3A" w:rsidRDefault="007E798C" w:rsidP="007E798C">
      <w:pPr>
        <w:spacing w:after="120" w:line="240" w:lineRule="auto"/>
        <w:ind w:right="174" w:hanging="284"/>
        <w:jc w:val="both"/>
        <w:rPr>
          <w:rFonts w:ascii="Adobe Caslon Pro" w:hAnsi="Adobe Caslon Pro" w:cs="Arial"/>
        </w:rPr>
      </w:pPr>
      <w:r w:rsidRPr="00860B3A">
        <w:rPr>
          <w:rFonts w:ascii="Adobe Caslon Pro" w:hAnsi="Adobe Caslon Pro" w:cs="Arial"/>
        </w:rPr>
        <w:t>Tapia, M. (2010). “Organizaciones de la Sociedad Civil y Políticas Públicas, en J.L. Méndez (comp.), Los grandes problemas de México, vol. XIII</w:t>
      </w:r>
      <w:r w:rsidR="0022257F">
        <w:rPr>
          <w:rFonts w:ascii="Adobe Caslon Pro" w:hAnsi="Adobe Caslon Pro" w:cs="Arial"/>
        </w:rPr>
        <w:t>”. México: El Colegio de México.</w:t>
      </w:r>
    </w:p>
    <w:p w:rsidR="007E798C" w:rsidRPr="00860B3A" w:rsidRDefault="007E798C" w:rsidP="007E798C">
      <w:pPr>
        <w:spacing w:after="120" w:line="240" w:lineRule="auto"/>
        <w:ind w:right="174" w:hanging="284"/>
        <w:jc w:val="both"/>
        <w:rPr>
          <w:rFonts w:ascii="Adobe Caslon Pro" w:hAnsi="Adobe Caslon Pro" w:cs="Arial"/>
        </w:rPr>
      </w:pPr>
      <w:r w:rsidRPr="00860B3A">
        <w:rPr>
          <w:rFonts w:ascii="Adobe Caslon Pro" w:hAnsi="Adobe Caslon Pro" w:cs="Arial"/>
        </w:rPr>
        <w:t>Tapia, M., Campillo B., Cruickshank S., Morales G., (2010).</w:t>
      </w:r>
      <w:r w:rsidRPr="00860B3A">
        <w:rPr>
          <w:rFonts w:ascii="Adobe Caslon Pro" w:hAnsi="Adobe Caslon Pro"/>
        </w:rPr>
        <w:t xml:space="preserve"> “</w:t>
      </w:r>
      <w:r w:rsidRPr="00860B3A">
        <w:rPr>
          <w:rFonts w:ascii="Adobe Caslon Pro" w:hAnsi="Adobe Caslon Pro" w:cs="Arial"/>
        </w:rPr>
        <w:t xml:space="preserve">Manual de Incidencia en Políticas Públicas”. México: Alternativas y Capacidades A.C. </w:t>
      </w:r>
    </w:p>
    <w:p w:rsidR="007E798C" w:rsidRPr="00860B3A" w:rsidRDefault="007E798C" w:rsidP="007E798C">
      <w:pPr>
        <w:spacing w:after="120" w:line="240" w:lineRule="auto"/>
        <w:ind w:right="174" w:hanging="284"/>
        <w:jc w:val="both"/>
        <w:rPr>
          <w:rFonts w:ascii="Adobe Caslon Pro" w:hAnsi="Adobe Caslon Pro" w:cs="Arial"/>
        </w:rPr>
      </w:pPr>
      <w:r w:rsidRPr="00860B3A">
        <w:rPr>
          <w:rFonts w:ascii="Adobe Caslon Pro" w:hAnsi="Adobe Caslon Pro" w:cs="Arial"/>
        </w:rPr>
        <w:t>Tapia, M. y Robles G. (2007). “Asignación y rendición de cuentas de los recursos públicos dirigidos a las organizaciones de la sociedad civil, en J. Fox, L. Haight, H. Hofbauer y T. Sánchez, Derecho a saber: balance y perspectivas cívicas”. Méxi</w:t>
      </w:r>
      <w:r>
        <w:rPr>
          <w:rFonts w:ascii="Adobe Caslon Pro" w:hAnsi="Adobe Caslon Pro" w:cs="Arial"/>
        </w:rPr>
        <w:t>co: Fundar-</w:t>
      </w:r>
      <w:proofErr w:type="spellStart"/>
      <w:r>
        <w:rPr>
          <w:rFonts w:ascii="Adobe Caslon Pro" w:hAnsi="Adobe Caslon Pro" w:cs="Arial"/>
        </w:rPr>
        <w:t>Widrow</w:t>
      </w:r>
      <w:proofErr w:type="spellEnd"/>
      <w:r>
        <w:rPr>
          <w:rFonts w:ascii="Adobe Caslon Pro" w:hAnsi="Adobe Caslon Pro" w:cs="Arial"/>
        </w:rPr>
        <w:t xml:space="preserve"> Wilson Center</w:t>
      </w:r>
      <w:r w:rsidR="0022257F">
        <w:rPr>
          <w:rFonts w:ascii="Adobe Caslon Pro" w:hAnsi="Adobe Caslon Pro" w:cs="Arial"/>
        </w:rPr>
        <w:t>.</w:t>
      </w:r>
    </w:p>
    <w:p w:rsidR="007E798C" w:rsidRPr="00860B3A" w:rsidRDefault="007E798C" w:rsidP="007E798C">
      <w:pPr>
        <w:spacing w:after="120"/>
        <w:ind w:right="174" w:hanging="284"/>
        <w:jc w:val="both"/>
        <w:rPr>
          <w:rFonts w:ascii="Adobe Caslon Pro" w:hAnsi="Adobe Caslon Pro" w:cs="Arial"/>
        </w:rPr>
      </w:pPr>
      <w:r w:rsidRPr="00860B3A">
        <w:rPr>
          <w:rFonts w:ascii="Adobe Caslon Pro" w:hAnsi="Adobe Caslon Pro" w:cs="Arial"/>
        </w:rPr>
        <w:t xml:space="preserve">Tapia, M. y Verduzco, M.I. (2013). “Fortalecimiento de la ciudadanía organizada: diagnóstico y reformas para un ambiente propicio en México”. México: Alternativas y Capacidades, A.C. </w:t>
      </w:r>
    </w:p>
    <w:p w:rsidR="007E798C" w:rsidRPr="00BE391E" w:rsidRDefault="007E798C" w:rsidP="007E798C">
      <w:pPr>
        <w:spacing w:after="120" w:line="240" w:lineRule="auto"/>
        <w:ind w:right="174" w:hanging="284"/>
        <w:jc w:val="both"/>
        <w:rPr>
          <w:rFonts w:ascii="Adobe Caslon Pro" w:hAnsi="Adobe Caslon Pro" w:cs="Arial"/>
        </w:rPr>
      </w:pPr>
      <w:r w:rsidRPr="00860B3A">
        <w:rPr>
          <w:rFonts w:ascii="Adobe Caslon Pro" w:hAnsi="Adobe Caslon Pro" w:cs="Arial"/>
        </w:rPr>
        <w:t xml:space="preserve">Verduzco, M. Leal, J. Tapia, M. (2009). “Fondos públicos para las organizaciones de la sociedad civil: análisis del Programa de Coinversión Social”. México: Alternativas y Capacidades, A.C. </w:t>
      </w:r>
    </w:p>
    <w:p w:rsidR="007E798C" w:rsidRDefault="007E798C">
      <w:pPr>
        <w:spacing w:after="200"/>
        <w:rPr>
          <w:rFonts w:ascii="Adobe Caslon Pro" w:eastAsia="Times New Roman" w:hAnsi="Adobe Caslon Pro"/>
          <w:b/>
          <w:bCs/>
          <w:color w:val="C00000"/>
          <w:sz w:val="26"/>
          <w:szCs w:val="26"/>
        </w:rPr>
      </w:pPr>
      <w:r>
        <w:br w:type="page"/>
      </w:r>
    </w:p>
    <w:sectPr w:rsidR="007E798C" w:rsidSect="00220588">
      <w:type w:val="oddPage"/>
      <w:pgSz w:w="12240" w:h="15840" w:code="1"/>
      <w:pgMar w:top="1854" w:right="1338" w:bottom="1418" w:left="1514"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0097" w:rsidRDefault="00CA0097" w:rsidP="00D25F5B">
      <w:pPr>
        <w:spacing w:after="0" w:line="240" w:lineRule="auto"/>
      </w:pPr>
      <w:r>
        <w:separator/>
      </w:r>
    </w:p>
  </w:endnote>
  <w:endnote w:type="continuationSeparator" w:id="0">
    <w:p w:rsidR="00CA0097" w:rsidRDefault="00CA0097" w:rsidP="00D25F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Caslon Pro">
    <w:altName w:val="Georgia"/>
    <w:panose1 w:val="0205050205050A020403"/>
    <w:charset w:val="00"/>
    <w:family w:val="roman"/>
    <w:notTrueType/>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ajan Pro">
    <w:altName w:val="Georgia"/>
    <w:panose1 w:val="00000000000000000000"/>
    <w:charset w:val="00"/>
    <w:family w:val="roman"/>
    <w:notTrueType/>
    <w:pitch w:val="variable"/>
    <w:sig w:usb0="00000001" w:usb1="5000204B" w:usb2="00000000" w:usb3="00000000" w:csb0="0000009B"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residencia Fina">
    <w:altName w:val="Kredit"/>
    <w:charset w:val="00"/>
    <w:family w:val="auto"/>
    <w:pitch w:val="variable"/>
    <w:sig w:usb0="00000003" w:usb1="00000000" w:usb2="00000000" w:usb3="00000000" w:csb0="00000001" w:csb1="00000000"/>
  </w:font>
  <w:font w:name="PresidenciaFina">
    <w:altName w:val="Presidencia Fina"/>
    <w:panose1 w:val="00000000000000000000"/>
    <w:charset w:val="4D"/>
    <w:family w:val="auto"/>
    <w:notTrueType/>
    <w:pitch w:val="default"/>
    <w:sig w:usb0="00000003" w:usb1="00000000" w:usb2="00000000" w:usb3="00000000" w:csb0="00000001" w:csb1="00000000"/>
  </w:font>
  <w:font w:name="Berkeley">
    <w:altName w:val="Berkeley"/>
    <w:panose1 w:val="00000000000000000000"/>
    <w:charset w:val="00"/>
    <w:family w:val="roman"/>
    <w:notTrueType/>
    <w:pitch w:val="default"/>
    <w:sig w:usb0="00000003" w:usb1="00000000" w:usb2="00000000" w:usb3="00000000" w:csb0="00000001" w:csb1="00000000"/>
  </w:font>
  <w:font w:name="Carta">
    <w:altName w:val="MS Gothic"/>
    <w:panose1 w:val="00000000000000000000"/>
    <w:charset w:val="80"/>
    <w:family w:val="swiss"/>
    <w:notTrueType/>
    <w:pitch w:val="default"/>
    <w:sig w:usb0="00000000" w:usb1="08070000" w:usb2="00000010" w:usb3="00000000" w:csb0="00020000" w:csb1="00000000"/>
  </w:font>
  <w:font w:name="RotisSansSerif">
    <w:altName w:val="RotisSansSerif"/>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oberana Sans">
    <w:altName w:val="Times New Roman"/>
    <w:charset w:val="00"/>
    <w:family w:val="auto"/>
    <w:pitch w:val="variable"/>
    <w:sig w:usb0="00000003" w:usb1="4000204B" w:usb2="00000000" w:usb3="00000000" w:csb0="00000001" w:csb1="00000000"/>
  </w:font>
  <w:font w:name="TheMixLight-Plain">
    <w:altName w:val="Cambria"/>
    <w:panose1 w:val="00000000000000000000"/>
    <w:charset w:val="00"/>
    <w:family w:val="auto"/>
    <w:notTrueType/>
    <w:pitch w:val="default"/>
    <w:sig w:usb0="00000003" w:usb1="00000000" w:usb2="00000000" w:usb3="00000000" w:csb0="00000001" w:csb1="00000000"/>
  </w:font>
  <w:font w:name="TheMixLight-Italic">
    <w:altName w:val="Cambria"/>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dobe Caslon Pro" w:hAnsi="Adobe Caslon Pro"/>
      </w:rPr>
      <w:id w:val="1787465549"/>
      <w:docPartObj>
        <w:docPartGallery w:val="Page Numbers (Bottom of Page)"/>
        <w:docPartUnique/>
      </w:docPartObj>
    </w:sdtPr>
    <w:sdtEndPr/>
    <w:sdtContent>
      <w:p w:rsidR="001E4613" w:rsidRPr="0048606E" w:rsidRDefault="001E4613">
        <w:pPr>
          <w:pStyle w:val="Piedepgina"/>
          <w:jc w:val="right"/>
          <w:rPr>
            <w:rFonts w:ascii="Adobe Caslon Pro" w:hAnsi="Adobe Caslon Pro"/>
          </w:rPr>
        </w:pPr>
        <w:r w:rsidRPr="0048606E">
          <w:rPr>
            <w:rFonts w:ascii="Adobe Caslon Pro" w:hAnsi="Adobe Caslon Pro"/>
          </w:rPr>
          <w:fldChar w:fldCharType="begin"/>
        </w:r>
        <w:r w:rsidRPr="0048606E">
          <w:rPr>
            <w:rFonts w:ascii="Adobe Caslon Pro" w:hAnsi="Adobe Caslon Pro"/>
          </w:rPr>
          <w:instrText>PAGE   \* MERGEFORMAT</w:instrText>
        </w:r>
        <w:r w:rsidRPr="0048606E">
          <w:rPr>
            <w:rFonts w:ascii="Adobe Caslon Pro" w:hAnsi="Adobe Caslon Pro"/>
          </w:rPr>
          <w:fldChar w:fldCharType="separate"/>
        </w:r>
        <w:r w:rsidR="00994916" w:rsidRPr="00994916">
          <w:rPr>
            <w:rFonts w:ascii="Adobe Caslon Pro" w:hAnsi="Adobe Caslon Pro"/>
            <w:noProof/>
            <w:lang w:val="es-ES"/>
          </w:rPr>
          <w:t>8</w:t>
        </w:r>
        <w:r w:rsidRPr="0048606E">
          <w:rPr>
            <w:rFonts w:ascii="Adobe Caslon Pro" w:hAnsi="Adobe Caslon Pro"/>
          </w:rPr>
          <w:fldChar w:fldCharType="end"/>
        </w:r>
      </w:p>
    </w:sdtContent>
  </w:sdt>
  <w:p w:rsidR="001E4613" w:rsidRPr="0048606E" w:rsidRDefault="001E4613">
    <w:pPr>
      <w:pStyle w:val="Piedepgina"/>
      <w:rPr>
        <w:rFonts w:ascii="Adobe Caslon Pro" w:hAnsi="Adobe Caslon Pro"/>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4440660"/>
      <w:docPartObj>
        <w:docPartGallery w:val="Page Numbers (Bottom of Page)"/>
        <w:docPartUnique/>
      </w:docPartObj>
    </w:sdtPr>
    <w:sdtEndPr>
      <w:rPr>
        <w:rFonts w:ascii="Adobe Caslon Pro" w:hAnsi="Adobe Caslon Pro"/>
      </w:rPr>
    </w:sdtEndPr>
    <w:sdtContent>
      <w:p w:rsidR="001E4613" w:rsidRPr="00DC6D24" w:rsidRDefault="001E4613">
        <w:pPr>
          <w:pStyle w:val="Piedepgina"/>
          <w:jc w:val="right"/>
          <w:rPr>
            <w:rFonts w:ascii="Adobe Caslon Pro" w:hAnsi="Adobe Caslon Pro"/>
          </w:rPr>
        </w:pPr>
        <w:r w:rsidRPr="00DC6D24">
          <w:rPr>
            <w:rFonts w:ascii="Adobe Caslon Pro" w:hAnsi="Adobe Caslon Pro"/>
            <w:sz w:val="16"/>
          </w:rPr>
          <w:fldChar w:fldCharType="begin"/>
        </w:r>
        <w:r w:rsidRPr="00DC6D24">
          <w:rPr>
            <w:rFonts w:ascii="Adobe Caslon Pro" w:hAnsi="Adobe Caslon Pro"/>
            <w:sz w:val="16"/>
          </w:rPr>
          <w:instrText>PAGE   \* MERGEFORMAT</w:instrText>
        </w:r>
        <w:r w:rsidRPr="00DC6D24">
          <w:rPr>
            <w:rFonts w:ascii="Adobe Caslon Pro" w:hAnsi="Adobe Caslon Pro"/>
            <w:sz w:val="16"/>
          </w:rPr>
          <w:fldChar w:fldCharType="separate"/>
        </w:r>
        <w:r w:rsidR="00994916" w:rsidRPr="00994916">
          <w:rPr>
            <w:rFonts w:ascii="Adobe Caslon Pro" w:hAnsi="Adobe Caslon Pro"/>
            <w:noProof/>
            <w:sz w:val="16"/>
            <w:lang w:val="es-ES"/>
          </w:rPr>
          <w:t>22</w:t>
        </w:r>
        <w:r w:rsidRPr="00DC6D24">
          <w:rPr>
            <w:rFonts w:ascii="Adobe Caslon Pro" w:hAnsi="Adobe Caslon Pro"/>
            <w:sz w:val="16"/>
          </w:rPr>
          <w:fldChar w:fldCharType="end"/>
        </w:r>
      </w:p>
    </w:sdtContent>
  </w:sdt>
  <w:p w:rsidR="001E4613" w:rsidRDefault="001E461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0097" w:rsidRDefault="00CA0097" w:rsidP="00D25F5B">
      <w:pPr>
        <w:spacing w:after="0" w:line="240" w:lineRule="auto"/>
      </w:pPr>
      <w:r>
        <w:separator/>
      </w:r>
    </w:p>
  </w:footnote>
  <w:footnote w:type="continuationSeparator" w:id="0">
    <w:p w:rsidR="00CA0097" w:rsidRDefault="00CA0097" w:rsidP="00D25F5B">
      <w:pPr>
        <w:spacing w:after="0" w:line="240" w:lineRule="auto"/>
      </w:pPr>
      <w:r>
        <w:continuationSeparator/>
      </w:r>
    </w:p>
  </w:footnote>
  <w:footnote w:id="1">
    <w:p w:rsidR="001E4613" w:rsidRPr="00A01135" w:rsidRDefault="001E4613" w:rsidP="004D5D2F">
      <w:pPr>
        <w:pStyle w:val="Textonotapie"/>
        <w:jc w:val="both"/>
        <w:rPr>
          <w:rFonts w:ascii="Adobe Caslon Pro" w:hAnsi="Adobe Caslon Pro"/>
          <w:sz w:val="16"/>
          <w:szCs w:val="16"/>
        </w:rPr>
      </w:pPr>
      <w:r w:rsidRPr="00A01135">
        <w:rPr>
          <w:rStyle w:val="Refdenotaalpie"/>
          <w:rFonts w:ascii="Adobe Caslon Pro" w:hAnsi="Adobe Caslon Pro"/>
          <w:sz w:val="16"/>
          <w:szCs w:val="16"/>
        </w:rPr>
        <w:footnoteRef/>
      </w:r>
      <w:r w:rsidRPr="00A01135">
        <w:rPr>
          <w:rFonts w:ascii="Adobe Caslon Pro" w:hAnsi="Adobe Caslon Pro"/>
          <w:sz w:val="16"/>
          <w:szCs w:val="16"/>
        </w:rPr>
        <w:t xml:space="preserve"> Los lineamientos se pueden consultar en la siguiente dirección electrónica: </w:t>
      </w:r>
    </w:p>
    <w:p w:rsidR="001E4613" w:rsidRPr="00A01135" w:rsidRDefault="00CA0097" w:rsidP="004D5D2F">
      <w:pPr>
        <w:pStyle w:val="Textonotapie"/>
        <w:jc w:val="both"/>
        <w:rPr>
          <w:rFonts w:ascii="Adobe Caslon Pro" w:hAnsi="Adobe Caslon Pro"/>
          <w:sz w:val="16"/>
          <w:szCs w:val="16"/>
        </w:rPr>
      </w:pPr>
      <w:hyperlink r:id="rId1" w:history="1">
        <w:r w:rsidR="001E4613" w:rsidRPr="00A01135">
          <w:rPr>
            <w:rStyle w:val="Hipervnculo"/>
            <w:rFonts w:ascii="Adobe Caslon Pro" w:hAnsi="Adobe Caslon Pro"/>
            <w:sz w:val="16"/>
            <w:szCs w:val="16"/>
          </w:rPr>
          <w:t>http://dof.gob.mx/nota_detalle.php?codigo=5089652&amp;fecha=07/05/2009</w:t>
        </w:r>
      </w:hyperlink>
      <w:r w:rsidR="001E4613" w:rsidRPr="00A01135">
        <w:rPr>
          <w:rFonts w:ascii="Adobe Caslon Pro" w:hAnsi="Adobe Caslon Pro"/>
          <w:sz w:val="16"/>
          <w:szCs w:val="16"/>
        </w:rPr>
        <w:t xml:space="preserve"> .</w:t>
      </w:r>
    </w:p>
  </w:footnote>
  <w:footnote w:id="2">
    <w:p w:rsidR="001E4613" w:rsidRPr="00A01135" w:rsidRDefault="001E4613" w:rsidP="004D5D2F">
      <w:pPr>
        <w:pStyle w:val="Textonotapie"/>
        <w:jc w:val="both"/>
        <w:rPr>
          <w:rFonts w:ascii="Adobe Caslon Pro" w:hAnsi="Adobe Caslon Pro"/>
          <w:sz w:val="16"/>
          <w:szCs w:val="16"/>
          <w:lang w:val="es-ES_tradnl"/>
        </w:rPr>
      </w:pPr>
      <w:r w:rsidRPr="00A01135">
        <w:rPr>
          <w:rStyle w:val="Refdenotaalpie"/>
          <w:rFonts w:ascii="Adobe Caslon Pro" w:hAnsi="Adobe Caslon Pro"/>
          <w:sz w:val="16"/>
          <w:szCs w:val="16"/>
        </w:rPr>
        <w:footnoteRef/>
      </w:r>
      <w:r w:rsidRPr="00A01135">
        <w:rPr>
          <w:rFonts w:ascii="Adobe Caslon Pro" w:hAnsi="Adobe Caslon Pro"/>
          <w:sz w:val="16"/>
          <w:szCs w:val="16"/>
          <w:lang w:val="es-ES_tradnl"/>
        </w:rPr>
        <w:t xml:space="preserve">El documento se puede consultar en la siguiente dirección electrónica: </w:t>
      </w:r>
    </w:p>
    <w:p w:rsidR="001E4613" w:rsidRPr="003A2472" w:rsidRDefault="00CA0097" w:rsidP="004D5D2F">
      <w:pPr>
        <w:pStyle w:val="Textonotapie"/>
        <w:jc w:val="both"/>
        <w:rPr>
          <w:rFonts w:ascii="Adobe Caslon Pro" w:hAnsi="Adobe Caslon Pro"/>
          <w:lang w:val="es-ES_tradnl"/>
        </w:rPr>
      </w:pPr>
      <w:hyperlink r:id="rId2" w:history="1">
        <w:r w:rsidR="001E4613" w:rsidRPr="00A01135">
          <w:rPr>
            <w:rStyle w:val="Hipervnculo"/>
            <w:rFonts w:ascii="Adobe Caslon Pro" w:hAnsi="Adobe Caslon Pro"/>
            <w:sz w:val="16"/>
            <w:szCs w:val="16"/>
            <w:lang w:val="es-ES_tradnl"/>
          </w:rPr>
          <w:t>http://web.Coneval.gob.mx/Informes/Evaluacion/Impacto/Diagnostico_Programas_Nuevos.pdf</w:t>
        </w:r>
      </w:hyperlink>
    </w:p>
  </w:footnote>
  <w:footnote w:id="3">
    <w:p w:rsidR="001E4613" w:rsidRPr="00A15DA6" w:rsidRDefault="001E4613" w:rsidP="00BE60D4">
      <w:pPr>
        <w:pStyle w:val="Textonotapie"/>
        <w:rPr>
          <w:rFonts w:ascii="Adobe Caslon Pro" w:hAnsi="Adobe Caslon Pro"/>
          <w:sz w:val="16"/>
          <w:szCs w:val="18"/>
        </w:rPr>
      </w:pPr>
      <w:r w:rsidRPr="00A15DA6">
        <w:rPr>
          <w:rStyle w:val="Refdenotaalpie"/>
          <w:rFonts w:ascii="Adobe Caslon Pro" w:hAnsi="Adobe Caslon Pro"/>
          <w:sz w:val="16"/>
          <w:szCs w:val="18"/>
        </w:rPr>
        <w:footnoteRef/>
      </w:r>
      <w:r w:rsidRPr="00A15DA6">
        <w:rPr>
          <w:rFonts w:ascii="Adobe Caslon Pro" w:hAnsi="Adobe Caslon Pro"/>
          <w:sz w:val="16"/>
          <w:szCs w:val="18"/>
        </w:rPr>
        <w:t xml:space="preserve"> Sectores obrero, campesino y popular de agrupaciones políticas, con mujeres y jóvenes, profesionales universitarios, intelectuales y empresarios, reuniones nacionales, estatales, municipales, foros, visitas a poblados, fábricas, talleres, entre otros. </w:t>
      </w:r>
    </w:p>
  </w:footnote>
  <w:footnote w:id="4">
    <w:p w:rsidR="001E4613" w:rsidRPr="00BE60D4" w:rsidRDefault="001E4613" w:rsidP="00BE60D4">
      <w:pPr>
        <w:pStyle w:val="Textonotapie"/>
        <w:rPr>
          <w:rFonts w:ascii="Adobe Caslon Pro" w:hAnsi="Adobe Caslon Pro"/>
        </w:rPr>
      </w:pPr>
      <w:r w:rsidRPr="00A15DA6">
        <w:rPr>
          <w:rStyle w:val="Refdenotaalpie"/>
          <w:rFonts w:ascii="Adobe Caslon Pro" w:hAnsi="Adobe Caslon Pro"/>
          <w:sz w:val="16"/>
        </w:rPr>
        <w:footnoteRef/>
      </w:r>
      <w:r w:rsidRPr="00A15DA6">
        <w:rPr>
          <w:rFonts w:ascii="Adobe Caslon Pro" w:hAnsi="Adobe Caslon Pro"/>
          <w:sz w:val="16"/>
        </w:rPr>
        <w:t xml:space="preserve"> Artículos 9 y 23 de la Constitución Política de los Estado Unidos Mexicanos.</w:t>
      </w:r>
    </w:p>
  </w:footnote>
  <w:footnote w:id="5">
    <w:p w:rsidR="001E4613" w:rsidRPr="00A15DA6" w:rsidRDefault="001E4613" w:rsidP="003A2472">
      <w:pPr>
        <w:pStyle w:val="Textonotapie"/>
        <w:jc w:val="both"/>
        <w:rPr>
          <w:rFonts w:ascii="Adobe Caslon Pro" w:hAnsi="Adobe Caslon Pro"/>
          <w:sz w:val="16"/>
          <w:szCs w:val="18"/>
        </w:rPr>
      </w:pPr>
      <w:r w:rsidRPr="00A15DA6">
        <w:rPr>
          <w:rStyle w:val="Refdenotaalpie"/>
          <w:rFonts w:ascii="Adobe Caslon Pro" w:hAnsi="Adobe Caslon Pro"/>
          <w:sz w:val="16"/>
          <w:szCs w:val="18"/>
        </w:rPr>
        <w:footnoteRef/>
      </w:r>
      <w:r w:rsidRPr="00A15DA6">
        <w:rPr>
          <w:rFonts w:ascii="Adobe Caslon Pro" w:hAnsi="Adobe Caslon Pro"/>
          <w:sz w:val="16"/>
          <w:szCs w:val="18"/>
        </w:rPr>
        <w:t xml:space="preserve"> En el PND 2007-2012 uno de los objetivos era desarrollar una cultura cívico-política que promueva la participación ciudadana en el diseño y evaluación de las políticas públicas, mediante consejos de participación ciudadana. Por su parte, el PND (2013-2018) manifiesta que para superar la inequidad y exclusión es necesario potenciar la inversión conjunta de la sociedad organizada y el gobierno. </w:t>
      </w:r>
    </w:p>
  </w:footnote>
  <w:footnote w:id="6">
    <w:p w:rsidR="001E4613" w:rsidRPr="001127C5" w:rsidRDefault="001E4613" w:rsidP="003A2472">
      <w:pPr>
        <w:pStyle w:val="Textonotapie"/>
        <w:jc w:val="both"/>
        <w:rPr>
          <w:rFonts w:ascii="Adobe Caslon Pro" w:hAnsi="Adobe Caslon Pro"/>
          <w:sz w:val="18"/>
          <w:szCs w:val="18"/>
        </w:rPr>
      </w:pPr>
      <w:r w:rsidRPr="00A15DA6">
        <w:rPr>
          <w:rStyle w:val="Refdenotaalpie"/>
          <w:rFonts w:ascii="Adobe Caslon Pro" w:hAnsi="Adobe Caslon Pro"/>
          <w:sz w:val="16"/>
          <w:szCs w:val="18"/>
        </w:rPr>
        <w:footnoteRef/>
      </w:r>
      <w:r w:rsidRPr="00A15DA6">
        <w:rPr>
          <w:rFonts w:ascii="Adobe Caslon Pro" w:hAnsi="Adobe Caslon Pro"/>
          <w:sz w:val="16"/>
          <w:szCs w:val="18"/>
        </w:rPr>
        <w:t>De igual forma el PCS cuenta con la Contraloría Social en donde se fomenta la participación ciudadana, en concreto de los beneficiarios del PCS y de los beneficiarios de los proyectos apoyados, a través de la integración y operación de comités de contraloría social, para el seguimiento, supervisión y vigilancia del cumplimiento de las metas y acciones comprometidas en el PCS, así como de la correcta aplicación de los recursos públicos asignados al mismo.</w:t>
      </w:r>
    </w:p>
  </w:footnote>
  <w:footnote w:id="7">
    <w:p w:rsidR="001E4613" w:rsidRPr="001127C5" w:rsidRDefault="001E4613" w:rsidP="003A2472">
      <w:pPr>
        <w:pStyle w:val="Textonotapie"/>
        <w:jc w:val="both"/>
        <w:rPr>
          <w:rFonts w:ascii="Adobe Caslon Pro" w:hAnsi="Adobe Caslon Pro"/>
          <w:sz w:val="18"/>
          <w:szCs w:val="18"/>
        </w:rPr>
      </w:pPr>
      <w:r w:rsidRPr="00A15DA6">
        <w:rPr>
          <w:rStyle w:val="Refdenotaalpie"/>
          <w:rFonts w:ascii="Adobe Caslon Pro" w:hAnsi="Adobe Caslon Pro"/>
          <w:sz w:val="16"/>
          <w:szCs w:val="18"/>
        </w:rPr>
        <w:footnoteRef/>
      </w:r>
      <w:r w:rsidRPr="00A15DA6">
        <w:rPr>
          <w:rFonts w:ascii="Adobe Caslon Pro" w:hAnsi="Adobe Caslon Pro"/>
          <w:sz w:val="16"/>
          <w:szCs w:val="18"/>
        </w:rPr>
        <w:t xml:space="preserve"> El estudio limita el análisis al orden federal, así que en los casos en los que la norma prevé la creación de instancias en diferentes órdenes de gobierno, sólo se contabilizó la federal y no se consideraron como unidades diferentes los consejos estatales y/o municipales</w:t>
      </w:r>
      <w:r w:rsidRPr="001127C5">
        <w:rPr>
          <w:rFonts w:ascii="Adobe Caslon Pro" w:hAnsi="Adobe Caslon Pro"/>
          <w:sz w:val="18"/>
          <w:szCs w:val="18"/>
        </w:rPr>
        <w:t>.</w:t>
      </w:r>
    </w:p>
  </w:footnote>
  <w:footnote w:id="8">
    <w:p w:rsidR="001E4613" w:rsidRPr="00A15DA6" w:rsidRDefault="001E4613" w:rsidP="003A2472">
      <w:pPr>
        <w:pStyle w:val="Textonotapie"/>
        <w:jc w:val="both"/>
        <w:rPr>
          <w:rFonts w:ascii="Adobe Caslon Pro" w:hAnsi="Adobe Caslon Pro"/>
          <w:sz w:val="16"/>
          <w:szCs w:val="16"/>
        </w:rPr>
      </w:pPr>
      <w:r w:rsidRPr="00A15DA6">
        <w:rPr>
          <w:rStyle w:val="Refdenotaalpie"/>
          <w:rFonts w:ascii="Adobe Caslon Pro" w:hAnsi="Adobe Caslon Pro"/>
          <w:sz w:val="16"/>
          <w:szCs w:val="16"/>
        </w:rPr>
        <w:footnoteRef/>
      </w:r>
      <w:r w:rsidRPr="00A15DA6">
        <w:rPr>
          <w:rFonts w:ascii="Adobe Caslon Pro" w:hAnsi="Adobe Caslon Pro"/>
          <w:sz w:val="16"/>
          <w:szCs w:val="16"/>
        </w:rPr>
        <w:t xml:space="preserve"> La instalación de los Comités Comunitarios requiere primeramente de la identificación de líderes en las comunidades, posteriormente, se consolida una Asamblea y la movilidad comunitaria; esto es, se trabaja con objetivos bien identificados para superar carencias de alimentación, salud, educación e infraestructura, entre otras.</w:t>
      </w:r>
    </w:p>
  </w:footnote>
  <w:footnote w:id="9">
    <w:p w:rsidR="001E4613" w:rsidRPr="00A15DA6" w:rsidRDefault="001E4613" w:rsidP="003A2472">
      <w:pPr>
        <w:pStyle w:val="Textonotapie"/>
        <w:jc w:val="both"/>
        <w:rPr>
          <w:rFonts w:ascii="Adobe Caslon Pro" w:hAnsi="Adobe Caslon Pro"/>
          <w:sz w:val="16"/>
          <w:szCs w:val="16"/>
        </w:rPr>
      </w:pPr>
      <w:r w:rsidRPr="00A15DA6">
        <w:rPr>
          <w:rStyle w:val="Refdenotaalpie"/>
          <w:rFonts w:ascii="Adobe Caslon Pro" w:hAnsi="Adobe Caslon Pro"/>
          <w:sz w:val="16"/>
          <w:szCs w:val="16"/>
        </w:rPr>
        <w:footnoteRef/>
      </w:r>
      <w:r w:rsidRPr="00A15DA6">
        <w:rPr>
          <w:rFonts w:ascii="Adobe Caslon Pro" w:hAnsi="Adobe Caslon Pro"/>
          <w:sz w:val="16"/>
          <w:szCs w:val="16"/>
        </w:rPr>
        <w:t xml:space="preserve"> PCS operado por el INDESOL, Programa de la Calle a la vida del sistema nacional y sistemas estatales del DIF, Programas de Desarrollo urbano rural, Microregiones de SEDESOL, entre otros (ver Tapia y Robles, 2007).</w:t>
      </w:r>
    </w:p>
  </w:footnote>
  <w:footnote w:id="10">
    <w:p w:rsidR="001E4613" w:rsidRDefault="001E4613">
      <w:pPr>
        <w:pStyle w:val="Textonotapie"/>
      </w:pPr>
      <w:r w:rsidRPr="00A15DA6">
        <w:rPr>
          <w:rStyle w:val="Refdenotaalpie"/>
          <w:rFonts w:ascii="Adobe Caslon Pro" w:hAnsi="Adobe Caslon Pro"/>
          <w:sz w:val="16"/>
          <w:szCs w:val="16"/>
        </w:rPr>
        <w:footnoteRef/>
      </w:r>
      <w:r w:rsidRPr="00A15DA6">
        <w:rPr>
          <w:rFonts w:ascii="Adobe Caslon Pro" w:hAnsi="Adobe Caslon Pro"/>
          <w:sz w:val="16"/>
          <w:szCs w:val="16"/>
        </w:rPr>
        <w:t xml:space="preserve"> Para recibir donaciones internacionales se r</w:t>
      </w:r>
      <w:r>
        <w:rPr>
          <w:rFonts w:ascii="Adobe Caslon Pro" w:hAnsi="Adobe Caslon Pro"/>
          <w:sz w:val="16"/>
          <w:szCs w:val="16"/>
        </w:rPr>
        <w:t>equiere que la organización esté</w:t>
      </w:r>
      <w:r w:rsidRPr="00A15DA6">
        <w:rPr>
          <w:rFonts w:ascii="Adobe Caslon Pro" w:hAnsi="Adobe Caslon Pro"/>
          <w:sz w:val="16"/>
          <w:szCs w:val="16"/>
        </w:rPr>
        <w:t xml:space="preserve"> registrada como donataria autorizada ante la SHCP.</w:t>
      </w:r>
      <w:r>
        <w:t xml:space="preserve"> </w:t>
      </w:r>
    </w:p>
  </w:footnote>
  <w:footnote w:id="11">
    <w:p w:rsidR="001E4613" w:rsidRPr="00A15DA6" w:rsidRDefault="001E4613">
      <w:pPr>
        <w:pStyle w:val="Textonotapie"/>
        <w:rPr>
          <w:rFonts w:ascii="Adobe Caslon Pro" w:hAnsi="Adobe Caslon Pro"/>
          <w:sz w:val="16"/>
          <w:szCs w:val="16"/>
        </w:rPr>
      </w:pPr>
      <w:r w:rsidRPr="00A15DA6">
        <w:rPr>
          <w:rStyle w:val="Refdenotaalpie"/>
          <w:rFonts w:ascii="Adobe Caslon Pro" w:hAnsi="Adobe Caslon Pro"/>
          <w:sz w:val="16"/>
          <w:szCs w:val="16"/>
        </w:rPr>
        <w:footnoteRef/>
      </w:r>
      <w:r w:rsidRPr="00A15DA6">
        <w:rPr>
          <w:rStyle w:val="Refdenotaalpie"/>
          <w:rFonts w:ascii="Adobe Caslon Pro" w:hAnsi="Adobe Caslon Pro"/>
          <w:sz w:val="16"/>
          <w:szCs w:val="16"/>
        </w:rPr>
        <w:t xml:space="preserve"> </w:t>
      </w:r>
      <w:r w:rsidRPr="00A15DA6">
        <w:rPr>
          <w:rFonts w:ascii="Adobe Caslon Pro" w:hAnsi="Adobe Caslon Pro"/>
          <w:sz w:val="16"/>
          <w:szCs w:val="16"/>
        </w:rPr>
        <w:t>Los indicadores de institucionalidad del CEMEFI son un desarrollo de investigación y académico a través de un conjunto de diez referencias objetivas, no controversiales y de fácil comprobación</w:t>
      </w:r>
      <w:r>
        <w:rPr>
          <w:rFonts w:ascii="Adobe Caslon Pro" w:hAnsi="Adobe Caslon Pro"/>
          <w:sz w:val="16"/>
          <w:szCs w:val="16"/>
        </w:rPr>
        <w:t>. Asi</w:t>
      </w:r>
      <w:r w:rsidRPr="00A15DA6">
        <w:rPr>
          <w:rFonts w:ascii="Adobe Caslon Pro" w:hAnsi="Adobe Caslon Pro"/>
          <w:sz w:val="16"/>
          <w:szCs w:val="16"/>
        </w:rPr>
        <w:t xml:space="preserve">mismo, este proceso de acreditación de indicadores es por auto selección, es decir, la OSC envía la información necesaria al CEMEFI y este emite una constancia de distinción tras finalizar el proceso.  </w:t>
      </w:r>
    </w:p>
  </w:footnote>
  <w:footnote w:id="12">
    <w:p w:rsidR="001E4613" w:rsidRPr="001127C5" w:rsidRDefault="001E4613" w:rsidP="003A2472">
      <w:pPr>
        <w:pStyle w:val="Textonotapie"/>
        <w:jc w:val="both"/>
        <w:rPr>
          <w:rFonts w:ascii="Adobe Caslon Pro" w:hAnsi="Adobe Caslon Pro"/>
          <w:sz w:val="18"/>
          <w:szCs w:val="18"/>
        </w:rPr>
      </w:pPr>
      <w:r w:rsidRPr="001127C5">
        <w:rPr>
          <w:rStyle w:val="Refdenotaalpie"/>
          <w:rFonts w:ascii="Adobe Caslon Pro" w:hAnsi="Adobe Caslon Pro"/>
          <w:sz w:val="18"/>
          <w:szCs w:val="18"/>
        </w:rPr>
        <w:footnoteRef/>
      </w:r>
      <w:r w:rsidRPr="001127C5">
        <w:rPr>
          <w:rFonts w:ascii="Adobe Caslon Pro" w:hAnsi="Adobe Caslon Pro"/>
          <w:sz w:val="18"/>
          <w:szCs w:val="18"/>
        </w:rPr>
        <w:t xml:space="preserve"> Con base en información del Registro Federal de OSC a octubre de 2013.</w:t>
      </w:r>
    </w:p>
  </w:footnote>
  <w:footnote w:id="13">
    <w:p w:rsidR="001E4613" w:rsidRPr="001127C5" w:rsidRDefault="001E4613" w:rsidP="003A2472">
      <w:pPr>
        <w:pStyle w:val="Textonotapie"/>
        <w:jc w:val="both"/>
        <w:rPr>
          <w:rFonts w:ascii="Adobe Caslon Pro" w:hAnsi="Adobe Caslon Pro"/>
          <w:sz w:val="18"/>
          <w:szCs w:val="18"/>
        </w:rPr>
      </w:pPr>
      <w:r w:rsidRPr="001127C5">
        <w:rPr>
          <w:rStyle w:val="Refdenotaalpie"/>
          <w:rFonts w:ascii="Adobe Caslon Pro" w:hAnsi="Adobe Caslon Pro"/>
          <w:sz w:val="18"/>
          <w:szCs w:val="18"/>
        </w:rPr>
        <w:footnoteRef/>
      </w:r>
      <w:r w:rsidRPr="001127C5">
        <w:rPr>
          <w:rFonts w:ascii="Adobe Caslon Pro" w:hAnsi="Adobe Caslon Pro"/>
          <w:sz w:val="18"/>
          <w:szCs w:val="18"/>
        </w:rPr>
        <w:t xml:space="preserve"> El sector no lucrativo mexicano en el contexto comparativo, 2012, JHU/CCSS y CEMEFI.</w:t>
      </w:r>
    </w:p>
  </w:footnote>
  <w:footnote w:id="14">
    <w:p w:rsidR="001E4613" w:rsidRPr="003A2472" w:rsidRDefault="001E4613" w:rsidP="003A2472">
      <w:pPr>
        <w:pStyle w:val="Textonotapie"/>
        <w:jc w:val="both"/>
        <w:rPr>
          <w:rFonts w:ascii="Adobe Caslon Pro" w:hAnsi="Adobe Caslon Pro"/>
        </w:rPr>
      </w:pPr>
      <w:r w:rsidRPr="00DE2AC4">
        <w:rPr>
          <w:rStyle w:val="Refdenotaalpie"/>
          <w:rFonts w:ascii="Adobe Caslon Pro" w:hAnsi="Adobe Caslon Pro"/>
          <w:sz w:val="16"/>
          <w:szCs w:val="18"/>
        </w:rPr>
        <w:footnoteRef/>
      </w:r>
      <w:r w:rsidRPr="00DE2AC4">
        <w:rPr>
          <w:rFonts w:ascii="Adobe Caslon Pro" w:hAnsi="Adobe Caslon Pro"/>
          <w:sz w:val="16"/>
          <w:szCs w:val="18"/>
        </w:rPr>
        <w:t xml:space="preserve"> Este análisis fue retomado del Encuentro Nacional: Fortaleciendo la Coordinación de las OSC en el que se reunió a representantes de 25 organizaciones civiles de 21 estados de la República, llevado a cabo en abril de 2013 en la Ciudad de México.</w:t>
      </w:r>
    </w:p>
  </w:footnote>
  <w:footnote w:id="15">
    <w:p w:rsidR="001E4613" w:rsidRPr="00DE2AC4" w:rsidRDefault="001E4613" w:rsidP="003A2472">
      <w:pPr>
        <w:pStyle w:val="Textonotapie"/>
        <w:jc w:val="both"/>
        <w:rPr>
          <w:rFonts w:ascii="Adobe Caslon Pro" w:hAnsi="Adobe Caslon Pro"/>
          <w:sz w:val="16"/>
          <w:szCs w:val="16"/>
        </w:rPr>
      </w:pPr>
      <w:r w:rsidRPr="00DE2AC4">
        <w:rPr>
          <w:rStyle w:val="Refdenotaalpie"/>
          <w:rFonts w:ascii="Adobe Caslon Pro" w:hAnsi="Adobe Caslon Pro"/>
          <w:sz w:val="16"/>
          <w:szCs w:val="16"/>
        </w:rPr>
        <w:footnoteRef/>
      </w:r>
      <w:r w:rsidRPr="00DE2AC4">
        <w:rPr>
          <w:rFonts w:ascii="Adobe Caslon Pro" w:hAnsi="Adobe Caslon Pro"/>
          <w:sz w:val="16"/>
          <w:szCs w:val="16"/>
        </w:rPr>
        <w:t xml:space="preserve"> Un ejemplo del amplio número de OSC trabajando bajo una misma temática se aprecia con el número de OSC cuyas acciones se engloban bajo la asistencia social y grupos vulnerables donde hay 812 OSC en el DF y en esa misma temática el </w:t>
      </w:r>
      <w:r>
        <w:rPr>
          <w:rFonts w:ascii="Adobe Caslon Pro" w:hAnsi="Adobe Caslon Pro"/>
          <w:sz w:val="16"/>
          <w:szCs w:val="16"/>
        </w:rPr>
        <w:t xml:space="preserve">Estado de México tiene 411 OSC </w:t>
      </w:r>
      <w:r w:rsidRPr="00DE2AC4">
        <w:rPr>
          <w:rFonts w:ascii="Adobe Caslon Pro" w:hAnsi="Adobe Caslon Pro"/>
          <w:sz w:val="16"/>
          <w:szCs w:val="16"/>
        </w:rPr>
        <w:t>en d</w:t>
      </w:r>
      <w:r>
        <w:rPr>
          <w:rFonts w:ascii="Adobe Caslon Pro" w:hAnsi="Adobe Caslon Pro"/>
          <w:sz w:val="16"/>
          <w:szCs w:val="16"/>
        </w:rPr>
        <w:t>esarrollo regional y comunitario.</w:t>
      </w:r>
    </w:p>
  </w:footnote>
  <w:footnote w:id="16">
    <w:p w:rsidR="001E4613" w:rsidRPr="003A2472" w:rsidRDefault="001E4613" w:rsidP="003A2472">
      <w:pPr>
        <w:pStyle w:val="Textonotapie"/>
        <w:jc w:val="both"/>
        <w:rPr>
          <w:rFonts w:ascii="Adobe Caslon Pro" w:hAnsi="Adobe Caslon Pro"/>
        </w:rPr>
      </w:pPr>
      <w:r w:rsidRPr="00DE2AC4">
        <w:rPr>
          <w:rStyle w:val="Refdenotaalpie"/>
          <w:rFonts w:ascii="Adobe Caslon Pro" w:hAnsi="Adobe Caslon Pro"/>
          <w:sz w:val="16"/>
          <w:szCs w:val="16"/>
        </w:rPr>
        <w:footnoteRef/>
      </w:r>
      <w:r w:rsidRPr="00DE2AC4">
        <w:rPr>
          <w:rFonts w:ascii="Adobe Caslon Pro" w:hAnsi="Adobe Caslon Pro"/>
          <w:sz w:val="16"/>
          <w:szCs w:val="16"/>
        </w:rPr>
        <w:t xml:space="preserve"> El índice de percepción de redes se define como el grado de percepción que las personas de 12 años o más tienen acerca de la dificultad o facilidad de contar con apoyo de redes sociales en situaciones hipotéticas y se calcula cada dos años.</w:t>
      </w:r>
    </w:p>
  </w:footnote>
  <w:footnote w:id="17">
    <w:p w:rsidR="001E4613" w:rsidRPr="00DE2AC4" w:rsidRDefault="001E4613" w:rsidP="003A2472">
      <w:pPr>
        <w:pStyle w:val="Textonotapie"/>
        <w:jc w:val="both"/>
        <w:rPr>
          <w:rFonts w:ascii="Adobe Caslon Pro" w:hAnsi="Adobe Caslon Pro"/>
          <w:sz w:val="16"/>
          <w:szCs w:val="16"/>
        </w:rPr>
      </w:pPr>
      <w:r w:rsidRPr="00DE2AC4">
        <w:rPr>
          <w:rStyle w:val="Refdenotaalpie"/>
          <w:rFonts w:ascii="Adobe Caslon Pro" w:hAnsi="Adobe Caslon Pro"/>
          <w:sz w:val="16"/>
          <w:szCs w:val="16"/>
        </w:rPr>
        <w:footnoteRef/>
      </w:r>
      <w:r w:rsidRPr="00DE2AC4">
        <w:rPr>
          <w:rFonts w:ascii="Adobe Caslon Pro" w:hAnsi="Adobe Caslon Pro"/>
          <w:sz w:val="16"/>
          <w:szCs w:val="16"/>
        </w:rPr>
        <w:t>El reporte anual de actividades es una obligación que adquieren todas aquellas OSC que están inscritas en el RFOSC.</w:t>
      </w:r>
    </w:p>
  </w:footnote>
  <w:footnote w:id="18">
    <w:p w:rsidR="001E4613" w:rsidRPr="003A2472" w:rsidRDefault="001E4613" w:rsidP="0086054B">
      <w:pPr>
        <w:pStyle w:val="Textonotapie"/>
        <w:jc w:val="both"/>
        <w:rPr>
          <w:rFonts w:ascii="Adobe Caslon Pro" w:hAnsi="Adobe Caslon Pro"/>
        </w:rPr>
      </w:pPr>
      <w:r w:rsidRPr="00DE2AC4">
        <w:rPr>
          <w:rStyle w:val="Refdenotaalpie"/>
          <w:rFonts w:ascii="Adobe Caslon Pro" w:hAnsi="Adobe Caslon Pro"/>
          <w:sz w:val="16"/>
          <w:szCs w:val="16"/>
        </w:rPr>
        <w:footnoteRef/>
      </w:r>
      <w:r w:rsidRPr="00DE2AC4">
        <w:rPr>
          <w:rFonts w:ascii="Adobe Caslon Pro" w:hAnsi="Adobe Caslon Pro"/>
          <w:sz w:val="16"/>
          <w:szCs w:val="16"/>
        </w:rPr>
        <w:t xml:space="preserve"> En el Almanaque de la Sociedad Civil Mexicana 2012, de las 5917 OSC contabilizadas en los 7 estados que recaba información, el 66% de las OSC realiza acciones de asistencia a grupos vulnerables y de desarrollo comunitario.</w:t>
      </w:r>
    </w:p>
  </w:footnote>
  <w:footnote w:id="19">
    <w:p w:rsidR="001E4613" w:rsidRPr="003A2472" w:rsidRDefault="001E4613" w:rsidP="003A2472">
      <w:pPr>
        <w:pStyle w:val="Textonotapie"/>
        <w:jc w:val="both"/>
        <w:rPr>
          <w:rFonts w:ascii="Adobe Caslon Pro" w:hAnsi="Adobe Caslon Pro"/>
        </w:rPr>
      </w:pPr>
      <w:r w:rsidRPr="009D14B9">
        <w:rPr>
          <w:rStyle w:val="Refdenotaalpie"/>
          <w:rFonts w:ascii="Adobe Caslon Pro" w:hAnsi="Adobe Caslon Pro"/>
          <w:sz w:val="16"/>
          <w:szCs w:val="18"/>
        </w:rPr>
        <w:footnoteRef/>
      </w:r>
      <w:r w:rsidRPr="009D14B9">
        <w:rPr>
          <w:rFonts w:ascii="Adobe Caslon Pro" w:hAnsi="Adobe Caslon Pro"/>
          <w:sz w:val="16"/>
          <w:szCs w:val="18"/>
        </w:rPr>
        <w:t xml:space="preserve"> De acuerdo con el CONEVAL, una persona es vulnerable por carencia social si tiene al menos una carencia y un ingreso superior a la línea de bienestar. Por otro lado, una persona es vulnerable por ingresos cuando no tiene carencias sociales, pero su ingreso es inferior a la línea de bienestar.</w:t>
      </w:r>
    </w:p>
  </w:footnote>
  <w:footnote w:id="20">
    <w:p w:rsidR="001E4613" w:rsidRPr="009D14B9" w:rsidRDefault="001E4613">
      <w:pPr>
        <w:pStyle w:val="Textonotapie"/>
        <w:rPr>
          <w:rFonts w:ascii="Adobe Caslon Pro" w:hAnsi="Adobe Caslon Pro"/>
          <w:sz w:val="16"/>
          <w:szCs w:val="16"/>
        </w:rPr>
      </w:pPr>
      <w:r w:rsidRPr="009D14B9">
        <w:rPr>
          <w:rStyle w:val="Refdenotaalpie"/>
          <w:rFonts w:ascii="Adobe Caslon Pro" w:hAnsi="Adobe Caslon Pro"/>
          <w:sz w:val="16"/>
          <w:szCs w:val="16"/>
        </w:rPr>
        <w:footnoteRef/>
      </w:r>
      <w:r w:rsidRPr="009D14B9">
        <w:rPr>
          <w:rFonts w:ascii="Adobe Caslon Pro" w:hAnsi="Adobe Caslon Pro"/>
          <w:sz w:val="16"/>
          <w:szCs w:val="16"/>
        </w:rPr>
        <w:t xml:space="preserve"> Se entiende como proyectos de desarrollo social a los proyectos presentados ante el INDESOL por los actores sociales entre 2009 y 2013 (demanda de apoyos efectiva)</w:t>
      </w:r>
    </w:p>
  </w:footnote>
  <w:footnote w:id="21">
    <w:p w:rsidR="001E4613" w:rsidRPr="009D14B9" w:rsidRDefault="001E4613">
      <w:pPr>
        <w:pStyle w:val="Textonotapie"/>
        <w:rPr>
          <w:rFonts w:ascii="Adobe Caslon Pro" w:hAnsi="Adobe Caslon Pro"/>
          <w:sz w:val="16"/>
          <w:szCs w:val="16"/>
        </w:rPr>
      </w:pPr>
      <w:r w:rsidRPr="009D14B9">
        <w:rPr>
          <w:rStyle w:val="Refdenotaalpie"/>
          <w:rFonts w:ascii="Adobe Caslon Pro" w:hAnsi="Adobe Caslon Pro"/>
          <w:sz w:val="16"/>
          <w:szCs w:val="16"/>
        </w:rPr>
        <w:footnoteRef/>
      </w:r>
      <w:r w:rsidRPr="009D14B9">
        <w:rPr>
          <w:rFonts w:ascii="Adobe Caslon Pro" w:hAnsi="Adobe Caslon Pro"/>
          <w:sz w:val="16"/>
          <w:szCs w:val="16"/>
        </w:rPr>
        <w:t xml:space="preserve"> Acuerdo No. 10/12 de la Comisión de Fomento de las Actividades de las Organizaciones de la Sociedad Civil. (Febrero, 2010).</w:t>
      </w:r>
    </w:p>
  </w:footnote>
  <w:footnote w:id="22">
    <w:p w:rsidR="001E4613" w:rsidRPr="001127C5" w:rsidRDefault="001E4613" w:rsidP="003A2472">
      <w:pPr>
        <w:pStyle w:val="Textonotapie"/>
        <w:jc w:val="both"/>
        <w:rPr>
          <w:rFonts w:ascii="Adobe Caslon Pro" w:hAnsi="Adobe Caslon Pro"/>
          <w:sz w:val="18"/>
          <w:szCs w:val="18"/>
        </w:rPr>
      </w:pPr>
      <w:r w:rsidRPr="009D14B9">
        <w:rPr>
          <w:rStyle w:val="Refdenotaalpie"/>
          <w:rFonts w:ascii="Adobe Caslon Pro" w:hAnsi="Adobe Caslon Pro"/>
          <w:sz w:val="16"/>
          <w:szCs w:val="16"/>
        </w:rPr>
        <w:footnoteRef/>
      </w:r>
      <w:r w:rsidRPr="009D14B9">
        <w:rPr>
          <w:rFonts w:ascii="Adobe Caslon Pro" w:hAnsi="Adobe Caslon Pro"/>
          <w:sz w:val="16"/>
          <w:szCs w:val="16"/>
        </w:rPr>
        <w:t xml:space="preserve"> Se validó que el Proyecto cumpliera con los requisitos mínimos para participar.</w:t>
      </w:r>
    </w:p>
  </w:footnote>
  <w:footnote w:id="23">
    <w:p w:rsidR="001E4613" w:rsidRPr="009D14B9" w:rsidRDefault="001E4613">
      <w:pPr>
        <w:pStyle w:val="Textonotapie"/>
        <w:rPr>
          <w:rFonts w:ascii="Adobe Caslon Pro" w:hAnsi="Adobe Caslon Pro"/>
          <w:sz w:val="16"/>
          <w:szCs w:val="16"/>
        </w:rPr>
      </w:pPr>
      <w:r w:rsidRPr="009D14B9">
        <w:rPr>
          <w:rStyle w:val="Refdenotaalpie"/>
          <w:rFonts w:ascii="Adobe Caslon Pro" w:hAnsi="Adobe Caslon Pro"/>
          <w:sz w:val="16"/>
          <w:szCs w:val="16"/>
        </w:rPr>
        <w:footnoteRef/>
      </w:r>
      <w:r w:rsidRPr="009D14B9">
        <w:rPr>
          <w:rFonts w:ascii="Adobe Caslon Pro" w:hAnsi="Adobe Caslon Pro"/>
          <w:sz w:val="16"/>
          <w:szCs w:val="16"/>
        </w:rPr>
        <w:t xml:space="preserve"> Se refiere al domicilio donde se ubican los actores sociales. </w:t>
      </w:r>
    </w:p>
  </w:footnote>
  <w:footnote w:id="24">
    <w:p w:rsidR="001E4613" w:rsidRDefault="001E4613">
      <w:pPr>
        <w:pStyle w:val="Textonotapie"/>
      </w:pPr>
      <w:r w:rsidRPr="009D14B9">
        <w:rPr>
          <w:rStyle w:val="Refdenotaalpie"/>
          <w:rFonts w:ascii="Adobe Caslon Pro" w:hAnsi="Adobe Caslon Pro"/>
          <w:sz w:val="16"/>
          <w:szCs w:val="16"/>
        </w:rPr>
        <w:footnoteRef/>
      </w:r>
      <w:r w:rsidRPr="009D14B9">
        <w:rPr>
          <w:rFonts w:ascii="Adobe Caslon Pro" w:hAnsi="Adobe Caslon Pro"/>
          <w:sz w:val="16"/>
          <w:szCs w:val="16"/>
        </w:rPr>
        <w:t xml:space="preserve"> Un actor social puede tener varias entidades de incidencia registradas</w:t>
      </w:r>
      <w:r w:rsidRPr="001E2C48">
        <w:rPr>
          <w:rFonts w:ascii="Adobe Caslon Pro" w:hAnsi="Adobe Caslon Pro"/>
          <w:sz w:val="18"/>
          <w:szCs w:val="18"/>
        </w:rPr>
        <w:t>.</w:t>
      </w:r>
    </w:p>
  </w:footnote>
  <w:footnote w:id="25">
    <w:p w:rsidR="001E4613" w:rsidRPr="009D14B9" w:rsidRDefault="001E4613">
      <w:pPr>
        <w:pStyle w:val="Textonotapie"/>
        <w:rPr>
          <w:rFonts w:ascii="Adobe Caslon Pro" w:hAnsi="Adobe Caslon Pro"/>
          <w:sz w:val="16"/>
          <w:szCs w:val="16"/>
        </w:rPr>
      </w:pPr>
      <w:r w:rsidRPr="009D14B9">
        <w:rPr>
          <w:rStyle w:val="Refdenotaalpie"/>
          <w:rFonts w:ascii="Adobe Caslon Pro" w:hAnsi="Adobe Caslon Pro"/>
          <w:sz w:val="16"/>
          <w:szCs w:val="16"/>
        </w:rPr>
        <w:footnoteRef/>
      </w:r>
      <w:r w:rsidRPr="009D14B9">
        <w:rPr>
          <w:rFonts w:ascii="Adobe Caslon Pro" w:hAnsi="Adobe Caslon Pro"/>
          <w:sz w:val="16"/>
          <w:szCs w:val="16"/>
        </w:rPr>
        <w:t xml:space="preserve"> Se refiere al domicilio donde se ubican los actores sociales.</w:t>
      </w:r>
    </w:p>
  </w:footnote>
  <w:footnote w:id="26">
    <w:p w:rsidR="001E4613" w:rsidRPr="009D14B9" w:rsidRDefault="001E4613">
      <w:pPr>
        <w:pStyle w:val="Textonotapie"/>
        <w:rPr>
          <w:rFonts w:ascii="Adobe Caslon Pro" w:hAnsi="Adobe Caslon Pro"/>
          <w:sz w:val="16"/>
          <w:szCs w:val="16"/>
        </w:rPr>
      </w:pPr>
      <w:r w:rsidRPr="009D14B9">
        <w:rPr>
          <w:rStyle w:val="Refdenotaalpie"/>
          <w:rFonts w:ascii="Adobe Caslon Pro" w:hAnsi="Adobe Caslon Pro"/>
          <w:sz w:val="16"/>
          <w:szCs w:val="16"/>
        </w:rPr>
        <w:footnoteRef/>
      </w:r>
      <w:r w:rsidRPr="009D14B9">
        <w:rPr>
          <w:rFonts w:ascii="Adobe Caslon Pro" w:hAnsi="Adobe Caslon Pro"/>
          <w:sz w:val="16"/>
          <w:szCs w:val="16"/>
        </w:rPr>
        <w:t xml:space="preserve"> Un actor social puede tener varias entidades de incidencia registradas.</w:t>
      </w:r>
    </w:p>
  </w:footnote>
  <w:footnote w:id="27">
    <w:p w:rsidR="001E4613" w:rsidRPr="00D059D9" w:rsidRDefault="001E4613" w:rsidP="003A2472">
      <w:pPr>
        <w:autoSpaceDE w:val="0"/>
        <w:autoSpaceDN w:val="0"/>
        <w:adjustRightInd w:val="0"/>
        <w:spacing w:after="0" w:line="240" w:lineRule="auto"/>
        <w:jc w:val="both"/>
        <w:rPr>
          <w:rFonts w:ascii="Adobe Caslon Pro" w:hAnsi="Adobe Caslon Pro"/>
          <w:sz w:val="18"/>
          <w:szCs w:val="18"/>
        </w:rPr>
      </w:pPr>
      <w:r w:rsidRPr="00D059D9">
        <w:rPr>
          <w:rStyle w:val="Refdenotaalpie"/>
          <w:rFonts w:ascii="Adobe Caslon Pro" w:hAnsi="Adobe Caslon Pro"/>
          <w:sz w:val="18"/>
          <w:szCs w:val="18"/>
        </w:rPr>
        <w:footnoteRef/>
      </w:r>
      <w:r w:rsidRPr="00D059D9">
        <w:rPr>
          <w:rFonts w:ascii="Adobe Caslon Pro" w:hAnsi="Adobe Caslon Pro" w:cs="TheMixLight-Plain"/>
          <w:sz w:val="18"/>
          <w:szCs w:val="18"/>
        </w:rPr>
        <w:t>Tapia, Mónica (2009): “</w:t>
      </w:r>
      <w:r>
        <w:rPr>
          <w:rFonts w:ascii="Adobe Caslon Pro" w:hAnsi="Adobe Caslon Pro" w:cs="TheMixLight-Plain"/>
          <w:sz w:val="18"/>
          <w:szCs w:val="18"/>
        </w:rPr>
        <w:t>OSC</w:t>
      </w:r>
      <w:r w:rsidRPr="00D059D9">
        <w:rPr>
          <w:rFonts w:ascii="Adobe Caslon Pro" w:hAnsi="Adobe Caslon Pro" w:cs="TheMixLight-Plain"/>
          <w:sz w:val="18"/>
          <w:szCs w:val="18"/>
        </w:rPr>
        <w:t xml:space="preserve"> y políticas públicas”, en Méndez, José Luis (Coord.) </w:t>
      </w:r>
      <w:r w:rsidRPr="00D059D9">
        <w:rPr>
          <w:rFonts w:ascii="Adobe Caslon Pro" w:hAnsi="Adobe Caslon Pro" w:cs="TheMixLight-Italic"/>
          <w:i/>
          <w:iCs/>
          <w:sz w:val="18"/>
          <w:szCs w:val="18"/>
        </w:rPr>
        <w:t>Del Estado autoritario al gobierno dividido; situación y perspectivas del Estado y las políticas públicas en el régimen democrático presidencial mexicano</w:t>
      </w:r>
      <w:r w:rsidRPr="00D059D9">
        <w:rPr>
          <w:rFonts w:ascii="Adobe Caslon Pro" w:hAnsi="Adobe Caslon Pro" w:cs="TheMixLight-Plain"/>
          <w:sz w:val="18"/>
          <w:szCs w:val="18"/>
        </w:rPr>
        <w:t>. México, D.F., El Colegio de México (En prensa).</w:t>
      </w:r>
    </w:p>
  </w:footnote>
  <w:footnote w:id="28">
    <w:p w:rsidR="001E4613" w:rsidRPr="00D059D9" w:rsidRDefault="001E4613" w:rsidP="003A2472">
      <w:pPr>
        <w:pStyle w:val="Textonotapie"/>
        <w:jc w:val="both"/>
        <w:rPr>
          <w:rFonts w:ascii="Adobe Caslon Pro" w:hAnsi="Adobe Caslon Pro"/>
          <w:sz w:val="18"/>
          <w:szCs w:val="18"/>
        </w:rPr>
      </w:pPr>
      <w:r w:rsidRPr="00D059D9">
        <w:rPr>
          <w:rStyle w:val="Refdenotaalpie"/>
          <w:rFonts w:ascii="Adobe Caslon Pro" w:hAnsi="Adobe Caslon Pro"/>
          <w:sz w:val="18"/>
          <w:szCs w:val="18"/>
        </w:rPr>
        <w:footnoteRef/>
      </w:r>
      <w:r w:rsidRPr="00D059D9">
        <w:rPr>
          <w:rFonts w:ascii="Adobe Caslon Pro" w:hAnsi="Adobe Caslon Pro"/>
          <w:sz w:val="18"/>
          <w:szCs w:val="18"/>
        </w:rPr>
        <w:t xml:space="preserve"> Verduzco, Ma. Isabel, Fondos Públicos para las </w:t>
      </w:r>
      <w:r>
        <w:rPr>
          <w:rFonts w:ascii="Adobe Caslon Pro" w:hAnsi="Adobe Caslon Pro"/>
          <w:sz w:val="18"/>
          <w:szCs w:val="18"/>
        </w:rPr>
        <w:t>OSC</w:t>
      </w:r>
      <w:r w:rsidRPr="00D059D9">
        <w:rPr>
          <w:rFonts w:ascii="Adobe Caslon Pro" w:hAnsi="Adobe Caslon Pro"/>
          <w:sz w:val="18"/>
          <w:szCs w:val="18"/>
        </w:rPr>
        <w:t>. Análisis del PCS. Alternativas y Capacidades A.C. 2009</w:t>
      </w:r>
    </w:p>
  </w:footnote>
  <w:footnote w:id="29">
    <w:p w:rsidR="001E4613" w:rsidRPr="00D059D9" w:rsidRDefault="001E4613" w:rsidP="003A2472">
      <w:pPr>
        <w:pStyle w:val="Default"/>
        <w:jc w:val="both"/>
        <w:rPr>
          <w:rFonts w:ascii="Adobe Caslon Pro" w:hAnsi="Adobe Caslon Pro" w:cs="Cambria"/>
          <w:sz w:val="18"/>
          <w:szCs w:val="18"/>
        </w:rPr>
      </w:pPr>
      <w:r w:rsidRPr="00D059D9">
        <w:rPr>
          <w:rStyle w:val="Refdenotaalpie"/>
          <w:rFonts w:ascii="Adobe Caslon Pro" w:hAnsi="Adobe Caslon Pro"/>
          <w:sz w:val="18"/>
          <w:szCs w:val="18"/>
        </w:rPr>
        <w:footnoteRef/>
      </w:r>
      <w:r w:rsidRPr="00D059D9">
        <w:rPr>
          <w:rFonts w:ascii="Adobe Caslon Pro" w:hAnsi="Adobe Caslon Pro" w:cs="Cambria"/>
          <w:sz w:val="18"/>
          <w:szCs w:val="18"/>
        </w:rPr>
        <w:t>Se generan lazos de cohesión y cooperación -solidario y responsable que fortalece la unidad del grupo y la armonía social, se generan experiencias de conocimiento e inteligencia colectiva (capacidades y habilidades), generación de conocimiento en torno a proyectos comunes y se generan soluciones frente a nuevos retos</w:t>
      </w:r>
      <w:r>
        <w:rPr>
          <w:rFonts w:ascii="Adobe Caslon Pro" w:hAnsi="Adobe Caslon Pro" w:cs="Cambria"/>
          <w:sz w:val="18"/>
          <w:szCs w:val="18"/>
        </w:rPr>
        <w:t>.</w:t>
      </w:r>
      <w:r w:rsidRPr="00D059D9">
        <w:rPr>
          <w:rFonts w:ascii="Adobe Caslon Pro" w:hAnsi="Adobe Caslon Pro" w:cs="Cambria"/>
          <w:sz w:val="18"/>
          <w:szCs w:val="18"/>
        </w:rPr>
        <w:t xml:space="preserve"> </w:t>
      </w:r>
    </w:p>
    <w:p w:rsidR="001E4613" w:rsidRPr="003A2472" w:rsidRDefault="001E4613" w:rsidP="003A2472">
      <w:pPr>
        <w:pStyle w:val="Textonotapie"/>
        <w:jc w:val="both"/>
        <w:rPr>
          <w:rFonts w:ascii="Adobe Caslon Pro" w:hAnsi="Adobe Caslon Pro"/>
        </w:rPr>
      </w:pPr>
    </w:p>
  </w:footnote>
  <w:footnote w:id="30">
    <w:p w:rsidR="001E4613" w:rsidRPr="004058B1" w:rsidRDefault="001E4613" w:rsidP="003A2472">
      <w:pPr>
        <w:pStyle w:val="Textonotapie"/>
        <w:jc w:val="both"/>
        <w:rPr>
          <w:rFonts w:ascii="Adobe Caslon Pro" w:hAnsi="Adobe Caslon Pro"/>
          <w:sz w:val="18"/>
          <w:szCs w:val="18"/>
        </w:rPr>
      </w:pPr>
      <w:r w:rsidRPr="009D14B9">
        <w:rPr>
          <w:rStyle w:val="Refdenotaalpie"/>
          <w:rFonts w:ascii="Adobe Caslon Pro" w:hAnsi="Adobe Caslon Pro"/>
          <w:sz w:val="16"/>
          <w:szCs w:val="18"/>
        </w:rPr>
        <w:footnoteRef/>
      </w:r>
      <w:r w:rsidRPr="009D14B9">
        <w:rPr>
          <w:rFonts w:ascii="Adobe Caslon Pro" w:hAnsi="Adobe Caslon Pro"/>
          <w:sz w:val="16"/>
          <w:szCs w:val="18"/>
        </w:rPr>
        <w:t xml:space="preserve"> Para un mayor detalle del procedimiento de cuantificación de la población potencial,</w:t>
      </w:r>
      <w:r>
        <w:rPr>
          <w:rFonts w:ascii="Adobe Caslon Pro" w:hAnsi="Adobe Caslon Pro"/>
          <w:sz w:val="16"/>
          <w:szCs w:val="18"/>
        </w:rPr>
        <w:t xml:space="preserve"> puede revisar el apartado 2.3</w:t>
      </w:r>
      <w:r w:rsidRPr="009D14B9">
        <w:rPr>
          <w:rFonts w:ascii="Adobe Caslon Pro" w:hAnsi="Adobe Caslon Pro"/>
          <w:sz w:val="16"/>
          <w:szCs w:val="18"/>
        </w:rPr>
        <w:t xml:space="preserve"> del Diagnóstico del Programa de Coinversión Social.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613" w:rsidRPr="003B4E02" w:rsidRDefault="001E4613" w:rsidP="003531B8">
    <w:pPr>
      <w:pStyle w:val="Encabezado"/>
      <w:pBdr>
        <w:bottom w:val="single" w:sz="4" w:space="1" w:color="auto"/>
      </w:pBdr>
      <w:jc w:val="right"/>
      <w:rPr>
        <w:rFonts w:ascii="Adobe Caslon Pro" w:hAnsi="Adobe Caslon Pro"/>
        <w:i/>
        <w:sz w:val="18"/>
        <w:szCs w:val="18"/>
      </w:rPr>
    </w:pPr>
    <w:r w:rsidRPr="003B4E02">
      <w:rPr>
        <w:rFonts w:ascii="Adobe Caslon Pro" w:hAnsi="Adobe Caslon Pro"/>
        <w:bCs/>
        <w:i/>
        <w:sz w:val="18"/>
        <w:szCs w:val="18"/>
      </w:rPr>
      <w:t xml:space="preserve">Diagnóstico y Propuesta de Atención del </w:t>
    </w:r>
    <w:r>
      <w:rPr>
        <w:rFonts w:ascii="Adobe Caslon Pro" w:hAnsi="Adobe Caslon Pro"/>
        <w:bCs/>
        <w:i/>
        <w:sz w:val="18"/>
        <w:szCs w:val="18"/>
      </w:rPr>
      <w:t>PCS</w:t>
    </w:r>
    <w:r w:rsidRPr="003B4E02">
      <w:rPr>
        <w:rFonts w:ascii="Adobe Caslon Pro" w:hAnsi="Adobe Caslon Pro"/>
        <w:bCs/>
        <w:i/>
        <w:sz w:val="18"/>
        <w:szCs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613" w:rsidRPr="004C0712" w:rsidRDefault="001E4613" w:rsidP="003531B8">
    <w:pPr>
      <w:pStyle w:val="Encabezado"/>
      <w:pBdr>
        <w:bottom w:val="single" w:sz="4" w:space="1" w:color="auto"/>
      </w:pBdr>
      <w:jc w:val="right"/>
      <w:rPr>
        <w:rFonts w:ascii="Adobe Caslon Pro" w:hAnsi="Adobe Caslon Pro"/>
        <w:i/>
        <w:sz w:val="18"/>
        <w:szCs w:val="18"/>
      </w:rPr>
    </w:pPr>
    <w:r w:rsidRPr="004C0712">
      <w:rPr>
        <w:rFonts w:ascii="Adobe Caslon Pro" w:hAnsi="Adobe Caslon Pro"/>
        <w:bCs/>
        <w:i/>
        <w:sz w:val="18"/>
        <w:szCs w:val="18"/>
      </w:rPr>
      <w:t xml:space="preserve">Diagnóstico </w:t>
    </w:r>
    <w:r>
      <w:rPr>
        <w:rFonts w:ascii="Adobe Caslon Pro" w:hAnsi="Adobe Caslon Pro"/>
        <w:bCs/>
        <w:i/>
        <w:sz w:val="18"/>
        <w:szCs w:val="18"/>
      </w:rPr>
      <w:t xml:space="preserve">y propuesta de atención </w:t>
    </w:r>
    <w:r w:rsidRPr="004C0712">
      <w:rPr>
        <w:rFonts w:ascii="Adobe Caslon Pro" w:hAnsi="Adobe Caslon Pro"/>
        <w:bCs/>
        <w:i/>
        <w:sz w:val="18"/>
        <w:szCs w:val="18"/>
      </w:rPr>
      <w:t xml:space="preserve">del </w:t>
    </w:r>
    <w:r>
      <w:rPr>
        <w:rFonts w:ascii="Adobe Caslon Pro" w:hAnsi="Adobe Caslon Pro"/>
        <w:bCs/>
        <w:i/>
        <w:sz w:val="18"/>
        <w:szCs w:val="18"/>
      </w:rPr>
      <w:t>PCS</w:t>
    </w:r>
    <w:r w:rsidRPr="004C0712">
      <w:rPr>
        <w:rFonts w:ascii="Adobe Caslon Pro" w:hAnsi="Adobe Caslon Pro"/>
        <w:bCs/>
        <w:i/>
        <w:sz w:val="18"/>
        <w:szCs w:val="1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613" w:rsidRDefault="001E4613" w:rsidP="003531B8">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A1A13"/>
    <w:multiLevelType w:val="multilevel"/>
    <w:tmpl w:val="BFF0E368"/>
    <w:lvl w:ilvl="0">
      <w:start w:val="1"/>
      <w:numFmt w:val="decimal"/>
      <w:lvlText w:val="%1."/>
      <w:lvlJc w:val="left"/>
      <w:pPr>
        <w:ind w:left="720" w:hanging="360"/>
      </w:pPr>
      <w:rPr>
        <w:rFonts w:hint="default"/>
      </w:rPr>
    </w:lvl>
    <w:lvl w:ilvl="1">
      <w:start w:val="12"/>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443285D"/>
    <w:multiLevelType w:val="multilevel"/>
    <w:tmpl w:val="79E4B242"/>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B0B64CC"/>
    <w:multiLevelType w:val="hybridMultilevel"/>
    <w:tmpl w:val="13227DFA"/>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B353069"/>
    <w:multiLevelType w:val="hybridMultilevel"/>
    <w:tmpl w:val="B3926E74"/>
    <w:lvl w:ilvl="0" w:tplc="C676149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BFE2F71"/>
    <w:multiLevelType w:val="hybridMultilevel"/>
    <w:tmpl w:val="5C6C34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6492220"/>
    <w:multiLevelType w:val="multilevel"/>
    <w:tmpl w:val="30E893DE"/>
    <w:lvl w:ilvl="0">
      <w:start w:val="2"/>
      <w:numFmt w:val="decimal"/>
      <w:lvlText w:val="%1"/>
      <w:lvlJc w:val="left"/>
      <w:pPr>
        <w:ind w:left="360" w:hanging="360"/>
      </w:pPr>
      <w:rPr>
        <w:rFonts w:cs="Times New Roman" w:hint="default"/>
        <w:b/>
        <w:color w:val="auto"/>
      </w:rPr>
    </w:lvl>
    <w:lvl w:ilvl="1">
      <w:start w:val="1"/>
      <w:numFmt w:val="decimal"/>
      <w:lvlText w:val="%1.%2"/>
      <w:lvlJc w:val="left"/>
      <w:pPr>
        <w:ind w:left="720" w:hanging="360"/>
      </w:pPr>
      <w:rPr>
        <w:rFonts w:cs="Times New Roman" w:hint="default"/>
        <w:b/>
        <w:color w:val="auto"/>
      </w:rPr>
    </w:lvl>
    <w:lvl w:ilvl="2">
      <w:start w:val="1"/>
      <w:numFmt w:val="decimal"/>
      <w:lvlText w:val="%1.%2.%3"/>
      <w:lvlJc w:val="left"/>
      <w:pPr>
        <w:ind w:left="1440" w:hanging="720"/>
      </w:pPr>
      <w:rPr>
        <w:rFonts w:cs="Times New Roman" w:hint="default"/>
        <w:b/>
        <w:color w:val="auto"/>
      </w:rPr>
    </w:lvl>
    <w:lvl w:ilvl="3">
      <w:start w:val="1"/>
      <w:numFmt w:val="decimal"/>
      <w:lvlText w:val="%1.%2.%3.%4"/>
      <w:lvlJc w:val="left"/>
      <w:pPr>
        <w:ind w:left="1800" w:hanging="720"/>
      </w:pPr>
      <w:rPr>
        <w:rFonts w:cs="Times New Roman" w:hint="default"/>
        <w:b/>
        <w:color w:val="auto"/>
      </w:rPr>
    </w:lvl>
    <w:lvl w:ilvl="4">
      <w:start w:val="1"/>
      <w:numFmt w:val="decimal"/>
      <w:lvlText w:val="%1.%2.%3.%4.%5"/>
      <w:lvlJc w:val="left"/>
      <w:pPr>
        <w:ind w:left="2520" w:hanging="1080"/>
      </w:pPr>
      <w:rPr>
        <w:rFonts w:cs="Times New Roman" w:hint="default"/>
        <w:b/>
        <w:color w:val="auto"/>
      </w:rPr>
    </w:lvl>
    <w:lvl w:ilvl="5">
      <w:start w:val="1"/>
      <w:numFmt w:val="decimal"/>
      <w:lvlText w:val="%1.%2.%3.%4.%5.%6"/>
      <w:lvlJc w:val="left"/>
      <w:pPr>
        <w:ind w:left="2880" w:hanging="1080"/>
      </w:pPr>
      <w:rPr>
        <w:rFonts w:cs="Times New Roman" w:hint="default"/>
        <w:b/>
        <w:color w:val="auto"/>
      </w:rPr>
    </w:lvl>
    <w:lvl w:ilvl="6">
      <w:start w:val="1"/>
      <w:numFmt w:val="decimal"/>
      <w:lvlText w:val="%1.%2.%3.%4.%5.%6.%7"/>
      <w:lvlJc w:val="left"/>
      <w:pPr>
        <w:ind w:left="3600" w:hanging="1440"/>
      </w:pPr>
      <w:rPr>
        <w:rFonts w:cs="Times New Roman" w:hint="default"/>
        <w:b/>
        <w:color w:val="auto"/>
      </w:rPr>
    </w:lvl>
    <w:lvl w:ilvl="7">
      <w:start w:val="1"/>
      <w:numFmt w:val="decimal"/>
      <w:lvlText w:val="%1.%2.%3.%4.%5.%6.%7.%8"/>
      <w:lvlJc w:val="left"/>
      <w:pPr>
        <w:ind w:left="3960" w:hanging="1440"/>
      </w:pPr>
      <w:rPr>
        <w:rFonts w:cs="Times New Roman" w:hint="default"/>
        <w:b/>
        <w:color w:val="auto"/>
      </w:rPr>
    </w:lvl>
    <w:lvl w:ilvl="8">
      <w:start w:val="1"/>
      <w:numFmt w:val="decimal"/>
      <w:lvlText w:val="%1.%2.%3.%4.%5.%6.%7.%8.%9"/>
      <w:lvlJc w:val="left"/>
      <w:pPr>
        <w:ind w:left="4680" w:hanging="1800"/>
      </w:pPr>
      <w:rPr>
        <w:rFonts w:cs="Times New Roman" w:hint="default"/>
        <w:b/>
        <w:color w:val="auto"/>
      </w:rPr>
    </w:lvl>
  </w:abstractNum>
  <w:abstractNum w:abstractNumId="6">
    <w:nsid w:val="167C52DA"/>
    <w:multiLevelType w:val="hybridMultilevel"/>
    <w:tmpl w:val="6E1EFF82"/>
    <w:lvl w:ilvl="0" w:tplc="080A000F">
      <w:start w:val="1"/>
      <w:numFmt w:val="decimal"/>
      <w:lvlText w:val="%1."/>
      <w:lvlJc w:val="left"/>
      <w:pPr>
        <w:ind w:left="770" w:hanging="360"/>
      </w:p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7">
    <w:nsid w:val="1D9D35BD"/>
    <w:multiLevelType w:val="hybridMultilevel"/>
    <w:tmpl w:val="7A625F40"/>
    <w:lvl w:ilvl="0" w:tplc="080A0017">
      <w:start w:val="1"/>
      <w:numFmt w:val="lowerLetter"/>
      <w:lvlText w:val="%1)"/>
      <w:lvlJc w:val="left"/>
      <w:pPr>
        <w:ind w:left="770" w:hanging="360"/>
      </w:p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8">
    <w:nsid w:val="1DCB278F"/>
    <w:multiLevelType w:val="hybridMultilevel"/>
    <w:tmpl w:val="3D7621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E863201"/>
    <w:multiLevelType w:val="hybridMultilevel"/>
    <w:tmpl w:val="8C285760"/>
    <w:lvl w:ilvl="0" w:tplc="080A0019">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nsid w:val="1ED75EFC"/>
    <w:multiLevelType w:val="hybridMultilevel"/>
    <w:tmpl w:val="71A2D4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5EB5BB6"/>
    <w:multiLevelType w:val="multilevel"/>
    <w:tmpl w:val="30E893DE"/>
    <w:lvl w:ilvl="0">
      <w:start w:val="2"/>
      <w:numFmt w:val="decimal"/>
      <w:lvlText w:val="%1"/>
      <w:lvlJc w:val="left"/>
      <w:pPr>
        <w:ind w:left="360" w:hanging="360"/>
      </w:pPr>
      <w:rPr>
        <w:rFonts w:cs="Times New Roman" w:hint="default"/>
        <w:b/>
        <w:color w:val="auto"/>
      </w:rPr>
    </w:lvl>
    <w:lvl w:ilvl="1">
      <w:start w:val="1"/>
      <w:numFmt w:val="decimal"/>
      <w:lvlText w:val="%1.%2"/>
      <w:lvlJc w:val="left"/>
      <w:pPr>
        <w:ind w:left="720" w:hanging="360"/>
      </w:pPr>
      <w:rPr>
        <w:rFonts w:cs="Times New Roman" w:hint="default"/>
        <w:b/>
        <w:color w:val="auto"/>
      </w:rPr>
    </w:lvl>
    <w:lvl w:ilvl="2">
      <w:start w:val="1"/>
      <w:numFmt w:val="decimal"/>
      <w:lvlText w:val="%1.%2.%3"/>
      <w:lvlJc w:val="left"/>
      <w:pPr>
        <w:ind w:left="1440" w:hanging="720"/>
      </w:pPr>
      <w:rPr>
        <w:rFonts w:cs="Times New Roman" w:hint="default"/>
        <w:b/>
        <w:color w:val="auto"/>
      </w:rPr>
    </w:lvl>
    <w:lvl w:ilvl="3">
      <w:start w:val="1"/>
      <w:numFmt w:val="decimal"/>
      <w:lvlText w:val="%1.%2.%3.%4"/>
      <w:lvlJc w:val="left"/>
      <w:pPr>
        <w:ind w:left="1800" w:hanging="720"/>
      </w:pPr>
      <w:rPr>
        <w:rFonts w:cs="Times New Roman" w:hint="default"/>
        <w:b/>
        <w:color w:val="auto"/>
      </w:rPr>
    </w:lvl>
    <w:lvl w:ilvl="4">
      <w:start w:val="1"/>
      <w:numFmt w:val="decimal"/>
      <w:lvlText w:val="%1.%2.%3.%4.%5"/>
      <w:lvlJc w:val="left"/>
      <w:pPr>
        <w:ind w:left="2520" w:hanging="1080"/>
      </w:pPr>
      <w:rPr>
        <w:rFonts w:cs="Times New Roman" w:hint="default"/>
        <w:b/>
        <w:color w:val="auto"/>
      </w:rPr>
    </w:lvl>
    <w:lvl w:ilvl="5">
      <w:start w:val="1"/>
      <w:numFmt w:val="decimal"/>
      <w:lvlText w:val="%1.%2.%3.%4.%5.%6"/>
      <w:lvlJc w:val="left"/>
      <w:pPr>
        <w:ind w:left="2880" w:hanging="1080"/>
      </w:pPr>
      <w:rPr>
        <w:rFonts w:cs="Times New Roman" w:hint="default"/>
        <w:b/>
        <w:color w:val="auto"/>
      </w:rPr>
    </w:lvl>
    <w:lvl w:ilvl="6">
      <w:start w:val="1"/>
      <w:numFmt w:val="decimal"/>
      <w:lvlText w:val="%1.%2.%3.%4.%5.%6.%7"/>
      <w:lvlJc w:val="left"/>
      <w:pPr>
        <w:ind w:left="3600" w:hanging="1440"/>
      </w:pPr>
      <w:rPr>
        <w:rFonts w:cs="Times New Roman" w:hint="default"/>
        <w:b/>
        <w:color w:val="auto"/>
      </w:rPr>
    </w:lvl>
    <w:lvl w:ilvl="7">
      <w:start w:val="1"/>
      <w:numFmt w:val="decimal"/>
      <w:lvlText w:val="%1.%2.%3.%4.%5.%6.%7.%8"/>
      <w:lvlJc w:val="left"/>
      <w:pPr>
        <w:ind w:left="3960" w:hanging="1440"/>
      </w:pPr>
      <w:rPr>
        <w:rFonts w:cs="Times New Roman" w:hint="default"/>
        <w:b/>
        <w:color w:val="auto"/>
      </w:rPr>
    </w:lvl>
    <w:lvl w:ilvl="8">
      <w:start w:val="1"/>
      <w:numFmt w:val="decimal"/>
      <w:lvlText w:val="%1.%2.%3.%4.%5.%6.%7.%8.%9"/>
      <w:lvlJc w:val="left"/>
      <w:pPr>
        <w:ind w:left="4680" w:hanging="1800"/>
      </w:pPr>
      <w:rPr>
        <w:rFonts w:cs="Times New Roman" w:hint="default"/>
        <w:b/>
        <w:color w:val="auto"/>
      </w:rPr>
    </w:lvl>
  </w:abstractNum>
  <w:abstractNum w:abstractNumId="12">
    <w:nsid w:val="2672100A"/>
    <w:multiLevelType w:val="multilevel"/>
    <w:tmpl w:val="1E9CB36A"/>
    <w:lvl w:ilvl="0">
      <w:start w:val="1"/>
      <w:numFmt w:val="decimal"/>
      <w:lvlText w:val="%1"/>
      <w:lvlJc w:val="left"/>
      <w:pPr>
        <w:ind w:left="600" w:hanging="600"/>
      </w:pPr>
      <w:rPr>
        <w:rFonts w:hint="default"/>
      </w:rPr>
    </w:lvl>
    <w:lvl w:ilvl="1">
      <w:start w:val="2"/>
      <w:numFmt w:val="decimal"/>
      <w:lvlText w:val="%1.%2"/>
      <w:lvlJc w:val="left"/>
      <w:pPr>
        <w:ind w:left="960" w:hanging="600"/>
      </w:pPr>
      <w:rPr>
        <w:rFonts w:hint="default"/>
      </w:rPr>
    </w:lvl>
    <w:lvl w:ilvl="2">
      <w:start w:val="2"/>
      <w:numFmt w:val="decimal"/>
      <w:lvlText w:val="%1.%2.%3"/>
      <w:lvlJc w:val="left"/>
      <w:pPr>
        <w:ind w:left="1440" w:hanging="720"/>
      </w:pPr>
      <w:rPr>
        <w:rFonts w:hint="default"/>
      </w:rPr>
    </w:lvl>
    <w:lvl w:ilvl="3">
      <w:start w:val="4"/>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271513A1"/>
    <w:multiLevelType w:val="hybridMultilevel"/>
    <w:tmpl w:val="759416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92D53E9"/>
    <w:multiLevelType w:val="hybridMultilevel"/>
    <w:tmpl w:val="F3688018"/>
    <w:lvl w:ilvl="0" w:tplc="080A000F">
      <w:start w:val="1"/>
      <w:numFmt w:val="decimal"/>
      <w:lvlText w:val="%1."/>
      <w:lvlJc w:val="left"/>
      <w:pPr>
        <w:ind w:left="720" w:hanging="360"/>
      </w:pPr>
      <w:rPr>
        <w:rFonts w:hint="default"/>
      </w:rPr>
    </w:lvl>
    <w:lvl w:ilvl="1" w:tplc="BB9A9736">
      <w:start w:val="4"/>
      <w:numFmt w:val="bullet"/>
      <w:lvlText w:val="•"/>
      <w:lvlJc w:val="left"/>
      <w:pPr>
        <w:ind w:left="1785" w:hanging="705"/>
      </w:pPr>
      <w:rPr>
        <w:rFonts w:ascii="Adobe Caslon Pro" w:eastAsiaTheme="majorEastAsia" w:hAnsi="Adobe Caslon Pro"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B4E018B"/>
    <w:multiLevelType w:val="hybridMultilevel"/>
    <w:tmpl w:val="9D4277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ED43736"/>
    <w:multiLevelType w:val="multilevel"/>
    <w:tmpl w:val="B5AE7C5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7">
    <w:nsid w:val="2EEF3803"/>
    <w:multiLevelType w:val="hybridMultilevel"/>
    <w:tmpl w:val="1F22B0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0CA6D4D"/>
    <w:multiLevelType w:val="hybridMultilevel"/>
    <w:tmpl w:val="2BC20B64"/>
    <w:lvl w:ilvl="0" w:tplc="080A000F">
      <w:start w:val="1"/>
      <w:numFmt w:val="decimal"/>
      <w:lvlText w:val="%1."/>
      <w:lvlJc w:val="left"/>
      <w:pPr>
        <w:ind w:left="720" w:hanging="360"/>
      </w:pPr>
    </w:lvl>
    <w:lvl w:ilvl="1" w:tplc="6E6EF6EC">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3FA4B3D"/>
    <w:multiLevelType w:val="hybridMultilevel"/>
    <w:tmpl w:val="D056E844"/>
    <w:lvl w:ilvl="0" w:tplc="68CAAA8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0">
    <w:nsid w:val="385A022B"/>
    <w:multiLevelType w:val="hybridMultilevel"/>
    <w:tmpl w:val="C08664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C606504"/>
    <w:multiLevelType w:val="hybridMultilevel"/>
    <w:tmpl w:val="D22EEE12"/>
    <w:lvl w:ilvl="0" w:tplc="133A209E">
      <w:start w:val="1"/>
      <w:numFmt w:val="decimal"/>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2C36D66"/>
    <w:multiLevelType w:val="hybridMultilevel"/>
    <w:tmpl w:val="C19ADB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1B433DA"/>
    <w:multiLevelType w:val="hybridMultilevel"/>
    <w:tmpl w:val="F5EC0366"/>
    <w:lvl w:ilvl="0" w:tplc="331C0F8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2F7093A"/>
    <w:multiLevelType w:val="multilevel"/>
    <w:tmpl w:val="30E893DE"/>
    <w:lvl w:ilvl="0">
      <w:start w:val="2"/>
      <w:numFmt w:val="decimal"/>
      <w:lvlText w:val="%1"/>
      <w:lvlJc w:val="left"/>
      <w:pPr>
        <w:ind w:left="360" w:hanging="360"/>
      </w:pPr>
      <w:rPr>
        <w:rFonts w:cs="Times New Roman" w:hint="default"/>
        <w:b/>
        <w:color w:val="auto"/>
      </w:rPr>
    </w:lvl>
    <w:lvl w:ilvl="1">
      <w:start w:val="1"/>
      <w:numFmt w:val="decimal"/>
      <w:lvlText w:val="%1.%2"/>
      <w:lvlJc w:val="left"/>
      <w:pPr>
        <w:ind w:left="720" w:hanging="360"/>
      </w:pPr>
      <w:rPr>
        <w:rFonts w:cs="Times New Roman" w:hint="default"/>
        <w:b/>
        <w:color w:val="auto"/>
      </w:rPr>
    </w:lvl>
    <w:lvl w:ilvl="2">
      <w:start w:val="1"/>
      <w:numFmt w:val="decimal"/>
      <w:lvlText w:val="%1.%2.%3"/>
      <w:lvlJc w:val="left"/>
      <w:pPr>
        <w:ind w:left="1440" w:hanging="720"/>
      </w:pPr>
      <w:rPr>
        <w:rFonts w:cs="Times New Roman" w:hint="default"/>
        <w:b/>
        <w:color w:val="auto"/>
      </w:rPr>
    </w:lvl>
    <w:lvl w:ilvl="3">
      <w:start w:val="1"/>
      <w:numFmt w:val="decimal"/>
      <w:lvlText w:val="%1.%2.%3.%4"/>
      <w:lvlJc w:val="left"/>
      <w:pPr>
        <w:ind w:left="1800" w:hanging="720"/>
      </w:pPr>
      <w:rPr>
        <w:rFonts w:cs="Times New Roman" w:hint="default"/>
        <w:b/>
        <w:color w:val="auto"/>
      </w:rPr>
    </w:lvl>
    <w:lvl w:ilvl="4">
      <w:start w:val="1"/>
      <w:numFmt w:val="decimal"/>
      <w:lvlText w:val="%1.%2.%3.%4.%5"/>
      <w:lvlJc w:val="left"/>
      <w:pPr>
        <w:ind w:left="2520" w:hanging="1080"/>
      </w:pPr>
      <w:rPr>
        <w:rFonts w:cs="Times New Roman" w:hint="default"/>
        <w:b/>
        <w:color w:val="auto"/>
      </w:rPr>
    </w:lvl>
    <w:lvl w:ilvl="5">
      <w:start w:val="1"/>
      <w:numFmt w:val="decimal"/>
      <w:lvlText w:val="%1.%2.%3.%4.%5.%6"/>
      <w:lvlJc w:val="left"/>
      <w:pPr>
        <w:ind w:left="2880" w:hanging="1080"/>
      </w:pPr>
      <w:rPr>
        <w:rFonts w:cs="Times New Roman" w:hint="default"/>
        <w:b/>
        <w:color w:val="auto"/>
      </w:rPr>
    </w:lvl>
    <w:lvl w:ilvl="6">
      <w:start w:val="1"/>
      <w:numFmt w:val="decimal"/>
      <w:lvlText w:val="%1.%2.%3.%4.%5.%6.%7"/>
      <w:lvlJc w:val="left"/>
      <w:pPr>
        <w:ind w:left="3600" w:hanging="1440"/>
      </w:pPr>
      <w:rPr>
        <w:rFonts w:cs="Times New Roman" w:hint="default"/>
        <w:b/>
        <w:color w:val="auto"/>
      </w:rPr>
    </w:lvl>
    <w:lvl w:ilvl="7">
      <w:start w:val="1"/>
      <w:numFmt w:val="decimal"/>
      <w:lvlText w:val="%1.%2.%3.%4.%5.%6.%7.%8"/>
      <w:lvlJc w:val="left"/>
      <w:pPr>
        <w:ind w:left="3960" w:hanging="1440"/>
      </w:pPr>
      <w:rPr>
        <w:rFonts w:cs="Times New Roman" w:hint="default"/>
        <w:b/>
        <w:color w:val="auto"/>
      </w:rPr>
    </w:lvl>
    <w:lvl w:ilvl="8">
      <w:start w:val="1"/>
      <w:numFmt w:val="decimal"/>
      <w:lvlText w:val="%1.%2.%3.%4.%5.%6.%7.%8.%9"/>
      <w:lvlJc w:val="left"/>
      <w:pPr>
        <w:ind w:left="4680" w:hanging="1800"/>
      </w:pPr>
      <w:rPr>
        <w:rFonts w:cs="Times New Roman" w:hint="default"/>
        <w:b/>
        <w:color w:val="auto"/>
      </w:rPr>
    </w:lvl>
  </w:abstractNum>
  <w:abstractNum w:abstractNumId="25">
    <w:nsid w:val="542250F7"/>
    <w:multiLevelType w:val="hybridMultilevel"/>
    <w:tmpl w:val="3828AE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4E46EDF"/>
    <w:multiLevelType w:val="hybridMultilevel"/>
    <w:tmpl w:val="65780916"/>
    <w:lvl w:ilvl="0" w:tplc="46769E6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75E7CB2"/>
    <w:multiLevelType w:val="multilevel"/>
    <w:tmpl w:val="2062D51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7DD0DB4"/>
    <w:multiLevelType w:val="hybridMultilevel"/>
    <w:tmpl w:val="25F44820"/>
    <w:lvl w:ilvl="0" w:tplc="080A000F">
      <w:start w:val="1"/>
      <w:numFmt w:val="decimal"/>
      <w:lvlText w:val="%1."/>
      <w:lvlJc w:val="left"/>
      <w:pPr>
        <w:ind w:left="770" w:hanging="360"/>
      </w:p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29">
    <w:nsid w:val="599D203A"/>
    <w:multiLevelType w:val="hybridMultilevel"/>
    <w:tmpl w:val="FE186E8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B882936"/>
    <w:multiLevelType w:val="multilevel"/>
    <w:tmpl w:val="4FC00D02"/>
    <w:lvl w:ilvl="0">
      <w:start w:val="1"/>
      <w:numFmt w:val="decimal"/>
      <w:lvlText w:val="%1"/>
      <w:lvlJc w:val="left"/>
      <w:pPr>
        <w:ind w:left="705" w:hanging="705"/>
      </w:pPr>
      <w:rPr>
        <w:rFonts w:hint="default"/>
      </w:rPr>
    </w:lvl>
    <w:lvl w:ilvl="1">
      <w:start w:val="2"/>
      <w:numFmt w:val="decimal"/>
      <w:lvlText w:val="%1.%2"/>
      <w:lvlJc w:val="left"/>
      <w:pPr>
        <w:ind w:left="705" w:hanging="705"/>
      </w:pPr>
      <w:rPr>
        <w:rFonts w:hint="default"/>
      </w:rPr>
    </w:lvl>
    <w:lvl w:ilvl="2">
      <w:start w:val="2"/>
      <w:numFmt w:val="decimal"/>
      <w:lvlText w:val="%1.%2.%3"/>
      <w:lvlJc w:val="left"/>
      <w:pPr>
        <w:ind w:left="720" w:hanging="720"/>
      </w:pPr>
      <w:rPr>
        <w:rFonts w:hint="default"/>
      </w:rPr>
    </w:lvl>
    <w:lvl w:ilvl="3">
      <w:start w:val="1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B9534D2"/>
    <w:multiLevelType w:val="hybridMultilevel"/>
    <w:tmpl w:val="1D6E71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1E12EE3"/>
    <w:multiLevelType w:val="hybridMultilevel"/>
    <w:tmpl w:val="03DA1C0C"/>
    <w:lvl w:ilvl="0" w:tplc="D534B6B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A8248A4"/>
    <w:multiLevelType w:val="hybridMultilevel"/>
    <w:tmpl w:val="D986AB52"/>
    <w:lvl w:ilvl="0" w:tplc="C676149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DEF33D5"/>
    <w:multiLevelType w:val="hybridMultilevel"/>
    <w:tmpl w:val="422C0E3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F3B04A8"/>
    <w:multiLevelType w:val="multilevel"/>
    <w:tmpl w:val="30E893DE"/>
    <w:lvl w:ilvl="0">
      <w:start w:val="2"/>
      <w:numFmt w:val="decimal"/>
      <w:lvlText w:val="%1"/>
      <w:lvlJc w:val="left"/>
      <w:pPr>
        <w:ind w:left="360" w:hanging="360"/>
      </w:pPr>
      <w:rPr>
        <w:rFonts w:cs="Times New Roman" w:hint="default"/>
        <w:b/>
        <w:color w:val="auto"/>
      </w:rPr>
    </w:lvl>
    <w:lvl w:ilvl="1">
      <w:start w:val="1"/>
      <w:numFmt w:val="decimal"/>
      <w:lvlText w:val="%1.%2"/>
      <w:lvlJc w:val="left"/>
      <w:pPr>
        <w:ind w:left="720" w:hanging="360"/>
      </w:pPr>
      <w:rPr>
        <w:rFonts w:cs="Times New Roman" w:hint="default"/>
        <w:b/>
        <w:color w:val="auto"/>
      </w:rPr>
    </w:lvl>
    <w:lvl w:ilvl="2">
      <w:start w:val="1"/>
      <w:numFmt w:val="decimal"/>
      <w:lvlText w:val="%1.%2.%3"/>
      <w:lvlJc w:val="left"/>
      <w:pPr>
        <w:ind w:left="1440" w:hanging="720"/>
      </w:pPr>
      <w:rPr>
        <w:rFonts w:cs="Times New Roman" w:hint="default"/>
        <w:b/>
        <w:color w:val="auto"/>
      </w:rPr>
    </w:lvl>
    <w:lvl w:ilvl="3">
      <w:start w:val="1"/>
      <w:numFmt w:val="decimal"/>
      <w:lvlText w:val="%1.%2.%3.%4"/>
      <w:lvlJc w:val="left"/>
      <w:pPr>
        <w:ind w:left="1800" w:hanging="720"/>
      </w:pPr>
      <w:rPr>
        <w:rFonts w:cs="Times New Roman" w:hint="default"/>
        <w:b/>
        <w:color w:val="auto"/>
      </w:rPr>
    </w:lvl>
    <w:lvl w:ilvl="4">
      <w:start w:val="1"/>
      <w:numFmt w:val="decimal"/>
      <w:lvlText w:val="%1.%2.%3.%4.%5"/>
      <w:lvlJc w:val="left"/>
      <w:pPr>
        <w:ind w:left="2520" w:hanging="1080"/>
      </w:pPr>
      <w:rPr>
        <w:rFonts w:cs="Times New Roman" w:hint="default"/>
        <w:b/>
        <w:color w:val="auto"/>
      </w:rPr>
    </w:lvl>
    <w:lvl w:ilvl="5">
      <w:start w:val="1"/>
      <w:numFmt w:val="decimal"/>
      <w:lvlText w:val="%1.%2.%3.%4.%5.%6"/>
      <w:lvlJc w:val="left"/>
      <w:pPr>
        <w:ind w:left="2880" w:hanging="1080"/>
      </w:pPr>
      <w:rPr>
        <w:rFonts w:cs="Times New Roman" w:hint="default"/>
        <w:b/>
        <w:color w:val="auto"/>
      </w:rPr>
    </w:lvl>
    <w:lvl w:ilvl="6">
      <w:start w:val="1"/>
      <w:numFmt w:val="decimal"/>
      <w:lvlText w:val="%1.%2.%3.%4.%5.%6.%7"/>
      <w:lvlJc w:val="left"/>
      <w:pPr>
        <w:ind w:left="3600" w:hanging="1440"/>
      </w:pPr>
      <w:rPr>
        <w:rFonts w:cs="Times New Roman" w:hint="default"/>
        <w:b/>
        <w:color w:val="auto"/>
      </w:rPr>
    </w:lvl>
    <w:lvl w:ilvl="7">
      <w:start w:val="1"/>
      <w:numFmt w:val="decimal"/>
      <w:lvlText w:val="%1.%2.%3.%4.%5.%6.%7.%8"/>
      <w:lvlJc w:val="left"/>
      <w:pPr>
        <w:ind w:left="3960" w:hanging="1440"/>
      </w:pPr>
      <w:rPr>
        <w:rFonts w:cs="Times New Roman" w:hint="default"/>
        <w:b/>
        <w:color w:val="auto"/>
      </w:rPr>
    </w:lvl>
    <w:lvl w:ilvl="8">
      <w:start w:val="1"/>
      <w:numFmt w:val="decimal"/>
      <w:lvlText w:val="%1.%2.%3.%4.%5.%6.%7.%8.%9"/>
      <w:lvlJc w:val="left"/>
      <w:pPr>
        <w:ind w:left="4680" w:hanging="1800"/>
      </w:pPr>
      <w:rPr>
        <w:rFonts w:cs="Times New Roman" w:hint="default"/>
        <w:b/>
        <w:color w:val="auto"/>
      </w:rPr>
    </w:lvl>
  </w:abstractNum>
  <w:abstractNum w:abstractNumId="36">
    <w:nsid w:val="751A47BB"/>
    <w:multiLevelType w:val="hybridMultilevel"/>
    <w:tmpl w:val="050610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5DA739F"/>
    <w:multiLevelType w:val="hybridMultilevel"/>
    <w:tmpl w:val="DFC87A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71361D3"/>
    <w:multiLevelType w:val="multilevel"/>
    <w:tmpl w:val="53A8B460"/>
    <w:lvl w:ilvl="0">
      <w:start w:val="5"/>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nsid w:val="781218BB"/>
    <w:multiLevelType w:val="hybridMultilevel"/>
    <w:tmpl w:val="A15607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9CC4FDF"/>
    <w:multiLevelType w:val="hybridMultilevel"/>
    <w:tmpl w:val="AF64FFEA"/>
    <w:lvl w:ilvl="0" w:tplc="080A000F">
      <w:start w:val="1"/>
      <w:numFmt w:val="decimal"/>
      <w:lvlText w:val="%1."/>
      <w:lvlJc w:val="left"/>
      <w:pPr>
        <w:ind w:left="720" w:hanging="360"/>
      </w:pPr>
    </w:lvl>
    <w:lvl w:ilvl="1" w:tplc="080A000F">
      <w:start w:val="1"/>
      <w:numFmt w:val="decimal"/>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B8F6D4C"/>
    <w:multiLevelType w:val="hybridMultilevel"/>
    <w:tmpl w:val="8BAA9C96"/>
    <w:lvl w:ilvl="0" w:tplc="080A000F">
      <w:start w:val="1"/>
      <w:numFmt w:val="decimal"/>
      <w:lvlText w:val="%1."/>
      <w:lvlJc w:val="left"/>
      <w:pPr>
        <w:ind w:left="770" w:hanging="360"/>
      </w:p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num w:numId="1">
    <w:abstractNumId w:val="16"/>
  </w:num>
  <w:num w:numId="2">
    <w:abstractNumId w:val="17"/>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1"/>
  </w:num>
  <w:num w:numId="6">
    <w:abstractNumId w:val="29"/>
  </w:num>
  <w:num w:numId="7">
    <w:abstractNumId w:val="27"/>
  </w:num>
  <w:num w:numId="8">
    <w:abstractNumId w:val="24"/>
  </w:num>
  <w:num w:numId="9">
    <w:abstractNumId w:val="12"/>
  </w:num>
  <w:num w:numId="10">
    <w:abstractNumId w:val="30"/>
  </w:num>
  <w:num w:numId="11">
    <w:abstractNumId w:val="19"/>
  </w:num>
  <w:num w:numId="12">
    <w:abstractNumId w:val="37"/>
  </w:num>
  <w:num w:numId="13">
    <w:abstractNumId w:val="20"/>
  </w:num>
  <w:num w:numId="14">
    <w:abstractNumId w:val="4"/>
  </w:num>
  <w:num w:numId="15">
    <w:abstractNumId w:val="10"/>
  </w:num>
  <w:num w:numId="16">
    <w:abstractNumId w:val="11"/>
  </w:num>
  <w:num w:numId="17">
    <w:abstractNumId w:val="35"/>
  </w:num>
  <w:num w:numId="18">
    <w:abstractNumId w:val="31"/>
  </w:num>
  <w:num w:numId="19">
    <w:abstractNumId w:val="0"/>
  </w:num>
  <w:num w:numId="20">
    <w:abstractNumId w:val="1"/>
  </w:num>
  <w:num w:numId="21">
    <w:abstractNumId w:val="6"/>
  </w:num>
  <w:num w:numId="22">
    <w:abstractNumId w:val="41"/>
  </w:num>
  <w:num w:numId="23">
    <w:abstractNumId w:val="28"/>
  </w:num>
  <w:num w:numId="24">
    <w:abstractNumId w:val="18"/>
  </w:num>
  <w:num w:numId="25">
    <w:abstractNumId w:val="32"/>
  </w:num>
  <w:num w:numId="26">
    <w:abstractNumId w:val="38"/>
  </w:num>
  <w:num w:numId="27">
    <w:abstractNumId w:val="26"/>
  </w:num>
  <w:num w:numId="28">
    <w:abstractNumId w:val="3"/>
  </w:num>
  <w:num w:numId="29">
    <w:abstractNumId w:val="33"/>
  </w:num>
  <w:num w:numId="30">
    <w:abstractNumId w:val="7"/>
  </w:num>
  <w:num w:numId="31">
    <w:abstractNumId w:val="36"/>
  </w:num>
  <w:num w:numId="32">
    <w:abstractNumId w:val="40"/>
  </w:num>
  <w:num w:numId="33">
    <w:abstractNumId w:val="13"/>
  </w:num>
  <w:num w:numId="34">
    <w:abstractNumId w:val="5"/>
  </w:num>
  <w:num w:numId="35">
    <w:abstractNumId w:val="8"/>
  </w:num>
  <w:num w:numId="36">
    <w:abstractNumId w:val="23"/>
  </w:num>
  <w:num w:numId="37">
    <w:abstractNumId w:val="25"/>
  </w:num>
  <w:num w:numId="38">
    <w:abstractNumId w:val="14"/>
  </w:num>
  <w:num w:numId="39">
    <w:abstractNumId w:val="39"/>
  </w:num>
  <w:num w:numId="40">
    <w:abstractNumId w:val="22"/>
  </w:num>
  <w:num w:numId="41">
    <w:abstractNumId w:val="34"/>
  </w:num>
  <w:num w:numId="42">
    <w:abstractNumId w:val="1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F5B"/>
    <w:rsid w:val="00002226"/>
    <w:rsid w:val="00002628"/>
    <w:rsid w:val="00003229"/>
    <w:rsid w:val="0001559B"/>
    <w:rsid w:val="000220C3"/>
    <w:rsid w:val="000221F1"/>
    <w:rsid w:val="000242EF"/>
    <w:rsid w:val="00024EED"/>
    <w:rsid w:val="00026506"/>
    <w:rsid w:val="00031098"/>
    <w:rsid w:val="00032F1F"/>
    <w:rsid w:val="00034C95"/>
    <w:rsid w:val="00037A7E"/>
    <w:rsid w:val="00046E10"/>
    <w:rsid w:val="000475FA"/>
    <w:rsid w:val="00047999"/>
    <w:rsid w:val="000479ED"/>
    <w:rsid w:val="00047C3F"/>
    <w:rsid w:val="00062EBA"/>
    <w:rsid w:val="000640F3"/>
    <w:rsid w:val="0007036B"/>
    <w:rsid w:val="00073E29"/>
    <w:rsid w:val="00074660"/>
    <w:rsid w:val="00077104"/>
    <w:rsid w:val="00077760"/>
    <w:rsid w:val="00082CB7"/>
    <w:rsid w:val="000861D7"/>
    <w:rsid w:val="00087DE0"/>
    <w:rsid w:val="000907D3"/>
    <w:rsid w:val="00091BF1"/>
    <w:rsid w:val="000A0807"/>
    <w:rsid w:val="000A0F95"/>
    <w:rsid w:val="000A3EC8"/>
    <w:rsid w:val="000A5088"/>
    <w:rsid w:val="000A71A3"/>
    <w:rsid w:val="000B108C"/>
    <w:rsid w:val="000C77F0"/>
    <w:rsid w:val="000D62D1"/>
    <w:rsid w:val="000D6B3F"/>
    <w:rsid w:val="000E194A"/>
    <w:rsid w:val="000E2849"/>
    <w:rsid w:val="000E2AAD"/>
    <w:rsid w:val="000E2B46"/>
    <w:rsid w:val="000E3B1A"/>
    <w:rsid w:val="000E588B"/>
    <w:rsid w:val="000F4B77"/>
    <w:rsid w:val="000F54F5"/>
    <w:rsid w:val="00101BF9"/>
    <w:rsid w:val="0010798F"/>
    <w:rsid w:val="00110650"/>
    <w:rsid w:val="00110975"/>
    <w:rsid w:val="001111E3"/>
    <w:rsid w:val="001127C5"/>
    <w:rsid w:val="00114067"/>
    <w:rsid w:val="001153F0"/>
    <w:rsid w:val="001217F4"/>
    <w:rsid w:val="00123E4C"/>
    <w:rsid w:val="001259C4"/>
    <w:rsid w:val="00125C6E"/>
    <w:rsid w:val="00130F95"/>
    <w:rsid w:val="00131A29"/>
    <w:rsid w:val="0013231A"/>
    <w:rsid w:val="001328C5"/>
    <w:rsid w:val="00136C04"/>
    <w:rsid w:val="001372B1"/>
    <w:rsid w:val="00140E1D"/>
    <w:rsid w:val="001419C3"/>
    <w:rsid w:val="00141B08"/>
    <w:rsid w:val="0014367A"/>
    <w:rsid w:val="00143ED3"/>
    <w:rsid w:val="00151110"/>
    <w:rsid w:val="00152126"/>
    <w:rsid w:val="00152883"/>
    <w:rsid w:val="0015396B"/>
    <w:rsid w:val="0015405C"/>
    <w:rsid w:val="0015751F"/>
    <w:rsid w:val="00160981"/>
    <w:rsid w:val="00160BF3"/>
    <w:rsid w:val="00162E6A"/>
    <w:rsid w:val="00163E84"/>
    <w:rsid w:val="00164482"/>
    <w:rsid w:val="001653FA"/>
    <w:rsid w:val="00172394"/>
    <w:rsid w:val="00173045"/>
    <w:rsid w:val="001745AE"/>
    <w:rsid w:val="00177EF0"/>
    <w:rsid w:val="0018112B"/>
    <w:rsid w:val="00181790"/>
    <w:rsid w:val="0018237B"/>
    <w:rsid w:val="00186604"/>
    <w:rsid w:val="00191F42"/>
    <w:rsid w:val="0019290A"/>
    <w:rsid w:val="001953C8"/>
    <w:rsid w:val="00197C26"/>
    <w:rsid w:val="001A36B6"/>
    <w:rsid w:val="001A7E50"/>
    <w:rsid w:val="001B06D8"/>
    <w:rsid w:val="001B0FEB"/>
    <w:rsid w:val="001B3342"/>
    <w:rsid w:val="001B39FA"/>
    <w:rsid w:val="001C2987"/>
    <w:rsid w:val="001C30F1"/>
    <w:rsid w:val="001C3146"/>
    <w:rsid w:val="001C46C8"/>
    <w:rsid w:val="001D30CF"/>
    <w:rsid w:val="001D311C"/>
    <w:rsid w:val="001D3904"/>
    <w:rsid w:val="001D6AAC"/>
    <w:rsid w:val="001E24D5"/>
    <w:rsid w:val="001E2C48"/>
    <w:rsid w:val="001E3A11"/>
    <w:rsid w:val="001E4613"/>
    <w:rsid w:val="001E47B6"/>
    <w:rsid w:val="001E4E06"/>
    <w:rsid w:val="001E5B65"/>
    <w:rsid w:val="001E6353"/>
    <w:rsid w:val="001F02EA"/>
    <w:rsid w:val="001F084C"/>
    <w:rsid w:val="001F0D4E"/>
    <w:rsid w:val="001F1252"/>
    <w:rsid w:val="001F1E2D"/>
    <w:rsid w:val="001F2552"/>
    <w:rsid w:val="001F49E7"/>
    <w:rsid w:val="001F5933"/>
    <w:rsid w:val="001F61D2"/>
    <w:rsid w:val="001F78C3"/>
    <w:rsid w:val="002004D2"/>
    <w:rsid w:val="00203829"/>
    <w:rsid w:val="00203CE4"/>
    <w:rsid w:val="0020405C"/>
    <w:rsid w:val="002050DF"/>
    <w:rsid w:val="002119CB"/>
    <w:rsid w:val="00212871"/>
    <w:rsid w:val="00216285"/>
    <w:rsid w:val="00220588"/>
    <w:rsid w:val="00221285"/>
    <w:rsid w:val="0022257F"/>
    <w:rsid w:val="002232AA"/>
    <w:rsid w:val="00224052"/>
    <w:rsid w:val="00232241"/>
    <w:rsid w:val="00233814"/>
    <w:rsid w:val="00233C6C"/>
    <w:rsid w:val="002346CF"/>
    <w:rsid w:val="0023477B"/>
    <w:rsid w:val="00237777"/>
    <w:rsid w:val="00237FCF"/>
    <w:rsid w:val="00240829"/>
    <w:rsid w:val="002437FB"/>
    <w:rsid w:val="002474B9"/>
    <w:rsid w:val="00250544"/>
    <w:rsid w:val="00250F27"/>
    <w:rsid w:val="00253689"/>
    <w:rsid w:val="0025571B"/>
    <w:rsid w:val="00255AA6"/>
    <w:rsid w:val="002601A7"/>
    <w:rsid w:val="00260625"/>
    <w:rsid w:val="00261495"/>
    <w:rsid w:val="002629DB"/>
    <w:rsid w:val="0026358A"/>
    <w:rsid w:val="0026450C"/>
    <w:rsid w:val="00264947"/>
    <w:rsid w:val="00270BE3"/>
    <w:rsid w:val="00271526"/>
    <w:rsid w:val="00277719"/>
    <w:rsid w:val="002822AB"/>
    <w:rsid w:val="00282EC3"/>
    <w:rsid w:val="00286412"/>
    <w:rsid w:val="00291EE5"/>
    <w:rsid w:val="00292982"/>
    <w:rsid w:val="00294E35"/>
    <w:rsid w:val="002A50BD"/>
    <w:rsid w:val="002A5DD4"/>
    <w:rsid w:val="002A5EAC"/>
    <w:rsid w:val="002A78A2"/>
    <w:rsid w:val="002B7BFE"/>
    <w:rsid w:val="002C0F1F"/>
    <w:rsid w:val="002C398A"/>
    <w:rsid w:val="002C51DA"/>
    <w:rsid w:val="002C5E41"/>
    <w:rsid w:val="002C78CC"/>
    <w:rsid w:val="002D09D1"/>
    <w:rsid w:val="002D2B80"/>
    <w:rsid w:val="002D49BA"/>
    <w:rsid w:val="002E0D3E"/>
    <w:rsid w:val="002E1BB1"/>
    <w:rsid w:val="002E276E"/>
    <w:rsid w:val="002E3253"/>
    <w:rsid w:val="002E3B44"/>
    <w:rsid w:val="002E3D77"/>
    <w:rsid w:val="002F04B3"/>
    <w:rsid w:val="002F315A"/>
    <w:rsid w:val="002F714E"/>
    <w:rsid w:val="002F7D92"/>
    <w:rsid w:val="00302DD9"/>
    <w:rsid w:val="00304961"/>
    <w:rsid w:val="00312C5A"/>
    <w:rsid w:val="003152EF"/>
    <w:rsid w:val="003163BF"/>
    <w:rsid w:val="00316D13"/>
    <w:rsid w:val="00322A74"/>
    <w:rsid w:val="00325A24"/>
    <w:rsid w:val="003263FC"/>
    <w:rsid w:val="00326E32"/>
    <w:rsid w:val="00327AFF"/>
    <w:rsid w:val="00330A0C"/>
    <w:rsid w:val="00335457"/>
    <w:rsid w:val="003378B2"/>
    <w:rsid w:val="00337E55"/>
    <w:rsid w:val="00340815"/>
    <w:rsid w:val="00340B8C"/>
    <w:rsid w:val="00350FB0"/>
    <w:rsid w:val="00351457"/>
    <w:rsid w:val="003531B8"/>
    <w:rsid w:val="00353924"/>
    <w:rsid w:val="00354FFE"/>
    <w:rsid w:val="0036069A"/>
    <w:rsid w:val="00360B8F"/>
    <w:rsid w:val="003636EA"/>
    <w:rsid w:val="00366FCE"/>
    <w:rsid w:val="003721ED"/>
    <w:rsid w:val="0037253D"/>
    <w:rsid w:val="003739DA"/>
    <w:rsid w:val="00374793"/>
    <w:rsid w:val="00374B18"/>
    <w:rsid w:val="00381C39"/>
    <w:rsid w:val="00384108"/>
    <w:rsid w:val="003852CF"/>
    <w:rsid w:val="00386BF9"/>
    <w:rsid w:val="0038718A"/>
    <w:rsid w:val="00393F57"/>
    <w:rsid w:val="0039496C"/>
    <w:rsid w:val="003A00BE"/>
    <w:rsid w:val="003A1016"/>
    <w:rsid w:val="003A1EC7"/>
    <w:rsid w:val="003A2472"/>
    <w:rsid w:val="003A3682"/>
    <w:rsid w:val="003A4369"/>
    <w:rsid w:val="003B0A51"/>
    <w:rsid w:val="003B31E7"/>
    <w:rsid w:val="003B492B"/>
    <w:rsid w:val="003B4E02"/>
    <w:rsid w:val="003B79EF"/>
    <w:rsid w:val="003C1370"/>
    <w:rsid w:val="003C21FF"/>
    <w:rsid w:val="003C2658"/>
    <w:rsid w:val="003C2E63"/>
    <w:rsid w:val="003C2EDB"/>
    <w:rsid w:val="003C58D0"/>
    <w:rsid w:val="003C74C2"/>
    <w:rsid w:val="003C797B"/>
    <w:rsid w:val="003D12D7"/>
    <w:rsid w:val="003D28B2"/>
    <w:rsid w:val="003D3CCA"/>
    <w:rsid w:val="003D53E8"/>
    <w:rsid w:val="003E251B"/>
    <w:rsid w:val="003E53F4"/>
    <w:rsid w:val="003F1A9F"/>
    <w:rsid w:val="003F1EB3"/>
    <w:rsid w:val="003F4D74"/>
    <w:rsid w:val="003F78D7"/>
    <w:rsid w:val="004013BC"/>
    <w:rsid w:val="00402BA8"/>
    <w:rsid w:val="00402D7D"/>
    <w:rsid w:val="00404B22"/>
    <w:rsid w:val="004058B1"/>
    <w:rsid w:val="004109E1"/>
    <w:rsid w:val="004112D2"/>
    <w:rsid w:val="00411F3D"/>
    <w:rsid w:val="00412CAF"/>
    <w:rsid w:val="00412E9A"/>
    <w:rsid w:val="00415CFF"/>
    <w:rsid w:val="00416E76"/>
    <w:rsid w:val="004214F2"/>
    <w:rsid w:val="00423D99"/>
    <w:rsid w:val="00426B36"/>
    <w:rsid w:val="00426BF2"/>
    <w:rsid w:val="0043090A"/>
    <w:rsid w:val="0043242A"/>
    <w:rsid w:val="0043286B"/>
    <w:rsid w:val="00432D15"/>
    <w:rsid w:val="004342D6"/>
    <w:rsid w:val="00437E95"/>
    <w:rsid w:val="00440F43"/>
    <w:rsid w:val="004428AD"/>
    <w:rsid w:val="00444030"/>
    <w:rsid w:val="00444547"/>
    <w:rsid w:val="00451895"/>
    <w:rsid w:val="004530A1"/>
    <w:rsid w:val="004534B8"/>
    <w:rsid w:val="00457276"/>
    <w:rsid w:val="00457B1B"/>
    <w:rsid w:val="00457CDF"/>
    <w:rsid w:val="0046201F"/>
    <w:rsid w:val="00463F8E"/>
    <w:rsid w:val="004657D2"/>
    <w:rsid w:val="00465C7D"/>
    <w:rsid w:val="00470735"/>
    <w:rsid w:val="00476552"/>
    <w:rsid w:val="00476CD8"/>
    <w:rsid w:val="004774CE"/>
    <w:rsid w:val="0048286E"/>
    <w:rsid w:val="0048469B"/>
    <w:rsid w:val="00485149"/>
    <w:rsid w:val="0048606E"/>
    <w:rsid w:val="0048658F"/>
    <w:rsid w:val="004935FA"/>
    <w:rsid w:val="004939BC"/>
    <w:rsid w:val="00494B30"/>
    <w:rsid w:val="004957E1"/>
    <w:rsid w:val="00495C53"/>
    <w:rsid w:val="004A4F6C"/>
    <w:rsid w:val="004B1AF0"/>
    <w:rsid w:val="004B27B6"/>
    <w:rsid w:val="004C0712"/>
    <w:rsid w:val="004C26D2"/>
    <w:rsid w:val="004C2CF3"/>
    <w:rsid w:val="004C45E1"/>
    <w:rsid w:val="004C687B"/>
    <w:rsid w:val="004C7165"/>
    <w:rsid w:val="004D03E0"/>
    <w:rsid w:val="004D5944"/>
    <w:rsid w:val="004D5D2F"/>
    <w:rsid w:val="004E0E4A"/>
    <w:rsid w:val="004E1B0D"/>
    <w:rsid w:val="004E55ED"/>
    <w:rsid w:val="004E5B4C"/>
    <w:rsid w:val="004E5CC0"/>
    <w:rsid w:val="004E5EB0"/>
    <w:rsid w:val="004E6CED"/>
    <w:rsid w:val="004F0345"/>
    <w:rsid w:val="004F0898"/>
    <w:rsid w:val="004F4CBC"/>
    <w:rsid w:val="004F6F8F"/>
    <w:rsid w:val="004F74BF"/>
    <w:rsid w:val="004F7EB2"/>
    <w:rsid w:val="005002F0"/>
    <w:rsid w:val="00506C95"/>
    <w:rsid w:val="005071E2"/>
    <w:rsid w:val="005164F2"/>
    <w:rsid w:val="005202B1"/>
    <w:rsid w:val="00521DF2"/>
    <w:rsid w:val="00522363"/>
    <w:rsid w:val="00532D02"/>
    <w:rsid w:val="005342F3"/>
    <w:rsid w:val="005361D8"/>
    <w:rsid w:val="00536802"/>
    <w:rsid w:val="005377C9"/>
    <w:rsid w:val="005410E0"/>
    <w:rsid w:val="00541D49"/>
    <w:rsid w:val="00543A5D"/>
    <w:rsid w:val="005463A3"/>
    <w:rsid w:val="00546E31"/>
    <w:rsid w:val="00547531"/>
    <w:rsid w:val="00550854"/>
    <w:rsid w:val="00551F25"/>
    <w:rsid w:val="005534A0"/>
    <w:rsid w:val="005544BD"/>
    <w:rsid w:val="005554E4"/>
    <w:rsid w:val="005563D4"/>
    <w:rsid w:val="005629A8"/>
    <w:rsid w:val="00563568"/>
    <w:rsid w:val="0056695B"/>
    <w:rsid w:val="005715B3"/>
    <w:rsid w:val="00571747"/>
    <w:rsid w:val="00573FAD"/>
    <w:rsid w:val="005769B2"/>
    <w:rsid w:val="005778B0"/>
    <w:rsid w:val="00580DF4"/>
    <w:rsid w:val="00582A47"/>
    <w:rsid w:val="00592A12"/>
    <w:rsid w:val="005931F1"/>
    <w:rsid w:val="00593659"/>
    <w:rsid w:val="00593DE6"/>
    <w:rsid w:val="00595502"/>
    <w:rsid w:val="005965B8"/>
    <w:rsid w:val="00597798"/>
    <w:rsid w:val="005A173B"/>
    <w:rsid w:val="005A1A70"/>
    <w:rsid w:val="005B0249"/>
    <w:rsid w:val="005B480D"/>
    <w:rsid w:val="005B6EB1"/>
    <w:rsid w:val="005C347A"/>
    <w:rsid w:val="005C3ED6"/>
    <w:rsid w:val="005C6D65"/>
    <w:rsid w:val="005C79FF"/>
    <w:rsid w:val="005D2D74"/>
    <w:rsid w:val="005D3A4C"/>
    <w:rsid w:val="005D4951"/>
    <w:rsid w:val="005D7E19"/>
    <w:rsid w:val="005E27EB"/>
    <w:rsid w:val="005E3520"/>
    <w:rsid w:val="005E36C2"/>
    <w:rsid w:val="005E3957"/>
    <w:rsid w:val="005E474F"/>
    <w:rsid w:val="005E5B1C"/>
    <w:rsid w:val="005F0DC4"/>
    <w:rsid w:val="005F2F28"/>
    <w:rsid w:val="005F5720"/>
    <w:rsid w:val="005F659B"/>
    <w:rsid w:val="005F67D9"/>
    <w:rsid w:val="00600CC3"/>
    <w:rsid w:val="00604153"/>
    <w:rsid w:val="00610784"/>
    <w:rsid w:val="006109C9"/>
    <w:rsid w:val="0061166A"/>
    <w:rsid w:val="00615B7E"/>
    <w:rsid w:val="00620C08"/>
    <w:rsid w:val="00626456"/>
    <w:rsid w:val="006338E9"/>
    <w:rsid w:val="006338F6"/>
    <w:rsid w:val="00633F11"/>
    <w:rsid w:val="0064042F"/>
    <w:rsid w:val="006535C7"/>
    <w:rsid w:val="00654C9B"/>
    <w:rsid w:val="006551F6"/>
    <w:rsid w:val="006552C0"/>
    <w:rsid w:val="00655EC3"/>
    <w:rsid w:val="00657631"/>
    <w:rsid w:val="00661049"/>
    <w:rsid w:val="00661D63"/>
    <w:rsid w:val="00663509"/>
    <w:rsid w:val="00664977"/>
    <w:rsid w:val="00664D02"/>
    <w:rsid w:val="00666F33"/>
    <w:rsid w:val="00667034"/>
    <w:rsid w:val="00675E46"/>
    <w:rsid w:val="00675FF6"/>
    <w:rsid w:val="00681A9B"/>
    <w:rsid w:val="00683599"/>
    <w:rsid w:val="00683E69"/>
    <w:rsid w:val="006844DC"/>
    <w:rsid w:val="00691D87"/>
    <w:rsid w:val="00694F97"/>
    <w:rsid w:val="006A1471"/>
    <w:rsid w:val="006A27DE"/>
    <w:rsid w:val="006A46A6"/>
    <w:rsid w:val="006A4CBC"/>
    <w:rsid w:val="006A4E04"/>
    <w:rsid w:val="006A602F"/>
    <w:rsid w:val="006A7626"/>
    <w:rsid w:val="006B0885"/>
    <w:rsid w:val="006B2A61"/>
    <w:rsid w:val="006B55A7"/>
    <w:rsid w:val="006B798E"/>
    <w:rsid w:val="006B7E74"/>
    <w:rsid w:val="006C054B"/>
    <w:rsid w:val="006C331F"/>
    <w:rsid w:val="006C4E9A"/>
    <w:rsid w:val="006C6205"/>
    <w:rsid w:val="006C6A94"/>
    <w:rsid w:val="006E05D4"/>
    <w:rsid w:val="006E2429"/>
    <w:rsid w:val="006E30C8"/>
    <w:rsid w:val="006E796E"/>
    <w:rsid w:val="006E7F2B"/>
    <w:rsid w:val="006F3C13"/>
    <w:rsid w:val="00700D7C"/>
    <w:rsid w:val="0070189B"/>
    <w:rsid w:val="00706E50"/>
    <w:rsid w:val="00707064"/>
    <w:rsid w:val="00710CF6"/>
    <w:rsid w:val="00722DF3"/>
    <w:rsid w:val="0072441C"/>
    <w:rsid w:val="0072459D"/>
    <w:rsid w:val="00725123"/>
    <w:rsid w:val="00727C0E"/>
    <w:rsid w:val="0073006E"/>
    <w:rsid w:val="007302D6"/>
    <w:rsid w:val="00730C70"/>
    <w:rsid w:val="00730DC0"/>
    <w:rsid w:val="00731499"/>
    <w:rsid w:val="00735B54"/>
    <w:rsid w:val="00740284"/>
    <w:rsid w:val="0074076C"/>
    <w:rsid w:val="00742065"/>
    <w:rsid w:val="00742EF0"/>
    <w:rsid w:val="00744935"/>
    <w:rsid w:val="00747CAF"/>
    <w:rsid w:val="00751AA7"/>
    <w:rsid w:val="00753C1A"/>
    <w:rsid w:val="00755245"/>
    <w:rsid w:val="007562CC"/>
    <w:rsid w:val="0076324F"/>
    <w:rsid w:val="00763A12"/>
    <w:rsid w:val="00767323"/>
    <w:rsid w:val="00771B8E"/>
    <w:rsid w:val="007728CB"/>
    <w:rsid w:val="00773739"/>
    <w:rsid w:val="0077660D"/>
    <w:rsid w:val="007834D9"/>
    <w:rsid w:val="00783995"/>
    <w:rsid w:val="00783A55"/>
    <w:rsid w:val="00792BE8"/>
    <w:rsid w:val="00793182"/>
    <w:rsid w:val="007978B2"/>
    <w:rsid w:val="007A16E8"/>
    <w:rsid w:val="007A4F9A"/>
    <w:rsid w:val="007A6D2B"/>
    <w:rsid w:val="007A7B6E"/>
    <w:rsid w:val="007B0391"/>
    <w:rsid w:val="007B1D24"/>
    <w:rsid w:val="007B6AC2"/>
    <w:rsid w:val="007C2A78"/>
    <w:rsid w:val="007C3D74"/>
    <w:rsid w:val="007C5FBA"/>
    <w:rsid w:val="007C7282"/>
    <w:rsid w:val="007D44FB"/>
    <w:rsid w:val="007D662B"/>
    <w:rsid w:val="007D675A"/>
    <w:rsid w:val="007D709B"/>
    <w:rsid w:val="007E2CD8"/>
    <w:rsid w:val="007E35D2"/>
    <w:rsid w:val="007E4D28"/>
    <w:rsid w:val="007E6CE5"/>
    <w:rsid w:val="007E771B"/>
    <w:rsid w:val="007E798C"/>
    <w:rsid w:val="007F1C7F"/>
    <w:rsid w:val="007F7FBA"/>
    <w:rsid w:val="008077F9"/>
    <w:rsid w:val="00810C66"/>
    <w:rsid w:val="008115DF"/>
    <w:rsid w:val="008218FF"/>
    <w:rsid w:val="00822958"/>
    <w:rsid w:val="00823009"/>
    <w:rsid w:val="00826CBB"/>
    <w:rsid w:val="00834368"/>
    <w:rsid w:val="00835F82"/>
    <w:rsid w:val="0084217D"/>
    <w:rsid w:val="008422FD"/>
    <w:rsid w:val="00843001"/>
    <w:rsid w:val="00843391"/>
    <w:rsid w:val="008466F5"/>
    <w:rsid w:val="008506BC"/>
    <w:rsid w:val="00850E17"/>
    <w:rsid w:val="0085419D"/>
    <w:rsid w:val="00854350"/>
    <w:rsid w:val="0086054B"/>
    <w:rsid w:val="008649AF"/>
    <w:rsid w:val="00864B4A"/>
    <w:rsid w:val="00864CC7"/>
    <w:rsid w:val="0086617D"/>
    <w:rsid w:val="008663F5"/>
    <w:rsid w:val="008664E7"/>
    <w:rsid w:val="00872FD9"/>
    <w:rsid w:val="00874EC3"/>
    <w:rsid w:val="00886911"/>
    <w:rsid w:val="00887D49"/>
    <w:rsid w:val="0089400B"/>
    <w:rsid w:val="008947BC"/>
    <w:rsid w:val="00897327"/>
    <w:rsid w:val="008A1B6F"/>
    <w:rsid w:val="008A6DA5"/>
    <w:rsid w:val="008B39BB"/>
    <w:rsid w:val="008B4035"/>
    <w:rsid w:val="008B63C5"/>
    <w:rsid w:val="008C0983"/>
    <w:rsid w:val="008C4B0E"/>
    <w:rsid w:val="008C5C05"/>
    <w:rsid w:val="008C6458"/>
    <w:rsid w:val="008D03D1"/>
    <w:rsid w:val="008D0BDC"/>
    <w:rsid w:val="008E12A3"/>
    <w:rsid w:val="008E24A1"/>
    <w:rsid w:val="008E3C90"/>
    <w:rsid w:val="008F5529"/>
    <w:rsid w:val="008F74BB"/>
    <w:rsid w:val="008F7EAA"/>
    <w:rsid w:val="00900AC7"/>
    <w:rsid w:val="00900D4C"/>
    <w:rsid w:val="00900FB3"/>
    <w:rsid w:val="0090143E"/>
    <w:rsid w:val="009033B4"/>
    <w:rsid w:val="00912AAA"/>
    <w:rsid w:val="00915595"/>
    <w:rsid w:val="00915DF4"/>
    <w:rsid w:val="00917E57"/>
    <w:rsid w:val="0092007D"/>
    <w:rsid w:val="00927C5B"/>
    <w:rsid w:val="00930E32"/>
    <w:rsid w:val="00930E5A"/>
    <w:rsid w:val="00934240"/>
    <w:rsid w:val="00936282"/>
    <w:rsid w:val="00940B0A"/>
    <w:rsid w:val="00940E10"/>
    <w:rsid w:val="00942300"/>
    <w:rsid w:val="0096063A"/>
    <w:rsid w:val="00966D50"/>
    <w:rsid w:val="00972AD5"/>
    <w:rsid w:val="00980009"/>
    <w:rsid w:val="0098067F"/>
    <w:rsid w:val="00982976"/>
    <w:rsid w:val="00983710"/>
    <w:rsid w:val="0098651C"/>
    <w:rsid w:val="00987332"/>
    <w:rsid w:val="00987449"/>
    <w:rsid w:val="0099028D"/>
    <w:rsid w:val="00991892"/>
    <w:rsid w:val="00991D95"/>
    <w:rsid w:val="0099365A"/>
    <w:rsid w:val="00994916"/>
    <w:rsid w:val="009A08BD"/>
    <w:rsid w:val="009A148C"/>
    <w:rsid w:val="009A28F2"/>
    <w:rsid w:val="009A7A25"/>
    <w:rsid w:val="009B78DB"/>
    <w:rsid w:val="009C0D72"/>
    <w:rsid w:val="009C1296"/>
    <w:rsid w:val="009C708C"/>
    <w:rsid w:val="009C7CF1"/>
    <w:rsid w:val="009D14B9"/>
    <w:rsid w:val="009D65BC"/>
    <w:rsid w:val="009E59ED"/>
    <w:rsid w:val="009E5FE4"/>
    <w:rsid w:val="009E795E"/>
    <w:rsid w:val="009F5372"/>
    <w:rsid w:val="009F5BE6"/>
    <w:rsid w:val="00A01135"/>
    <w:rsid w:val="00A02E4E"/>
    <w:rsid w:val="00A037D2"/>
    <w:rsid w:val="00A07230"/>
    <w:rsid w:val="00A106E2"/>
    <w:rsid w:val="00A11DDE"/>
    <w:rsid w:val="00A11E7B"/>
    <w:rsid w:val="00A12DBA"/>
    <w:rsid w:val="00A138B3"/>
    <w:rsid w:val="00A15DA6"/>
    <w:rsid w:val="00A17365"/>
    <w:rsid w:val="00A2098F"/>
    <w:rsid w:val="00A23CC5"/>
    <w:rsid w:val="00A24A78"/>
    <w:rsid w:val="00A24ADC"/>
    <w:rsid w:val="00A25B33"/>
    <w:rsid w:val="00A26178"/>
    <w:rsid w:val="00A26D21"/>
    <w:rsid w:val="00A27356"/>
    <w:rsid w:val="00A4094B"/>
    <w:rsid w:val="00A4101E"/>
    <w:rsid w:val="00A418A0"/>
    <w:rsid w:val="00A44622"/>
    <w:rsid w:val="00A44B8A"/>
    <w:rsid w:val="00A520A1"/>
    <w:rsid w:val="00A56F32"/>
    <w:rsid w:val="00A600C5"/>
    <w:rsid w:val="00A60150"/>
    <w:rsid w:val="00A60AAD"/>
    <w:rsid w:val="00A6528F"/>
    <w:rsid w:val="00A711AD"/>
    <w:rsid w:val="00A771FB"/>
    <w:rsid w:val="00A83C3D"/>
    <w:rsid w:val="00A858A9"/>
    <w:rsid w:val="00A86B64"/>
    <w:rsid w:val="00A86DE9"/>
    <w:rsid w:val="00A90481"/>
    <w:rsid w:val="00A91BD7"/>
    <w:rsid w:val="00A93BA8"/>
    <w:rsid w:val="00A95BC3"/>
    <w:rsid w:val="00A95DED"/>
    <w:rsid w:val="00A96FDC"/>
    <w:rsid w:val="00A97B88"/>
    <w:rsid w:val="00A97CA0"/>
    <w:rsid w:val="00AA0C89"/>
    <w:rsid w:val="00AA4897"/>
    <w:rsid w:val="00AA5B94"/>
    <w:rsid w:val="00AA6B2C"/>
    <w:rsid w:val="00AB29E3"/>
    <w:rsid w:val="00AB2DB5"/>
    <w:rsid w:val="00AB391E"/>
    <w:rsid w:val="00AC36FD"/>
    <w:rsid w:val="00AC5830"/>
    <w:rsid w:val="00AD0B34"/>
    <w:rsid w:val="00AD1C14"/>
    <w:rsid w:val="00AD1ECB"/>
    <w:rsid w:val="00AD273C"/>
    <w:rsid w:val="00AD443C"/>
    <w:rsid w:val="00AD5B83"/>
    <w:rsid w:val="00AE2520"/>
    <w:rsid w:val="00AE47BB"/>
    <w:rsid w:val="00AE53C4"/>
    <w:rsid w:val="00AE5A03"/>
    <w:rsid w:val="00AE67C8"/>
    <w:rsid w:val="00AE7CC9"/>
    <w:rsid w:val="00AF1C41"/>
    <w:rsid w:val="00AF2F79"/>
    <w:rsid w:val="00AF4672"/>
    <w:rsid w:val="00AF55AF"/>
    <w:rsid w:val="00AF6629"/>
    <w:rsid w:val="00AF7B8F"/>
    <w:rsid w:val="00AF7DF5"/>
    <w:rsid w:val="00B021A1"/>
    <w:rsid w:val="00B029EE"/>
    <w:rsid w:val="00B029F2"/>
    <w:rsid w:val="00B10908"/>
    <w:rsid w:val="00B13B60"/>
    <w:rsid w:val="00B155AD"/>
    <w:rsid w:val="00B162A3"/>
    <w:rsid w:val="00B20AD6"/>
    <w:rsid w:val="00B21060"/>
    <w:rsid w:val="00B2438C"/>
    <w:rsid w:val="00B303AE"/>
    <w:rsid w:val="00B3048A"/>
    <w:rsid w:val="00B337A7"/>
    <w:rsid w:val="00B33946"/>
    <w:rsid w:val="00B33AB1"/>
    <w:rsid w:val="00B35FAD"/>
    <w:rsid w:val="00B419C0"/>
    <w:rsid w:val="00B4695B"/>
    <w:rsid w:val="00B4751D"/>
    <w:rsid w:val="00B5524F"/>
    <w:rsid w:val="00B55DFD"/>
    <w:rsid w:val="00B56D4A"/>
    <w:rsid w:val="00B65F1E"/>
    <w:rsid w:val="00B74D17"/>
    <w:rsid w:val="00B74D56"/>
    <w:rsid w:val="00B811A9"/>
    <w:rsid w:val="00B81FFA"/>
    <w:rsid w:val="00B82EF2"/>
    <w:rsid w:val="00B9121A"/>
    <w:rsid w:val="00B91C82"/>
    <w:rsid w:val="00B95421"/>
    <w:rsid w:val="00B95D53"/>
    <w:rsid w:val="00BA00F3"/>
    <w:rsid w:val="00BA0F10"/>
    <w:rsid w:val="00BA13CA"/>
    <w:rsid w:val="00BA302E"/>
    <w:rsid w:val="00BA31E7"/>
    <w:rsid w:val="00BA7A1D"/>
    <w:rsid w:val="00BB59ED"/>
    <w:rsid w:val="00BB684C"/>
    <w:rsid w:val="00BC2E84"/>
    <w:rsid w:val="00BC5501"/>
    <w:rsid w:val="00BC72DB"/>
    <w:rsid w:val="00BC7590"/>
    <w:rsid w:val="00BD235A"/>
    <w:rsid w:val="00BD2E8A"/>
    <w:rsid w:val="00BD3B86"/>
    <w:rsid w:val="00BD5533"/>
    <w:rsid w:val="00BD715C"/>
    <w:rsid w:val="00BD729B"/>
    <w:rsid w:val="00BE3045"/>
    <w:rsid w:val="00BE60D4"/>
    <w:rsid w:val="00BE61A2"/>
    <w:rsid w:val="00BE64C8"/>
    <w:rsid w:val="00BF096B"/>
    <w:rsid w:val="00BF12D1"/>
    <w:rsid w:val="00BF194D"/>
    <w:rsid w:val="00BF2315"/>
    <w:rsid w:val="00BF7F18"/>
    <w:rsid w:val="00C023BC"/>
    <w:rsid w:val="00C029DC"/>
    <w:rsid w:val="00C03A47"/>
    <w:rsid w:val="00C07A6F"/>
    <w:rsid w:val="00C10FA8"/>
    <w:rsid w:val="00C1254C"/>
    <w:rsid w:val="00C13C5E"/>
    <w:rsid w:val="00C15A11"/>
    <w:rsid w:val="00C1601D"/>
    <w:rsid w:val="00C2110E"/>
    <w:rsid w:val="00C21C7C"/>
    <w:rsid w:val="00C220E0"/>
    <w:rsid w:val="00C24EB5"/>
    <w:rsid w:val="00C26B39"/>
    <w:rsid w:val="00C300C9"/>
    <w:rsid w:val="00C305C6"/>
    <w:rsid w:val="00C31037"/>
    <w:rsid w:val="00C335D4"/>
    <w:rsid w:val="00C40374"/>
    <w:rsid w:val="00C404A0"/>
    <w:rsid w:val="00C44E0F"/>
    <w:rsid w:val="00C46EDD"/>
    <w:rsid w:val="00C52AB7"/>
    <w:rsid w:val="00C552F4"/>
    <w:rsid w:val="00C55C24"/>
    <w:rsid w:val="00C64AC9"/>
    <w:rsid w:val="00C6767A"/>
    <w:rsid w:val="00C70474"/>
    <w:rsid w:val="00C75CFF"/>
    <w:rsid w:val="00C818CA"/>
    <w:rsid w:val="00C83919"/>
    <w:rsid w:val="00C87DF8"/>
    <w:rsid w:val="00C916CB"/>
    <w:rsid w:val="00C93EBA"/>
    <w:rsid w:val="00C940A4"/>
    <w:rsid w:val="00C95D40"/>
    <w:rsid w:val="00CA0097"/>
    <w:rsid w:val="00CA3EA2"/>
    <w:rsid w:val="00CA46BE"/>
    <w:rsid w:val="00CA4F9B"/>
    <w:rsid w:val="00CA550E"/>
    <w:rsid w:val="00CB4B84"/>
    <w:rsid w:val="00CB5E87"/>
    <w:rsid w:val="00CC2FCE"/>
    <w:rsid w:val="00CC5B43"/>
    <w:rsid w:val="00CC66F5"/>
    <w:rsid w:val="00CD245A"/>
    <w:rsid w:val="00CD35DF"/>
    <w:rsid w:val="00CD4C7A"/>
    <w:rsid w:val="00CD72F2"/>
    <w:rsid w:val="00CD78FB"/>
    <w:rsid w:val="00CE04BC"/>
    <w:rsid w:val="00CE2CB2"/>
    <w:rsid w:val="00CE3A97"/>
    <w:rsid w:val="00CE446C"/>
    <w:rsid w:val="00CE4B30"/>
    <w:rsid w:val="00CE4BAA"/>
    <w:rsid w:val="00CE4E32"/>
    <w:rsid w:val="00CE6C24"/>
    <w:rsid w:val="00CF2A1D"/>
    <w:rsid w:val="00CF536D"/>
    <w:rsid w:val="00CF5CB6"/>
    <w:rsid w:val="00CF7025"/>
    <w:rsid w:val="00D01429"/>
    <w:rsid w:val="00D03C1F"/>
    <w:rsid w:val="00D05188"/>
    <w:rsid w:val="00D059D9"/>
    <w:rsid w:val="00D117F2"/>
    <w:rsid w:val="00D15069"/>
    <w:rsid w:val="00D15321"/>
    <w:rsid w:val="00D17A7C"/>
    <w:rsid w:val="00D220EE"/>
    <w:rsid w:val="00D25ADC"/>
    <w:rsid w:val="00D25F5B"/>
    <w:rsid w:val="00D2768F"/>
    <w:rsid w:val="00D33C14"/>
    <w:rsid w:val="00D34B25"/>
    <w:rsid w:val="00D37A9A"/>
    <w:rsid w:val="00D41B3C"/>
    <w:rsid w:val="00D458FF"/>
    <w:rsid w:val="00D46D99"/>
    <w:rsid w:val="00D51639"/>
    <w:rsid w:val="00D53A8D"/>
    <w:rsid w:val="00D54827"/>
    <w:rsid w:val="00D57190"/>
    <w:rsid w:val="00D643B6"/>
    <w:rsid w:val="00D67201"/>
    <w:rsid w:val="00D71916"/>
    <w:rsid w:val="00D739F3"/>
    <w:rsid w:val="00D753B8"/>
    <w:rsid w:val="00D76460"/>
    <w:rsid w:val="00D82F01"/>
    <w:rsid w:val="00D84627"/>
    <w:rsid w:val="00D84881"/>
    <w:rsid w:val="00D855D9"/>
    <w:rsid w:val="00D86715"/>
    <w:rsid w:val="00D86A1C"/>
    <w:rsid w:val="00D8796F"/>
    <w:rsid w:val="00D87BB8"/>
    <w:rsid w:val="00D91065"/>
    <w:rsid w:val="00D92557"/>
    <w:rsid w:val="00D93737"/>
    <w:rsid w:val="00D94AFD"/>
    <w:rsid w:val="00DA0A0C"/>
    <w:rsid w:val="00DA11FA"/>
    <w:rsid w:val="00DA1B25"/>
    <w:rsid w:val="00DA43B9"/>
    <w:rsid w:val="00DA49FE"/>
    <w:rsid w:val="00DB1F19"/>
    <w:rsid w:val="00DB4E88"/>
    <w:rsid w:val="00DB54B1"/>
    <w:rsid w:val="00DB5BE3"/>
    <w:rsid w:val="00DB5DED"/>
    <w:rsid w:val="00DC116D"/>
    <w:rsid w:val="00DC15DA"/>
    <w:rsid w:val="00DC20BA"/>
    <w:rsid w:val="00DC43CC"/>
    <w:rsid w:val="00DC5BCA"/>
    <w:rsid w:val="00DC6D24"/>
    <w:rsid w:val="00DD3B2D"/>
    <w:rsid w:val="00DD5086"/>
    <w:rsid w:val="00DD5719"/>
    <w:rsid w:val="00DD6BC3"/>
    <w:rsid w:val="00DD6EAA"/>
    <w:rsid w:val="00DE04E5"/>
    <w:rsid w:val="00DE26AF"/>
    <w:rsid w:val="00DE29AF"/>
    <w:rsid w:val="00DE29B0"/>
    <w:rsid w:val="00DE2AC4"/>
    <w:rsid w:val="00DF1509"/>
    <w:rsid w:val="00DF1A6B"/>
    <w:rsid w:val="00DF3EC9"/>
    <w:rsid w:val="00DF5256"/>
    <w:rsid w:val="00DF5CE7"/>
    <w:rsid w:val="00DF6540"/>
    <w:rsid w:val="00DF7244"/>
    <w:rsid w:val="00E00B35"/>
    <w:rsid w:val="00E01EEC"/>
    <w:rsid w:val="00E03EF1"/>
    <w:rsid w:val="00E0625D"/>
    <w:rsid w:val="00E129DF"/>
    <w:rsid w:val="00E169EF"/>
    <w:rsid w:val="00E20DAC"/>
    <w:rsid w:val="00E210C7"/>
    <w:rsid w:val="00E26DDC"/>
    <w:rsid w:val="00E307B7"/>
    <w:rsid w:val="00E324FA"/>
    <w:rsid w:val="00E32DDC"/>
    <w:rsid w:val="00E32FC1"/>
    <w:rsid w:val="00E33955"/>
    <w:rsid w:val="00E370D8"/>
    <w:rsid w:val="00E422E3"/>
    <w:rsid w:val="00E52A51"/>
    <w:rsid w:val="00E60249"/>
    <w:rsid w:val="00E61585"/>
    <w:rsid w:val="00E64F85"/>
    <w:rsid w:val="00E66213"/>
    <w:rsid w:val="00E67A76"/>
    <w:rsid w:val="00E72A7C"/>
    <w:rsid w:val="00E765DD"/>
    <w:rsid w:val="00E817AB"/>
    <w:rsid w:val="00E8188C"/>
    <w:rsid w:val="00E81F3F"/>
    <w:rsid w:val="00E82993"/>
    <w:rsid w:val="00E840A1"/>
    <w:rsid w:val="00E8446B"/>
    <w:rsid w:val="00E85CD1"/>
    <w:rsid w:val="00E862B3"/>
    <w:rsid w:val="00E86B68"/>
    <w:rsid w:val="00E9113E"/>
    <w:rsid w:val="00EA034F"/>
    <w:rsid w:val="00EB07CF"/>
    <w:rsid w:val="00EB0AEF"/>
    <w:rsid w:val="00EB1F30"/>
    <w:rsid w:val="00EC2A75"/>
    <w:rsid w:val="00EC3352"/>
    <w:rsid w:val="00EC3925"/>
    <w:rsid w:val="00EC6353"/>
    <w:rsid w:val="00ED185F"/>
    <w:rsid w:val="00ED5964"/>
    <w:rsid w:val="00ED7350"/>
    <w:rsid w:val="00ED73BD"/>
    <w:rsid w:val="00EE1BFC"/>
    <w:rsid w:val="00EE4DBA"/>
    <w:rsid w:val="00EF0F6C"/>
    <w:rsid w:val="00EF4238"/>
    <w:rsid w:val="00EF7D4D"/>
    <w:rsid w:val="00F0748E"/>
    <w:rsid w:val="00F0777D"/>
    <w:rsid w:val="00F1193B"/>
    <w:rsid w:val="00F12E8E"/>
    <w:rsid w:val="00F14503"/>
    <w:rsid w:val="00F21057"/>
    <w:rsid w:val="00F229F9"/>
    <w:rsid w:val="00F2431D"/>
    <w:rsid w:val="00F24615"/>
    <w:rsid w:val="00F30731"/>
    <w:rsid w:val="00F349EA"/>
    <w:rsid w:val="00F36F0B"/>
    <w:rsid w:val="00F414A9"/>
    <w:rsid w:val="00F432EB"/>
    <w:rsid w:val="00F43FD4"/>
    <w:rsid w:val="00F45BEC"/>
    <w:rsid w:val="00F4644E"/>
    <w:rsid w:val="00F51038"/>
    <w:rsid w:val="00F5467F"/>
    <w:rsid w:val="00F54DFD"/>
    <w:rsid w:val="00F56395"/>
    <w:rsid w:val="00F56CF7"/>
    <w:rsid w:val="00F603C2"/>
    <w:rsid w:val="00F626B1"/>
    <w:rsid w:val="00F65512"/>
    <w:rsid w:val="00F71AA3"/>
    <w:rsid w:val="00F743C2"/>
    <w:rsid w:val="00F75775"/>
    <w:rsid w:val="00F75907"/>
    <w:rsid w:val="00F812CF"/>
    <w:rsid w:val="00F81E5F"/>
    <w:rsid w:val="00F81F8B"/>
    <w:rsid w:val="00F8252E"/>
    <w:rsid w:val="00F829AA"/>
    <w:rsid w:val="00F85BC1"/>
    <w:rsid w:val="00F87277"/>
    <w:rsid w:val="00F910F7"/>
    <w:rsid w:val="00F93F67"/>
    <w:rsid w:val="00F96B4D"/>
    <w:rsid w:val="00FA1E0E"/>
    <w:rsid w:val="00FA209D"/>
    <w:rsid w:val="00FA2A2F"/>
    <w:rsid w:val="00FA2BE7"/>
    <w:rsid w:val="00FA2E22"/>
    <w:rsid w:val="00FB458A"/>
    <w:rsid w:val="00FB5BF4"/>
    <w:rsid w:val="00FB7475"/>
    <w:rsid w:val="00FC2279"/>
    <w:rsid w:val="00FC6121"/>
    <w:rsid w:val="00FD2C3A"/>
    <w:rsid w:val="00FD4EBE"/>
    <w:rsid w:val="00FD551D"/>
    <w:rsid w:val="00FE5B5D"/>
    <w:rsid w:val="00FE7B8F"/>
    <w:rsid w:val="00FF3808"/>
    <w:rsid w:val="00FF43A6"/>
    <w:rsid w:val="00FF5029"/>
    <w:rsid w:val="00FF5A3E"/>
    <w:rsid w:val="00FF6A8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F5B"/>
    <w:pPr>
      <w:spacing w:after="240"/>
    </w:pPr>
    <w:rPr>
      <w:rFonts w:ascii="Calibri" w:eastAsia="Calibri" w:hAnsi="Calibri" w:cs="Times New Roman"/>
    </w:rPr>
  </w:style>
  <w:style w:type="paragraph" w:styleId="Ttulo1">
    <w:name w:val="heading 1"/>
    <w:aliases w:val="Título 1 (Diagnostico)"/>
    <w:basedOn w:val="Normal"/>
    <w:next w:val="Normal"/>
    <w:link w:val="Ttulo1Car"/>
    <w:uiPriority w:val="9"/>
    <w:qFormat/>
    <w:rsid w:val="00C220E0"/>
    <w:pPr>
      <w:keepNext/>
      <w:keepLines/>
      <w:spacing w:before="480" w:after="0"/>
      <w:outlineLvl w:val="0"/>
    </w:pPr>
    <w:rPr>
      <w:rFonts w:ascii="Trajan Pro" w:eastAsia="Times New Roman" w:hAnsi="Trajan Pro"/>
      <w:b/>
      <w:bCs/>
      <w:color w:val="BFBFBF" w:themeColor="background1" w:themeShade="BF"/>
      <w:sz w:val="48"/>
      <w:szCs w:val="28"/>
    </w:rPr>
  </w:style>
  <w:style w:type="paragraph" w:styleId="Ttulo2">
    <w:name w:val="heading 2"/>
    <w:basedOn w:val="Normal"/>
    <w:next w:val="Normal"/>
    <w:link w:val="Ttulo2Car"/>
    <w:uiPriority w:val="9"/>
    <w:unhideWhenUsed/>
    <w:qFormat/>
    <w:rsid w:val="00DE04E5"/>
    <w:pPr>
      <w:keepNext/>
      <w:keepLines/>
      <w:spacing w:before="200" w:after="0"/>
      <w:outlineLvl w:val="1"/>
    </w:pPr>
    <w:rPr>
      <w:rFonts w:ascii="Adobe Caslon Pro" w:eastAsia="Times New Roman" w:hAnsi="Adobe Caslon Pro"/>
      <w:b/>
      <w:bCs/>
      <w:color w:val="C00000"/>
      <w:sz w:val="26"/>
      <w:szCs w:val="26"/>
    </w:rPr>
  </w:style>
  <w:style w:type="paragraph" w:styleId="Ttulo3">
    <w:name w:val="heading 3"/>
    <w:basedOn w:val="Normal"/>
    <w:next w:val="Normal"/>
    <w:link w:val="Ttulo3Car"/>
    <w:uiPriority w:val="9"/>
    <w:unhideWhenUsed/>
    <w:qFormat/>
    <w:rsid w:val="009C0D72"/>
    <w:pPr>
      <w:keepNext/>
      <w:keepLines/>
      <w:spacing w:before="200" w:after="0"/>
      <w:outlineLvl w:val="2"/>
    </w:pPr>
    <w:rPr>
      <w:rFonts w:ascii="Adobe Caslon Pro" w:eastAsia="Times New Roman" w:hAnsi="Adobe Caslon Pro"/>
      <w:b/>
      <w:bCs/>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 (Diagnostico) Car"/>
    <w:basedOn w:val="Fuentedeprrafopredeter"/>
    <w:link w:val="Ttulo1"/>
    <w:uiPriority w:val="9"/>
    <w:rsid w:val="00C220E0"/>
    <w:rPr>
      <w:rFonts w:ascii="Trajan Pro" w:eastAsia="Times New Roman" w:hAnsi="Trajan Pro" w:cs="Times New Roman"/>
      <w:b/>
      <w:bCs/>
      <w:color w:val="BFBFBF" w:themeColor="background1" w:themeShade="BF"/>
      <w:sz w:val="48"/>
      <w:szCs w:val="28"/>
    </w:rPr>
  </w:style>
  <w:style w:type="character" w:customStyle="1" w:styleId="Ttulo2Car">
    <w:name w:val="Título 2 Car"/>
    <w:basedOn w:val="Fuentedeprrafopredeter"/>
    <w:link w:val="Ttulo2"/>
    <w:uiPriority w:val="9"/>
    <w:rsid w:val="00DE04E5"/>
    <w:rPr>
      <w:rFonts w:ascii="Adobe Caslon Pro" w:eastAsia="Times New Roman" w:hAnsi="Adobe Caslon Pro" w:cs="Times New Roman"/>
      <w:b/>
      <w:bCs/>
      <w:color w:val="C00000"/>
      <w:sz w:val="26"/>
      <w:szCs w:val="26"/>
    </w:rPr>
  </w:style>
  <w:style w:type="character" w:customStyle="1" w:styleId="Ttulo3Car">
    <w:name w:val="Título 3 Car"/>
    <w:basedOn w:val="Fuentedeprrafopredeter"/>
    <w:link w:val="Ttulo3"/>
    <w:uiPriority w:val="9"/>
    <w:rsid w:val="009C0D72"/>
    <w:rPr>
      <w:rFonts w:ascii="Adobe Caslon Pro" w:eastAsia="Times New Roman" w:hAnsi="Adobe Caslon Pro" w:cs="Times New Roman"/>
      <w:b/>
      <w:bCs/>
      <w:color w:val="000000" w:themeColor="text1"/>
    </w:rPr>
  </w:style>
  <w:style w:type="paragraph" w:customStyle="1" w:styleId="Default">
    <w:name w:val="Default"/>
    <w:rsid w:val="00D25F5B"/>
    <w:pPr>
      <w:autoSpaceDE w:val="0"/>
      <w:autoSpaceDN w:val="0"/>
      <w:adjustRightInd w:val="0"/>
      <w:spacing w:after="0" w:line="240" w:lineRule="auto"/>
    </w:pPr>
    <w:rPr>
      <w:rFonts w:ascii="Calibri" w:eastAsia="Calibri" w:hAnsi="Calibri" w:cs="Calibri"/>
      <w:color w:val="000000"/>
      <w:sz w:val="24"/>
      <w:szCs w:val="24"/>
    </w:rPr>
  </w:style>
  <w:style w:type="paragraph" w:styleId="Subttulo">
    <w:name w:val="Subtitle"/>
    <w:basedOn w:val="Normal"/>
    <w:next w:val="Normal"/>
    <w:link w:val="SubttuloCar"/>
    <w:uiPriority w:val="11"/>
    <w:qFormat/>
    <w:rsid w:val="00D25F5B"/>
    <w:pPr>
      <w:numPr>
        <w:ilvl w:val="1"/>
      </w:numPr>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11"/>
    <w:rsid w:val="00D25F5B"/>
    <w:rPr>
      <w:rFonts w:ascii="Cambria" w:eastAsia="Times New Roman" w:hAnsi="Cambria" w:cs="Times New Roman"/>
      <w:i/>
      <w:iCs/>
      <w:color w:val="4F81BD"/>
      <w:spacing w:val="15"/>
      <w:sz w:val="24"/>
      <w:szCs w:val="24"/>
    </w:rPr>
  </w:style>
  <w:style w:type="paragraph" w:styleId="Prrafodelista">
    <w:name w:val="List Paragraph"/>
    <w:aliases w:val="Párrafo Título 3,4 Párrafo de lista,Figuras,Dot pt,No Spacing1,List Paragraph Char Char Char,Indicator Text,List Paragraph1,Numbered Para 1,DH1,Despues de viñeta 1"/>
    <w:basedOn w:val="Normal"/>
    <w:link w:val="PrrafodelistaCar"/>
    <w:uiPriority w:val="34"/>
    <w:qFormat/>
    <w:rsid w:val="00D25F5B"/>
    <w:pPr>
      <w:ind w:left="720"/>
      <w:contextualSpacing/>
    </w:pPr>
  </w:style>
  <w:style w:type="paragraph" w:styleId="Textodeglobo">
    <w:name w:val="Balloon Text"/>
    <w:basedOn w:val="Normal"/>
    <w:link w:val="TextodegloboCar"/>
    <w:uiPriority w:val="99"/>
    <w:semiHidden/>
    <w:unhideWhenUsed/>
    <w:rsid w:val="00D25F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25F5B"/>
    <w:rPr>
      <w:rFonts w:ascii="Tahoma" w:eastAsia="Calibri" w:hAnsi="Tahoma" w:cs="Tahoma"/>
      <w:sz w:val="16"/>
      <w:szCs w:val="16"/>
    </w:rPr>
  </w:style>
  <w:style w:type="paragraph" w:customStyle="1" w:styleId="Texto">
    <w:name w:val="Texto"/>
    <w:link w:val="TextoCar"/>
    <w:qFormat/>
    <w:rsid w:val="00D25F5B"/>
    <w:pPr>
      <w:spacing w:after="0" w:line="240" w:lineRule="auto"/>
    </w:pPr>
    <w:rPr>
      <w:rFonts w:ascii="Presidencia Fina" w:eastAsia="Times New Roman" w:hAnsi="Presidencia Fina" w:cs="PresidenciaFina"/>
      <w:color w:val="000000"/>
      <w:sz w:val="24"/>
      <w:szCs w:val="24"/>
      <w:lang w:val="es-ES_tradnl" w:eastAsia="es-ES"/>
    </w:rPr>
  </w:style>
  <w:style w:type="character" w:customStyle="1" w:styleId="TextoCar">
    <w:name w:val="Texto Car"/>
    <w:link w:val="Texto"/>
    <w:locked/>
    <w:rsid w:val="00D25F5B"/>
    <w:rPr>
      <w:rFonts w:ascii="Presidencia Fina" w:eastAsia="Times New Roman" w:hAnsi="Presidencia Fina" w:cs="PresidenciaFina"/>
      <w:color w:val="000000"/>
      <w:sz w:val="24"/>
      <w:szCs w:val="24"/>
      <w:lang w:val="es-ES_tradnl" w:eastAsia="es-ES"/>
    </w:rPr>
  </w:style>
  <w:style w:type="paragraph" w:customStyle="1" w:styleId="Normal2">
    <w:name w:val="Normal2"/>
    <w:basedOn w:val="Normal"/>
    <w:link w:val="Normal2Car"/>
    <w:qFormat/>
    <w:rsid w:val="00D25F5B"/>
    <w:rPr>
      <w:rFonts w:ascii="Arial" w:hAnsi="Arial" w:cs="Arial"/>
      <w:sz w:val="24"/>
      <w:szCs w:val="24"/>
    </w:rPr>
  </w:style>
  <w:style w:type="character" w:customStyle="1" w:styleId="Normal2Car">
    <w:name w:val="Normal2 Car"/>
    <w:link w:val="Normal2"/>
    <w:rsid w:val="00D25F5B"/>
    <w:rPr>
      <w:rFonts w:ascii="Arial" w:eastAsia="Calibri" w:hAnsi="Arial" w:cs="Arial"/>
      <w:sz w:val="24"/>
      <w:szCs w:val="24"/>
    </w:rPr>
  </w:style>
  <w:style w:type="paragraph" w:customStyle="1" w:styleId="Normal3">
    <w:name w:val="Normal3"/>
    <w:basedOn w:val="Normal2"/>
    <w:link w:val="Normal3Car"/>
    <w:qFormat/>
    <w:rsid w:val="00D25F5B"/>
    <w:pPr>
      <w:jc w:val="both"/>
    </w:pPr>
  </w:style>
  <w:style w:type="character" w:customStyle="1" w:styleId="Normal3Car">
    <w:name w:val="Normal3 Car"/>
    <w:link w:val="Normal3"/>
    <w:rsid w:val="00D25F5B"/>
    <w:rPr>
      <w:rFonts w:ascii="Arial" w:eastAsia="Calibri" w:hAnsi="Arial" w:cs="Arial"/>
      <w:sz w:val="24"/>
      <w:szCs w:val="24"/>
    </w:rPr>
  </w:style>
  <w:style w:type="table" w:styleId="Tablaconcuadrcula">
    <w:name w:val="Table Grid"/>
    <w:basedOn w:val="Tablanormal"/>
    <w:uiPriority w:val="39"/>
    <w:rsid w:val="00D25F5B"/>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unhideWhenUsed/>
    <w:rsid w:val="00D25F5B"/>
    <w:rPr>
      <w:color w:val="0000FF"/>
      <w:u w:val="single"/>
    </w:rPr>
  </w:style>
  <w:style w:type="paragraph" w:styleId="Encabezado">
    <w:name w:val="header"/>
    <w:basedOn w:val="Normal"/>
    <w:link w:val="EncabezadoCar"/>
    <w:uiPriority w:val="99"/>
    <w:unhideWhenUsed/>
    <w:rsid w:val="00D25F5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25F5B"/>
    <w:rPr>
      <w:rFonts w:ascii="Calibri" w:eastAsia="Calibri" w:hAnsi="Calibri" w:cs="Times New Roman"/>
    </w:rPr>
  </w:style>
  <w:style w:type="paragraph" w:styleId="Piedepgina">
    <w:name w:val="footer"/>
    <w:basedOn w:val="Normal"/>
    <w:link w:val="PiedepginaCar"/>
    <w:uiPriority w:val="99"/>
    <w:unhideWhenUsed/>
    <w:rsid w:val="00D25F5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25F5B"/>
    <w:rPr>
      <w:rFonts w:ascii="Calibri" w:eastAsia="Calibri" w:hAnsi="Calibri" w:cs="Times New Roman"/>
    </w:rPr>
  </w:style>
  <w:style w:type="paragraph" w:styleId="TtulodeTDC">
    <w:name w:val="TOC Heading"/>
    <w:basedOn w:val="Ttulo1"/>
    <w:next w:val="Normal"/>
    <w:uiPriority w:val="39"/>
    <w:unhideWhenUsed/>
    <w:qFormat/>
    <w:rsid w:val="00D25F5B"/>
    <w:pPr>
      <w:outlineLvl w:val="9"/>
    </w:pPr>
    <w:rPr>
      <w:lang w:val="es-ES"/>
    </w:rPr>
  </w:style>
  <w:style w:type="paragraph" w:styleId="TDC1">
    <w:name w:val="toc 1"/>
    <w:basedOn w:val="Normal"/>
    <w:next w:val="Normal"/>
    <w:autoRedefine/>
    <w:uiPriority w:val="39"/>
    <w:unhideWhenUsed/>
    <w:rsid w:val="00D25F5B"/>
    <w:pPr>
      <w:spacing w:after="100"/>
    </w:pPr>
  </w:style>
  <w:style w:type="paragraph" w:styleId="TDC2">
    <w:name w:val="toc 2"/>
    <w:basedOn w:val="Normal"/>
    <w:next w:val="Normal"/>
    <w:autoRedefine/>
    <w:uiPriority w:val="39"/>
    <w:unhideWhenUsed/>
    <w:rsid w:val="00D25F5B"/>
    <w:pPr>
      <w:spacing w:after="100"/>
      <w:ind w:left="220"/>
    </w:pPr>
  </w:style>
  <w:style w:type="paragraph" w:styleId="TDC3">
    <w:name w:val="toc 3"/>
    <w:basedOn w:val="Normal"/>
    <w:next w:val="Normal"/>
    <w:autoRedefine/>
    <w:uiPriority w:val="39"/>
    <w:unhideWhenUsed/>
    <w:rsid w:val="00D25F5B"/>
    <w:pPr>
      <w:spacing w:after="100"/>
      <w:ind w:left="440"/>
    </w:pPr>
  </w:style>
  <w:style w:type="paragraph" w:styleId="Epgrafe">
    <w:name w:val="caption"/>
    <w:basedOn w:val="Normal"/>
    <w:next w:val="Normal"/>
    <w:link w:val="EpgrafeCar"/>
    <w:uiPriority w:val="35"/>
    <w:unhideWhenUsed/>
    <w:qFormat/>
    <w:rsid w:val="00D25F5B"/>
    <w:pPr>
      <w:spacing w:after="200" w:line="240" w:lineRule="auto"/>
    </w:pPr>
    <w:rPr>
      <w:b/>
      <w:bCs/>
      <w:color w:val="4F81BD"/>
      <w:sz w:val="18"/>
      <w:szCs w:val="18"/>
    </w:rPr>
  </w:style>
  <w:style w:type="paragraph" w:styleId="Tabladeilustraciones">
    <w:name w:val="table of figures"/>
    <w:basedOn w:val="Normal"/>
    <w:next w:val="Normal"/>
    <w:uiPriority w:val="99"/>
    <w:unhideWhenUsed/>
    <w:rsid w:val="00D25F5B"/>
    <w:pPr>
      <w:spacing w:after="0"/>
    </w:pPr>
  </w:style>
  <w:style w:type="paragraph" w:customStyle="1" w:styleId="Pa01">
    <w:name w:val="Pa0+1"/>
    <w:basedOn w:val="Default"/>
    <w:next w:val="Default"/>
    <w:uiPriority w:val="99"/>
    <w:rsid w:val="00D25F5B"/>
    <w:pPr>
      <w:spacing w:line="211" w:lineRule="atLeast"/>
    </w:pPr>
    <w:rPr>
      <w:rFonts w:ascii="Berkeley" w:hAnsi="Berkeley" w:cs="Times New Roman"/>
      <w:color w:val="auto"/>
    </w:rPr>
  </w:style>
  <w:style w:type="character" w:customStyle="1" w:styleId="A11">
    <w:name w:val="A1+1"/>
    <w:uiPriority w:val="99"/>
    <w:rsid w:val="00D25F5B"/>
    <w:rPr>
      <w:rFonts w:ascii="Carta" w:eastAsia="Carta" w:cs="Carta"/>
      <w:color w:val="000000"/>
      <w:sz w:val="8"/>
      <w:szCs w:val="8"/>
    </w:rPr>
  </w:style>
  <w:style w:type="character" w:customStyle="1" w:styleId="A4">
    <w:name w:val="A4"/>
    <w:uiPriority w:val="99"/>
    <w:rsid w:val="00D25F5B"/>
    <w:rPr>
      <w:rFonts w:ascii="RotisSansSerif" w:hAnsi="RotisSansSerif" w:cs="RotisSansSerif"/>
      <w:b/>
      <w:bCs/>
      <w:i/>
      <w:iCs/>
      <w:color w:val="000000"/>
      <w:sz w:val="29"/>
      <w:szCs w:val="29"/>
    </w:rPr>
  </w:style>
  <w:style w:type="paragraph" w:styleId="Textonotapie">
    <w:name w:val="footnote text"/>
    <w:basedOn w:val="Normal"/>
    <w:link w:val="TextonotapieCar"/>
    <w:unhideWhenUsed/>
    <w:rsid w:val="00D25F5B"/>
    <w:pPr>
      <w:spacing w:after="0" w:line="240" w:lineRule="auto"/>
    </w:pPr>
    <w:rPr>
      <w:sz w:val="20"/>
      <w:szCs w:val="20"/>
    </w:rPr>
  </w:style>
  <w:style w:type="character" w:customStyle="1" w:styleId="TextonotapieCar">
    <w:name w:val="Texto nota pie Car"/>
    <w:basedOn w:val="Fuentedeprrafopredeter"/>
    <w:link w:val="Textonotapie"/>
    <w:rsid w:val="00D25F5B"/>
    <w:rPr>
      <w:rFonts w:ascii="Calibri" w:eastAsia="Calibri" w:hAnsi="Calibri" w:cs="Times New Roman"/>
      <w:sz w:val="20"/>
      <w:szCs w:val="20"/>
    </w:rPr>
  </w:style>
  <w:style w:type="character" w:styleId="Refdenotaalpie">
    <w:name w:val="footnote reference"/>
    <w:unhideWhenUsed/>
    <w:rsid w:val="00D25F5B"/>
    <w:rPr>
      <w:vertAlign w:val="superscript"/>
    </w:rPr>
  </w:style>
  <w:style w:type="character" w:styleId="Refdecomentario">
    <w:name w:val="annotation reference"/>
    <w:uiPriority w:val="99"/>
    <w:semiHidden/>
    <w:unhideWhenUsed/>
    <w:rsid w:val="00D25F5B"/>
    <w:rPr>
      <w:sz w:val="16"/>
      <w:szCs w:val="16"/>
    </w:rPr>
  </w:style>
  <w:style w:type="paragraph" w:styleId="Textocomentario">
    <w:name w:val="annotation text"/>
    <w:basedOn w:val="Normal"/>
    <w:link w:val="TextocomentarioCar"/>
    <w:uiPriority w:val="99"/>
    <w:unhideWhenUsed/>
    <w:rsid w:val="00D25F5B"/>
    <w:pPr>
      <w:spacing w:after="160" w:line="240" w:lineRule="auto"/>
    </w:pPr>
    <w:rPr>
      <w:sz w:val="20"/>
      <w:szCs w:val="20"/>
    </w:rPr>
  </w:style>
  <w:style w:type="character" w:customStyle="1" w:styleId="TextocomentarioCar">
    <w:name w:val="Texto comentario Car"/>
    <w:basedOn w:val="Fuentedeprrafopredeter"/>
    <w:link w:val="Textocomentario"/>
    <w:uiPriority w:val="99"/>
    <w:rsid w:val="00D25F5B"/>
    <w:rPr>
      <w:rFonts w:ascii="Calibri" w:eastAsia="Calibri" w:hAnsi="Calibri" w:cs="Times New Roman"/>
      <w:sz w:val="20"/>
      <w:szCs w:val="20"/>
    </w:rPr>
  </w:style>
  <w:style w:type="table" w:customStyle="1" w:styleId="Cuadrculadetablaclara1">
    <w:name w:val="Cuadrícula de tabla clara1"/>
    <w:basedOn w:val="Tablanormal"/>
    <w:uiPriority w:val="40"/>
    <w:rsid w:val="00D25F5B"/>
    <w:pPr>
      <w:spacing w:after="0" w:line="240" w:lineRule="auto"/>
    </w:pPr>
    <w:rPr>
      <w:rFonts w:ascii="Calibri" w:eastAsia="Calibri" w:hAnsi="Calibri" w:cs="Times New Roman"/>
      <w:sz w:val="20"/>
      <w:szCs w:val="20"/>
      <w:lang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NormalWeb">
    <w:name w:val="Normal (Web)"/>
    <w:basedOn w:val="Normal"/>
    <w:uiPriority w:val="99"/>
    <w:semiHidden/>
    <w:unhideWhenUsed/>
    <w:rsid w:val="00D25F5B"/>
    <w:pPr>
      <w:spacing w:before="100" w:beforeAutospacing="1" w:after="100" w:afterAutospacing="1" w:line="240" w:lineRule="auto"/>
    </w:pPr>
    <w:rPr>
      <w:rFonts w:ascii="Times New Roman" w:eastAsia="Times New Roman" w:hAnsi="Times New Roman"/>
      <w:sz w:val="24"/>
      <w:szCs w:val="24"/>
      <w:lang w:eastAsia="es-MX"/>
    </w:rPr>
  </w:style>
  <w:style w:type="paragraph" w:styleId="Asuntodelcomentario">
    <w:name w:val="annotation subject"/>
    <w:basedOn w:val="Textocomentario"/>
    <w:next w:val="Textocomentario"/>
    <w:link w:val="AsuntodelcomentarioCar"/>
    <w:uiPriority w:val="99"/>
    <w:semiHidden/>
    <w:unhideWhenUsed/>
    <w:rsid w:val="00D25F5B"/>
    <w:pPr>
      <w:spacing w:after="240"/>
    </w:pPr>
    <w:rPr>
      <w:b/>
      <w:bCs/>
    </w:rPr>
  </w:style>
  <w:style w:type="character" w:customStyle="1" w:styleId="AsuntodelcomentarioCar">
    <w:name w:val="Asunto del comentario Car"/>
    <w:basedOn w:val="TextocomentarioCar"/>
    <w:link w:val="Asuntodelcomentario"/>
    <w:uiPriority w:val="99"/>
    <w:semiHidden/>
    <w:rsid w:val="00D25F5B"/>
    <w:rPr>
      <w:rFonts w:ascii="Calibri" w:eastAsia="Calibri" w:hAnsi="Calibri" w:cs="Times New Roman"/>
      <w:b/>
      <w:bCs/>
      <w:sz w:val="20"/>
      <w:szCs w:val="20"/>
    </w:rPr>
  </w:style>
  <w:style w:type="table" w:customStyle="1" w:styleId="Cuadrculadetablaclara11">
    <w:name w:val="Cuadrícula de tabla clara11"/>
    <w:basedOn w:val="Tablanormal"/>
    <w:uiPriority w:val="40"/>
    <w:rsid w:val="00D25F5B"/>
    <w:pPr>
      <w:spacing w:after="0" w:line="240" w:lineRule="auto"/>
    </w:pPr>
    <w:rPr>
      <w:rFonts w:ascii="Calibri" w:eastAsia="Calibri" w:hAnsi="Calibri" w:cs="Times New Roman"/>
      <w:sz w:val="20"/>
      <w:szCs w:val="20"/>
      <w:lang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apple-converted-space">
    <w:name w:val="apple-converted-space"/>
    <w:basedOn w:val="Fuentedeprrafopredeter"/>
    <w:rsid w:val="00D25F5B"/>
  </w:style>
  <w:style w:type="paragraph" w:styleId="Revisin">
    <w:name w:val="Revision"/>
    <w:hidden/>
    <w:uiPriority w:val="99"/>
    <w:semiHidden/>
    <w:rsid w:val="00D25F5B"/>
    <w:pPr>
      <w:spacing w:after="0" w:line="240" w:lineRule="auto"/>
    </w:pPr>
    <w:rPr>
      <w:rFonts w:ascii="Calibri" w:eastAsia="Calibri" w:hAnsi="Calibri" w:cs="Times New Roman"/>
    </w:rPr>
  </w:style>
  <w:style w:type="character" w:styleId="nfasissutil">
    <w:name w:val="Subtle Emphasis"/>
    <w:basedOn w:val="Fuentedeprrafopredeter"/>
    <w:uiPriority w:val="19"/>
    <w:qFormat/>
    <w:rsid w:val="00CF536D"/>
    <w:rPr>
      <w:i/>
      <w:iCs/>
      <w:color w:val="808080" w:themeColor="text1" w:themeTint="7F"/>
    </w:rPr>
  </w:style>
  <w:style w:type="character" w:styleId="Hipervnculovisitado">
    <w:name w:val="FollowedHyperlink"/>
    <w:basedOn w:val="Fuentedeprrafopredeter"/>
    <w:uiPriority w:val="99"/>
    <w:semiHidden/>
    <w:unhideWhenUsed/>
    <w:rsid w:val="00CF536D"/>
    <w:rPr>
      <w:color w:val="800080" w:themeColor="followedHyperlink"/>
      <w:u w:val="single"/>
    </w:rPr>
  </w:style>
  <w:style w:type="paragraph" w:customStyle="1" w:styleId="CuadroTitulo">
    <w:name w:val="CuadroTitulo"/>
    <w:basedOn w:val="Epgrafe"/>
    <w:link w:val="CuadroTituloCar"/>
    <w:qFormat/>
    <w:rsid w:val="00CF536D"/>
    <w:pPr>
      <w:jc w:val="center"/>
    </w:pPr>
  </w:style>
  <w:style w:type="character" w:customStyle="1" w:styleId="EpgrafeCar">
    <w:name w:val="Epígrafe Car"/>
    <w:basedOn w:val="Fuentedeprrafopredeter"/>
    <w:link w:val="Epgrafe"/>
    <w:uiPriority w:val="35"/>
    <w:rsid w:val="00CF536D"/>
    <w:rPr>
      <w:rFonts w:ascii="Calibri" w:eastAsia="Calibri" w:hAnsi="Calibri" w:cs="Times New Roman"/>
      <w:b/>
      <w:bCs/>
      <w:color w:val="4F81BD"/>
      <w:sz w:val="18"/>
      <w:szCs w:val="18"/>
    </w:rPr>
  </w:style>
  <w:style w:type="character" w:customStyle="1" w:styleId="CuadroTituloCar">
    <w:name w:val="CuadroTitulo Car"/>
    <w:basedOn w:val="EpgrafeCar"/>
    <w:link w:val="CuadroTitulo"/>
    <w:rsid w:val="00CF536D"/>
    <w:rPr>
      <w:rFonts w:ascii="Calibri" w:eastAsia="Calibri" w:hAnsi="Calibri" w:cs="Times New Roman"/>
      <w:b/>
      <w:bCs/>
      <w:color w:val="4F81BD"/>
      <w:sz w:val="18"/>
      <w:szCs w:val="18"/>
    </w:rPr>
  </w:style>
  <w:style w:type="paragraph" w:customStyle="1" w:styleId="p">
    <w:name w:val="p"/>
    <w:basedOn w:val="Normal"/>
    <w:rsid w:val="00A97CA0"/>
    <w:pPr>
      <w:spacing w:before="100" w:beforeAutospacing="1" w:after="0" w:line="240" w:lineRule="auto"/>
    </w:pPr>
    <w:rPr>
      <w:rFonts w:ascii="Times New Roman" w:eastAsia="Times New Roman" w:hAnsi="Times New Roman"/>
      <w:sz w:val="24"/>
      <w:szCs w:val="24"/>
      <w:lang w:eastAsia="es-MX"/>
    </w:rPr>
  </w:style>
  <w:style w:type="paragraph" w:customStyle="1" w:styleId="q">
    <w:name w:val="q"/>
    <w:basedOn w:val="Normal"/>
    <w:rsid w:val="00A97CA0"/>
    <w:pPr>
      <w:spacing w:before="100" w:beforeAutospacing="1" w:after="0" w:line="240" w:lineRule="auto"/>
      <w:ind w:left="480"/>
    </w:pPr>
    <w:rPr>
      <w:rFonts w:ascii="Times New Roman" w:eastAsia="Times New Roman" w:hAnsi="Times New Roman"/>
      <w:sz w:val="24"/>
      <w:szCs w:val="24"/>
      <w:lang w:eastAsia="es-MX"/>
    </w:rPr>
  </w:style>
  <w:style w:type="character" w:customStyle="1" w:styleId="f1">
    <w:name w:val="f1"/>
    <w:basedOn w:val="Fuentedeprrafopredeter"/>
    <w:rsid w:val="00A97CA0"/>
    <w:rPr>
      <w:color w:val="0000FF"/>
      <w:sz w:val="30"/>
      <w:szCs w:val="30"/>
    </w:rPr>
  </w:style>
  <w:style w:type="character" w:customStyle="1" w:styleId="d1">
    <w:name w:val="d1"/>
    <w:basedOn w:val="Fuentedeprrafopredeter"/>
    <w:rsid w:val="00A97CA0"/>
    <w:rPr>
      <w:color w:val="0000FF"/>
    </w:rPr>
  </w:style>
  <w:style w:type="character" w:customStyle="1" w:styleId="b1">
    <w:name w:val="b1"/>
    <w:basedOn w:val="Fuentedeprrafopredeter"/>
    <w:rsid w:val="00A97CA0"/>
    <w:rPr>
      <w:color w:val="000000"/>
    </w:rPr>
  </w:style>
  <w:style w:type="character" w:customStyle="1" w:styleId="g1">
    <w:name w:val="g1"/>
    <w:basedOn w:val="Fuentedeprrafopredeter"/>
    <w:rsid w:val="00A97CA0"/>
    <w:rPr>
      <w:color w:val="B3B3B3"/>
    </w:rPr>
  </w:style>
  <w:style w:type="character" w:customStyle="1" w:styleId="c1">
    <w:name w:val="c1"/>
    <w:basedOn w:val="Fuentedeprrafopredeter"/>
    <w:rsid w:val="00A97CA0"/>
    <w:rPr>
      <w:rFonts w:ascii="Arial Unicode MS" w:eastAsia="Arial Unicode MS" w:hAnsi="Arial Unicode MS" w:cs="Arial Unicode MS" w:hint="eastAsia"/>
      <w:color w:val="0000FF"/>
      <w:sz w:val="26"/>
      <w:szCs w:val="26"/>
    </w:rPr>
  </w:style>
  <w:style w:type="character" w:customStyle="1" w:styleId="n1">
    <w:name w:val="n1"/>
    <w:basedOn w:val="Fuentedeprrafopredeter"/>
    <w:rsid w:val="00A97CA0"/>
    <w:rPr>
      <w:sz w:val="22"/>
      <w:szCs w:val="22"/>
    </w:rPr>
  </w:style>
  <w:style w:type="paragraph" w:styleId="Sinespaciado">
    <w:name w:val="No Spacing"/>
    <w:link w:val="SinespaciadoCar"/>
    <w:uiPriority w:val="1"/>
    <w:qFormat/>
    <w:rsid w:val="00694F97"/>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694F97"/>
    <w:rPr>
      <w:rFonts w:eastAsiaTheme="minorEastAsia"/>
      <w:lang w:eastAsia="es-MX"/>
    </w:rPr>
  </w:style>
  <w:style w:type="character" w:customStyle="1" w:styleId="PrrafodelistaCar">
    <w:name w:val="Párrafo de lista Car"/>
    <w:aliases w:val="Párrafo Título 3 Car,4 Párrafo de lista Car,Figuras Car,Dot pt Car,No Spacing1 Car,List Paragraph Char Char Char Car,Indicator Text Car,List Paragraph1 Car,Numbered Para 1 Car,DH1 Car,Despues de viñeta 1 Car"/>
    <w:basedOn w:val="Fuentedeprrafopredeter"/>
    <w:link w:val="Prrafodelista"/>
    <w:uiPriority w:val="34"/>
    <w:qFormat/>
    <w:locked/>
    <w:rsid w:val="004D5D2F"/>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F5B"/>
    <w:pPr>
      <w:spacing w:after="240"/>
    </w:pPr>
    <w:rPr>
      <w:rFonts w:ascii="Calibri" w:eastAsia="Calibri" w:hAnsi="Calibri" w:cs="Times New Roman"/>
    </w:rPr>
  </w:style>
  <w:style w:type="paragraph" w:styleId="Ttulo1">
    <w:name w:val="heading 1"/>
    <w:aliases w:val="Título 1 (Diagnostico)"/>
    <w:basedOn w:val="Normal"/>
    <w:next w:val="Normal"/>
    <w:link w:val="Ttulo1Car"/>
    <w:uiPriority w:val="9"/>
    <w:qFormat/>
    <w:rsid w:val="00C220E0"/>
    <w:pPr>
      <w:keepNext/>
      <w:keepLines/>
      <w:spacing w:before="480" w:after="0"/>
      <w:outlineLvl w:val="0"/>
    </w:pPr>
    <w:rPr>
      <w:rFonts w:ascii="Trajan Pro" w:eastAsia="Times New Roman" w:hAnsi="Trajan Pro"/>
      <w:b/>
      <w:bCs/>
      <w:color w:val="BFBFBF" w:themeColor="background1" w:themeShade="BF"/>
      <w:sz w:val="48"/>
      <w:szCs w:val="28"/>
    </w:rPr>
  </w:style>
  <w:style w:type="paragraph" w:styleId="Ttulo2">
    <w:name w:val="heading 2"/>
    <w:basedOn w:val="Normal"/>
    <w:next w:val="Normal"/>
    <w:link w:val="Ttulo2Car"/>
    <w:uiPriority w:val="9"/>
    <w:unhideWhenUsed/>
    <w:qFormat/>
    <w:rsid w:val="00DE04E5"/>
    <w:pPr>
      <w:keepNext/>
      <w:keepLines/>
      <w:spacing w:before="200" w:after="0"/>
      <w:outlineLvl w:val="1"/>
    </w:pPr>
    <w:rPr>
      <w:rFonts w:ascii="Adobe Caslon Pro" w:eastAsia="Times New Roman" w:hAnsi="Adobe Caslon Pro"/>
      <w:b/>
      <w:bCs/>
      <w:color w:val="C00000"/>
      <w:sz w:val="26"/>
      <w:szCs w:val="26"/>
    </w:rPr>
  </w:style>
  <w:style w:type="paragraph" w:styleId="Ttulo3">
    <w:name w:val="heading 3"/>
    <w:basedOn w:val="Normal"/>
    <w:next w:val="Normal"/>
    <w:link w:val="Ttulo3Car"/>
    <w:uiPriority w:val="9"/>
    <w:unhideWhenUsed/>
    <w:qFormat/>
    <w:rsid w:val="009C0D72"/>
    <w:pPr>
      <w:keepNext/>
      <w:keepLines/>
      <w:spacing w:before="200" w:after="0"/>
      <w:outlineLvl w:val="2"/>
    </w:pPr>
    <w:rPr>
      <w:rFonts w:ascii="Adobe Caslon Pro" w:eastAsia="Times New Roman" w:hAnsi="Adobe Caslon Pro"/>
      <w:b/>
      <w:bCs/>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 (Diagnostico) Car"/>
    <w:basedOn w:val="Fuentedeprrafopredeter"/>
    <w:link w:val="Ttulo1"/>
    <w:uiPriority w:val="9"/>
    <w:rsid w:val="00C220E0"/>
    <w:rPr>
      <w:rFonts w:ascii="Trajan Pro" w:eastAsia="Times New Roman" w:hAnsi="Trajan Pro" w:cs="Times New Roman"/>
      <w:b/>
      <w:bCs/>
      <w:color w:val="BFBFBF" w:themeColor="background1" w:themeShade="BF"/>
      <w:sz w:val="48"/>
      <w:szCs w:val="28"/>
    </w:rPr>
  </w:style>
  <w:style w:type="character" w:customStyle="1" w:styleId="Ttulo2Car">
    <w:name w:val="Título 2 Car"/>
    <w:basedOn w:val="Fuentedeprrafopredeter"/>
    <w:link w:val="Ttulo2"/>
    <w:uiPriority w:val="9"/>
    <w:rsid w:val="00DE04E5"/>
    <w:rPr>
      <w:rFonts w:ascii="Adobe Caslon Pro" w:eastAsia="Times New Roman" w:hAnsi="Adobe Caslon Pro" w:cs="Times New Roman"/>
      <w:b/>
      <w:bCs/>
      <w:color w:val="C00000"/>
      <w:sz w:val="26"/>
      <w:szCs w:val="26"/>
    </w:rPr>
  </w:style>
  <w:style w:type="character" w:customStyle="1" w:styleId="Ttulo3Car">
    <w:name w:val="Título 3 Car"/>
    <w:basedOn w:val="Fuentedeprrafopredeter"/>
    <w:link w:val="Ttulo3"/>
    <w:uiPriority w:val="9"/>
    <w:rsid w:val="009C0D72"/>
    <w:rPr>
      <w:rFonts w:ascii="Adobe Caslon Pro" w:eastAsia="Times New Roman" w:hAnsi="Adobe Caslon Pro" w:cs="Times New Roman"/>
      <w:b/>
      <w:bCs/>
      <w:color w:val="000000" w:themeColor="text1"/>
    </w:rPr>
  </w:style>
  <w:style w:type="paragraph" w:customStyle="1" w:styleId="Default">
    <w:name w:val="Default"/>
    <w:rsid w:val="00D25F5B"/>
    <w:pPr>
      <w:autoSpaceDE w:val="0"/>
      <w:autoSpaceDN w:val="0"/>
      <w:adjustRightInd w:val="0"/>
      <w:spacing w:after="0" w:line="240" w:lineRule="auto"/>
    </w:pPr>
    <w:rPr>
      <w:rFonts w:ascii="Calibri" w:eastAsia="Calibri" w:hAnsi="Calibri" w:cs="Calibri"/>
      <w:color w:val="000000"/>
      <w:sz w:val="24"/>
      <w:szCs w:val="24"/>
    </w:rPr>
  </w:style>
  <w:style w:type="paragraph" w:styleId="Subttulo">
    <w:name w:val="Subtitle"/>
    <w:basedOn w:val="Normal"/>
    <w:next w:val="Normal"/>
    <w:link w:val="SubttuloCar"/>
    <w:uiPriority w:val="11"/>
    <w:qFormat/>
    <w:rsid w:val="00D25F5B"/>
    <w:pPr>
      <w:numPr>
        <w:ilvl w:val="1"/>
      </w:numPr>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11"/>
    <w:rsid w:val="00D25F5B"/>
    <w:rPr>
      <w:rFonts w:ascii="Cambria" w:eastAsia="Times New Roman" w:hAnsi="Cambria" w:cs="Times New Roman"/>
      <w:i/>
      <w:iCs/>
      <w:color w:val="4F81BD"/>
      <w:spacing w:val="15"/>
      <w:sz w:val="24"/>
      <w:szCs w:val="24"/>
    </w:rPr>
  </w:style>
  <w:style w:type="paragraph" w:styleId="Prrafodelista">
    <w:name w:val="List Paragraph"/>
    <w:aliases w:val="Párrafo Título 3,4 Párrafo de lista,Figuras,Dot pt,No Spacing1,List Paragraph Char Char Char,Indicator Text,List Paragraph1,Numbered Para 1,DH1,Despues de viñeta 1"/>
    <w:basedOn w:val="Normal"/>
    <w:link w:val="PrrafodelistaCar"/>
    <w:uiPriority w:val="34"/>
    <w:qFormat/>
    <w:rsid w:val="00D25F5B"/>
    <w:pPr>
      <w:ind w:left="720"/>
      <w:contextualSpacing/>
    </w:pPr>
  </w:style>
  <w:style w:type="paragraph" w:styleId="Textodeglobo">
    <w:name w:val="Balloon Text"/>
    <w:basedOn w:val="Normal"/>
    <w:link w:val="TextodegloboCar"/>
    <w:uiPriority w:val="99"/>
    <w:semiHidden/>
    <w:unhideWhenUsed/>
    <w:rsid w:val="00D25F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25F5B"/>
    <w:rPr>
      <w:rFonts w:ascii="Tahoma" w:eastAsia="Calibri" w:hAnsi="Tahoma" w:cs="Tahoma"/>
      <w:sz w:val="16"/>
      <w:szCs w:val="16"/>
    </w:rPr>
  </w:style>
  <w:style w:type="paragraph" w:customStyle="1" w:styleId="Texto">
    <w:name w:val="Texto"/>
    <w:link w:val="TextoCar"/>
    <w:qFormat/>
    <w:rsid w:val="00D25F5B"/>
    <w:pPr>
      <w:spacing w:after="0" w:line="240" w:lineRule="auto"/>
    </w:pPr>
    <w:rPr>
      <w:rFonts w:ascii="Presidencia Fina" w:eastAsia="Times New Roman" w:hAnsi="Presidencia Fina" w:cs="PresidenciaFina"/>
      <w:color w:val="000000"/>
      <w:sz w:val="24"/>
      <w:szCs w:val="24"/>
      <w:lang w:val="es-ES_tradnl" w:eastAsia="es-ES"/>
    </w:rPr>
  </w:style>
  <w:style w:type="character" w:customStyle="1" w:styleId="TextoCar">
    <w:name w:val="Texto Car"/>
    <w:link w:val="Texto"/>
    <w:locked/>
    <w:rsid w:val="00D25F5B"/>
    <w:rPr>
      <w:rFonts w:ascii="Presidencia Fina" w:eastAsia="Times New Roman" w:hAnsi="Presidencia Fina" w:cs="PresidenciaFina"/>
      <w:color w:val="000000"/>
      <w:sz w:val="24"/>
      <w:szCs w:val="24"/>
      <w:lang w:val="es-ES_tradnl" w:eastAsia="es-ES"/>
    </w:rPr>
  </w:style>
  <w:style w:type="paragraph" w:customStyle="1" w:styleId="Normal2">
    <w:name w:val="Normal2"/>
    <w:basedOn w:val="Normal"/>
    <w:link w:val="Normal2Car"/>
    <w:qFormat/>
    <w:rsid w:val="00D25F5B"/>
    <w:rPr>
      <w:rFonts w:ascii="Arial" w:hAnsi="Arial" w:cs="Arial"/>
      <w:sz w:val="24"/>
      <w:szCs w:val="24"/>
    </w:rPr>
  </w:style>
  <w:style w:type="character" w:customStyle="1" w:styleId="Normal2Car">
    <w:name w:val="Normal2 Car"/>
    <w:link w:val="Normal2"/>
    <w:rsid w:val="00D25F5B"/>
    <w:rPr>
      <w:rFonts w:ascii="Arial" w:eastAsia="Calibri" w:hAnsi="Arial" w:cs="Arial"/>
      <w:sz w:val="24"/>
      <w:szCs w:val="24"/>
    </w:rPr>
  </w:style>
  <w:style w:type="paragraph" w:customStyle="1" w:styleId="Normal3">
    <w:name w:val="Normal3"/>
    <w:basedOn w:val="Normal2"/>
    <w:link w:val="Normal3Car"/>
    <w:qFormat/>
    <w:rsid w:val="00D25F5B"/>
    <w:pPr>
      <w:jc w:val="both"/>
    </w:pPr>
  </w:style>
  <w:style w:type="character" w:customStyle="1" w:styleId="Normal3Car">
    <w:name w:val="Normal3 Car"/>
    <w:link w:val="Normal3"/>
    <w:rsid w:val="00D25F5B"/>
    <w:rPr>
      <w:rFonts w:ascii="Arial" w:eastAsia="Calibri" w:hAnsi="Arial" w:cs="Arial"/>
      <w:sz w:val="24"/>
      <w:szCs w:val="24"/>
    </w:rPr>
  </w:style>
  <w:style w:type="table" w:styleId="Tablaconcuadrcula">
    <w:name w:val="Table Grid"/>
    <w:basedOn w:val="Tablanormal"/>
    <w:uiPriority w:val="39"/>
    <w:rsid w:val="00D25F5B"/>
    <w:pPr>
      <w:spacing w:after="0" w:line="240" w:lineRule="auto"/>
    </w:pPr>
    <w:rPr>
      <w:rFonts w:ascii="Calibri" w:eastAsia="Calibri" w:hAnsi="Calibri"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uiPriority w:val="99"/>
    <w:unhideWhenUsed/>
    <w:rsid w:val="00D25F5B"/>
    <w:rPr>
      <w:color w:val="0000FF"/>
      <w:u w:val="single"/>
    </w:rPr>
  </w:style>
  <w:style w:type="paragraph" w:styleId="Encabezado">
    <w:name w:val="header"/>
    <w:basedOn w:val="Normal"/>
    <w:link w:val="EncabezadoCar"/>
    <w:uiPriority w:val="99"/>
    <w:unhideWhenUsed/>
    <w:rsid w:val="00D25F5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25F5B"/>
    <w:rPr>
      <w:rFonts w:ascii="Calibri" w:eastAsia="Calibri" w:hAnsi="Calibri" w:cs="Times New Roman"/>
    </w:rPr>
  </w:style>
  <w:style w:type="paragraph" w:styleId="Piedepgina">
    <w:name w:val="footer"/>
    <w:basedOn w:val="Normal"/>
    <w:link w:val="PiedepginaCar"/>
    <w:uiPriority w:val="99"/>
    <w:unhideWhenUsed/>
    <w:rsid w:val="00D25F5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25F5B"/>
    <w:rPr>
      <w:rFonts w:ascii="Calibri" w:eastAsia="Calibri" w:hAnsi="Calibri" w:cs="Times New Roman"/>
    </w:rPr>
  </w:style>
  <w:style w:type="paragraph" w:styleId="TtulodeTDC">
    <w:name w:val="TOC Heading"/>
    <w:basedOn w:val="Ttulo1"/>
    <w:next w:val="Normal"/>
    <w:uiPriority w:val="39"/>
    <w:unhideWhenUsed/>
    <w:qFormat/>
    <w:rsid w:val="00D25F5B"/>
    <w:pPr>
      <w:outlineLvl w:val="9"/>
    </w:pPr>
    <w:rPr>
      <w:lang w:val="es-ES"/>
    </w:rPr>
  </w:style>
  <w:style w:type="paragraph" w:styleId="TDC1">
    <w:name w:val="toc 1"/>
    <w:basedOn w:val="Normal"/>
    <w:next w:val="Normal"/>
    <w:autoRedefine/>
    <w:uiPriority w:val="39"/>
    <w:unhideWhenUsed/>
    <w:rsid w:val="00D25F5B"/>
    <w:pPr>
      <w:spacing w:after="100"/>
    </w:pPr>
  </w:style>
  <w:style w:type="paragraph" w:styleId="TDC2">
    <w:name w:val="toc 2"/>
    <w:basedOn w:val="Normal"/>
    <w:next w:val="Normal"/>
    <w:autoRedefine/>
    <w:uiPriority w:val="39"/>
    <w:unhideWhenUsed/>
    <w:rsid w:val="00D25F5B"/>
    <w:pPr>
      <w:spacing w:after="100"/>
      <w:ind w:left="220"/>
    </w:pPr>
  </w:style>
  <w:style w:type="paragraph" w:styleId="TDC3">
    <w:name w:val="toc 3"/>
    <w:basedOn w:val="Normal"/>
    <w:next w:val="Normal"/>
    <w:autoRedefine/>
    <w:uiPriority w:val="39"/>
    <w:unhideWhenUsed/>
    <w:rsid w:val="00D25F5B"/>
    <w:pPr>
      <w:spacing w:after="100"/>
      <w:ind w:left="440"/>
    </w:pPr>
  </w:style>
  <w:style w:type="paragraph" w:styleId="Epgrafe">
    <w:name w:val="caption"/>
    <w:basedOn w:val="Normal"/>
    <w:next w:val="Normal"/>
    <w:link w:val="EpgrafeCar"/>
    <w:uiPriority w:val="35"/>
    <w:unhideWhenUsed/>
    <w:qFormat/>
    <w:rsid w:val="00D25F5B"/>
    <w:pPr>
      <w:spacing w:after="200" w:line="240" w:lineRule="auto"/>
    </w:pPr>
    <w:rPr>
      <w:b/>
      <w:bCs/>
      <w:color w:val="4F81BD"/>
      <w:sz w:val="18"/>
      <w:szCs w:val="18"/>
    </w:rPr>
  </w:style>
  <w:style w:type="paragraph" w:styleId="Tabladeilustraciones">
    <w:name w:val="table of figures"/>
    <w:basedOn w:val="Normal"/>
    <w:next w:val="Normal"/>
    <w:uiPriority w:val="99"/>
    <w:unhideWhenUsed/>
    <w:rsid w:val="00D25F5B"/>
    <w:pPr>
      <w:spacing w:after="0"/>
    </w:pPr>
  </w:style>
  <w:style w:type="paragraph" w:customStyle="1" w:styleId="Pa01">
    <w:name w:val="Pa0+1"/>
    <w:basedOn w:val="Default"/>
    <w:next w:val="Default"/>
    <w:uiPriority w:val="99"/>
    <w:rsid w:val="00D25F5B"/>
    <w:pPr>
      <w:spacing w:line="211" w:lineRule="atLeast"/>
    </w:pPr>
    <w:rPr>
      <w:rFonts w:ascii="Berkeley" w:hAnsi="Berkeley" w:cs="Times New Roman"/>
      <w:color w:val="auto"/>
    </w:rPr>
  </w:style>
  <w:style w:type="character" w:customStyle="1" w:styleId="A11">
    <w:name w:val="A1+1"/>
    <w:uiPriority w:val="99"/>
    <w:rsid w:val="00D25F5B"/>
    <w:rPr>
      <w:rFonts w:ascii="Carta" w:eastAsia="Carta" w:cs="Carta"/>
      <w:color w:val="000000"/>
      <w:sz w:val="8"/>
      <w:szCs w:val="8"/>
    </w:rPr>
  </w:style>
  <w:style w:type="character" w:customStyle="1" w:styleId="A4">
    <w:name w:val="A4"/>
    <w:uiPriority w:val="99"/>
    <w:rsid w:val="00D25F5B"/>
    <w:rPr>
      <w:rFonts w:ascii="RotisSansSerif" w:hAnsi="RotisSansSerif" w:cs="RotisSansSerif"/>
      <w:b/>
      <w:bCs/>
      <w:i/>
      <w:iCs/>
      <w:color w:val="000000"/>
      <w:sz w:val="29"/>
      <w:szCs w:val="29"/>
    </w:rPr>
  </w:style>
  <w:style w:type="paragraph" w:styleId="Textonotapie">
    <w:name w:val="footnote text"/>
    <w:basedOn w:val="Normal"/>
    <w:link w:val="TextonotapieCar"/>
    <w:unhideWhenUsed/>
    <w:rsid w:val="00D25F5B"/>
    <w:pPr>
      <w:spacing w:after="0" w:line="240" w:lineRule="auto"/>
    </w:pPr>
    <w:rPr>
      <w:sz w:val="20"/>
      <w:szCs w:val="20"/>
    </w:rPr>
  </w:style>
  <w:style w:type="character" w:customStyle="1" w:styleId="TextonotapieCar">
    <w:name w:val="Texto nota pie Car"/>
    <w:basedOn w:val="Fuentedeprrafopredeter"/>
    <w:link w:val="Textonotapie"/>
    <w:rsid w:val="00D25F5B"/>
    <w:rPr>
      <w:rFonts w:ascii="Calibri" w:eastAsia="Calibri" w:hAnsi="Calibri" w:cs="Times New Roman"/>
      <w:sz w:val="20"/>
      <w:szCs w:val="20"/>
    </w:rPr>
  </w:style>
  <w:style w:type="character" w:styleId="Refdenotaalpie">
    <w:name w:val="footnote reference"/>
    <w:unhideWhenUsed/>
    <w:rsid w:val="00D25F5B"/>
    <w:rPr>
      <w:vertAlign w:val="superscript"/>
    </w:rPr>
  </w:style>
  <w:style w:type="character" w:styleId="Refdecomentario">
    <w:name w:val="annotation reference"/>
    <w:uiPriority w:val="99"/>
    <w:semiHidden/>
    <w:unhideWhenUsed/>
    <w:rsid w:val="00D25F5B"/>
    <w:rPr>
      <w:sz w:val="16"/>
      <w:szCs w:val="16"/>
    </w:rPr>
  </w:style>
  <w:style w:type="paragraph" w:styleId="Textocomentario">
    <w:name w:val="annotation text"/>
    <w:basedOn w:val="Normal"/>
    <w:link w:val="TextocomentarioCar"/>
    <w:uiPriority w:val="99"/>
    <w:unhideWhenUsed/>
    <w:rsid w:val="00D25F5B"/>
    <w:pPr>
      <w:spacing w:after="160" w:line="240" w:lineRule="auto"/>
    </w:pPr>
    <w:rPr>
      <w:sz w:val="20"/>
      <w:szCs w:val="20"/>
    </w:rPr>
  </w:style>
  <w:style w:type="character" w:customStyle="1" w:styleId="TextocomentarioCar">
    <w:name w:val="Texto comentario Car"/>
    <w:basedOn w:val="Fuentedeprrafopredeter"/>
    <w:link w:val="Textocomentario"/>
    <w:uiPriority w:val="99"/>
    <w:rsid w:val="00D25F5B"/>
    <w:rPr>
      <w:rFonts w:ascii="Calibri" w:eastAsia="Calibri" w:hAnsi="Calibri" w:cs="Times New Roman"/>
      <w:sz w:val="20"/>
      <w:szCs w:val="20"/>
    </w:rPr>
  </w:style>
  <w:style w:type="table" w:customStyle="1" w:styleId="Cuadrculadetablaclara1">
    <w:name w:val="Cuadrícula de tabla clara1"/>
    <w:basedOn w:val="Tablanormal"/>
    <w:uiPriority w:val="40"/>
    <w:rsid w:val="00D25F5B"/>
    <w:pPr>
      <w:spacing w:after="0" w:line="240" w:lineRule="auto"/>
    </w:pPr>
    <w:rPr>
      <w:rFonts w:ascii="Calibri" w:eastAsia="Calibri" w:hAnsi="Calibri" w:cs="Times New Roman"/>
      <w:sz w:val="20"/>
      <w:szCs w:val="20"/>
      <w:lang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styleId="NormalWeb">
    <w:name w:val="Normal (Web)"/>
    <w:basedOn w:val="Normal"/>
    <w:uiPriority w:val="99"/>
    <w:semiHidden/>
    <w:unhideWhenUsed/>
    <w:rsid w:val="00D25F5B"/>
    <w:pPr>
      <w:spacing w:before="100" w:beforeAutospacing="1" w:after="100" w:afterAutospacing="1" w:line="240" w:lineRule="auto"/>
    </w:pPr>
    <w:rPr>
      <w:rFonts w:ascii="Times New Roman" w:eastAsia="Times New Roman" w:hAnsi="Times New Roman"/>
      <w:sz w:val="24"/>
      <w:szCs w:val="24"/>
      <w:lang w:eastAsia="es-MX"/>
    </w:rPr>
  </w:style>
  <w:style w:type="paragraph" w:styleId="Asuntodelcomentario">
    <w:name w:val="annotation subject"/>
    <w:basedOn w:val="Textocomentario"/>
    <w:next w:val="Textocomentario"/>
    <w:link w:val="AsuntodelcomentarioCar"/>
    <w:uiPriority w:val="99"/>
    <w:semiHidden/>
    <w:unhideWhenUsed/>
    <w:rsid w:val="00D25F5B"/>
    <w:pPr>
      <w:spacing w:after="240"/>
    </w:pPr>
    <w:rPr>
      <w:b/>
      <w:bCs/>
    </w:rPr>
  </w:style>
  <w:style w:type="character" w:customStyle="1" w:styleId="AsuntodelcomentarioCar">
    <w:name w:val="Asunto del comentario Car"/>
    <w:basedOn w:val="TextocomentarioCar"/>
    <w:link w:val="Asuntodelcomentario"/>
    <w:uiPriority w:val="99"/>
    <w:semiHidden/>
    <w:rsid w:val="00D25F5B"/>
    <w:rPr>
      <w:rFonts w:ascii="Calibri" w:eastAsia="Calibri" w:hAnsi="Calibri" w:cs="Times New Roman"/>
      <w:b/>
      <w:bCs/>
      <w:sz w:val="20"/>
      <w:szCs w:val="20"/>
    </w:rPr>
  </w:style>
  <w:style w:type="table" w:customStyle="1" w:styleId="Cuadrculadetablaclara11">
    <w:name w:val="Cuadrícula de tabla clara11"/>
    <w:basedOn w:val="Tablanormal"/>
    <w:uiPriority w:val="40"/>
    <w:rsid w:val="00D25F5B"/>
    <w:pPr>
      <w:spacing w:after="0" w:line="240" w:lineRule="auto"/>
    </w:pPr>
    <w:rPr>
      <w:rFonts w:ascii="Calibri" w:eastAsia="Calibri" w:hAnsi="Calibri" w:cs="Times New Roman"/>
      <w:sz w:val="20"/>
      <w:szCs w:val="20"/>
      <w:lang w:eastAsia="es-MX"/>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apple-converted-space">
    <w:name w:val="apple-converted-space"/>
    <w:basedOn w:val="Fuentedeprrafopredeter"/>
    <w:rsid w:val="00D25F5B"/>
  </w:style>
  <w:style w:type="paragraph" w:styleId="Revisin">
    <w:name w:val="Revision"/>
    <w:hidden/>
    <w:uiPriority w:val="99"/>
    <w:semiHidden/>
    <w:rsid w:val="00D25F5B"/>
    <w:pPr>
      <w:spacing w:after="0" w:line="240" w:lineRule="auto"/>
    </w:pPr>
    <w:rPr>
      <w:rFonts w:ascii="Calibri" w:eastAsia="Calibri" w:hAnsi="Calibri" w:cs="Times New Roman"/>
    </w:rPr>
  </w:style>
  <w:style w:type="character" w:styleId="nfasissutil">
    <w:name w:val="Subtle Emphasis"/>
    <w:basedOn w:val="Fuentedeprrafopredeter"/>
    <w:uiPriority w:val="19"/>
    <w:qFormat/>
    <w:rsid w:val="00CF536D"/>
    <w:rPr>
      <w:i/>
      <w:iCs/>
      <w:color w:val="808080" w:themeColor="text1" w:themeTint="7F"/>
    </w:rPr>
  </w:style>
  <w:style w:type="character" w:styleId="Hipervnculovisitado">
    <w:name w:val="FollowedHyperlink"/>
    <w:basedOn w:val="Fuentedeprrafopredeter"/>
    <w:uiPriority w:val="99"/>
    <w:semiHidden/>
    <w:unhideWhenUsed/>
    <w:rsid w:val="00CF536D"/>
    <w:rPr>
      <w:color w:val="800080" w:themeColor="followedHyperlink"/>
      <w:u w:val="single"/>
    </w:rPr>
  </w:style>
  <w:style w:type="paragraph" w:customStyle="1" w:styleId="CuadroTitulo">
    <w:name w:val="CuadroTitulo"/>
    <w:basedOn w:val="Epgrafe"/>
    <w:link w:val="CuadroTituloCar"/>
    <w:qFormat/>
    <w:rsid w:val="00CF536D"/>
    <w:pPr>
      <w:jc w:val="center"/>
    </w:pPr>
  </w:style>
  <w:style w:type="character" w:customStyle="1" w:styleId="EpgrafeCar">
    <w:name w:val="Epígrafe Car"/>
    <w:basedOn w:val="Fuentedeprrafopredeter"/>
    <w:link w:val="Epgrafe"/>
    <w:uiPriority w:val="35"/>
    <w:rsid w:val="00CF536D"/>
    <w:rPr>
      <w:rFonts w:ascii="Calibri" w:eastAsia="Calibri" w:hAnsi="Calibri" w:cs="Times New Roman"/>
      <w:b/>
      <w:bCs/>
      <w:color w:val="4F81BD"/>
      <w:sz w:val="18"/>
      <w:szCs w:val="18"/>
    </w:rPr>
  </w:style>
  <w:style w:type="character" w:customStyle="1" w:styleId="CuadroTituloCar">
    <w:name w:val="CuadroTitulo Car"/>
    <w:basedOn w:val="EpgrafeCar"/>
    <w:link w:val="CuadroTitulo"/>
    <w:rsid w:val="00CF536D"/>
    <w:rPr>
      <w:rFonts w:ascii="Calibri" w:eastAsia="Calibri" w:hAnsi="Calibri" w:cs="Times New Roman"/>
      <w:b/>
      <w:bCs/>
      <w:color w:val="4F81BD"/>
      <w:sz w:val="18"/>
      <w:szCs w:val="18"/>
    </w:rPr>
  </w:style>
  <w:style w:type="paragraph" w:customStyle="1" w:styleId="p">
    <w:name w:val="p"/>
    <w:basedOn w:val="Normal"/>
    <w:rsid w:val="00A97CA0"/>
    <w:pPr>
      <w:spacing w:before="100" w:beforeAutospacing="1" w:after="0" w:line="240" w:lineRule="auto"/>
    </w:pPr>
    <w:rPr>
      <w:rFonts w:ascii="Times New Roman" w:eastAsia="Times New Roman" w:hAnsi="Times New Roman"/>
      <w:sz w:val="24"/>
      <w:szCs w:val="24"/>
      <w:lang w:eastAsia="es-MX"/>
    </w:rPr>
  </w:style>
  <w:style w:type="paragraph" w:customStyle="1" w:styleId="q">
    <w:name w:val="q"/>
    <w:basedOn w:val="Normal"/>
    <w:rsid w:val="00A97CA0"/>
    <w:pPr>
      <w:spacing w:before="100" w:beforeAutospacing="1" w:after="0" w:line="240" w:lineRule="auto"/>
      <w:ind w:left="480"/>
    </w:pPr>
    <w:rPr>
      <w:rFonts w:ascii="Times New Roman" w:eastAsia="Times New Roman" w:hAnsi="Times New Roman"/>
      <w:sz w:val="24"/>
      <w:szCs w:val="24"/>
      <w:lang w:eastAsia="es-MX"/>
    </w:rPr>
  </w:style>
  <w:style w:type="character" w:customStyle="1" w:styleId="f1">
    <w:name w:val="f1"/>
    <w:basedOn w:val="Fuentedeprrafopredeter"/>
    <w:rsid w:val="00A97CA0"/>
    <w:rPr>
      <w:color w:val="0000FF"/>
      <w:sz w:val="30"/>
      <w:szCs w:val="30"/>
    </w:rPr>
  </w:style>
  <w:style w:type="character" w:customStyle="1" w:styleId="d1">
    <w:name w:val="d1"/>
    <w:basedOn w:val="Fuentedeprrafopredeter"/>
    <w:rsid w:val="00A97CA0"/>
    <w:rPr>
      <w:color w:val="0000FF"/>
    </w:rPr>
  </w:style>
  <w:style w:type="character" w:customStyle="1" w:styleId="b1">
    <w:name w:val="b1"/>
    <w:basedOn w:val="Fuentedeprrafopredeter"/>
    <w:rsid w:val="00A97CA0"/>
    <w:rPr>
      <w:color w:val="000000"/>
    </w:rPr>
  </w:style>
  <w:style w:type="character" w:customStyle="1" w:styleId="g1">
    <w:name w:val="g1"/>
    <w:basedOn w:val="Fuentedeprrafopredeter"/>
    <w:rsid w:val="00A97CA0"/>
    <w:rPr>
      <w:color w:val="B3B3B3"/>
    </w:rPr>
  </w:style>
  <w:style w:type="character" w:customStyle="1" w:styleId="c1">
    <w:name w:val="c1"/>
    <w:basedOn w:val="Fuentedeprrafopredeter"/>
    <w:rsid w:val="00A97CA0"/>
    <w:rPr>
      <w:rFonts w:ascii="Arial Unicode MS" w:eastAsia="Arial Unicode MS" w:hAnsi="Arial Unicode MS" w:cs="Arial Unicode MS" w:hint="eastAsia"/>
      <w:color w:val="0000FF"/>
      <w:sz w:val="26"/>
      <w:szCs w:val="26"/>
    </w:rPr>
  </w:style>
  <w:style w:type="character" w:customStyle="1" w:styleId="n1">
    <w:name w:val="n1"/>
    <w:basedOn w:val="Fuentedeprrafopredeter"/>
    <w:rsid w:val="00A97CA0"/>
    <w:rPr>
      <w:sz w:val="22"/>
      <w:szCs w:val="22"/>
    </w:rPr>
  </w:style>
  <w:style w:type="paragraph" w:styleId="Sinespaciado">
    <w:name w:val="No Spacing"/>
    <w:link w:val="SinespaciadoCar"/>
    <w:uiPriority w:val="1"/>
    <w:qFormat/>
    <w:rsid w:val="00694F97"/>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694F97"/>
    <w:rPr>
      <w:rFonts w:eastAsiaTheme="minorEastAsia"/>
      <w:lang w:eastAsia="es-MX"/>
    </w:rPr>
  </w:style>
  <w:style w:type="character" w:customStyle="1" w:styleId="PrrafodelistaCar">
    <w:name w:val="Párrafo de lista Car"/>
    <w:aliases w:val="Párrafo Título 3 Car,4 Párrafo de lista Car,Figuras Car,Dot pt Car,No Spacing1 Car,List Paragraph Char Char Char Car,Indicator Text Car,List Paragraph1 Car,Numbered Para 1 Car,DH1 Car,Despues de viñeta 1 Car"/>
    <w:basedOn w:val="Fuentedeprrafopredeter"/>
    <w:link w:val="Prrafodelista"/>
    <w:uiPriority w:val="34"/>
    <w:qFormat/>
    <w:locked/>
    <w:rsid w:val="004D5D2F"/>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62042">
      <w:bodyDiv w:val="1"/>
      <w:marLeft w:val="0"/>
      <w:marRight w:val="0"/>
      <w:marTop w:val="0"/>
      <w:marBottom w:val="0"/>
      <w:divBdr>
        <w:top w:val="none" w:sz="0" w:space="0" w:color="auto"/>
        <w:left w:val="none" w:sz="0" w:space="0" w:color="auto"/>
        <w:bottom w:val="none" w:sz="0" w:space="0" w:color="auto"/>
        <w:right w:val="none" w:sz="0" w:space="0" w:color="auto"/>
      </w:divBdr>
    </w:div>
    <w:div w:id="166362969">
      <w:bodyDiv w:val="1"/>
      <w:marLeft w:val="0"/>
      <w:marRight w:val="0"/>
      <w:marTop w:val="0"/>
      <w:marBottom w:val="0"/>
      <w:divBdr>
        <w:top w:val="none" w:sz="0" w:space="0" w:color="auto"/>
        <w:left w:val="none" w:sz="0" w:space="0" w:color="auto"/>
        <w:bottom w:val="none" w:sz="0" w:space="0" w:color="auto"/>
        <w:right w:val="none" w:sz="0" w:space="0" w:color="auto"/>
      </w:divBdr>
    </w:div>
    <w:div w:id="179206512">
      <w:bodyDiv w:val="1"/>
      <w:marLeft w:val="0"/>
      <w:marRight w:val="0"/>
      <w:marTop w:val="0"/>
      <w:marBottom w:val="0"/>
      <w:divBdr>
        <w:top w:val="none" w:sz="0" w:space="0" w:color="auto"/>
        <w:left w:val="none" w:sz="0" w:space="0" w:color="auto"/>
        <w:bottom w:val="none" w:sz="0" w:space="0" w:color="auto"/>
        <w:right w:val="none" w:sz="0" w:space="0" w:color="auto"/>
      </w:divBdr>
    </w:div>
    <w:div w:id="185564160">
      <w:bodyDiv w:val="1"/>
      <w:marLeft w:val="0"/>
      <w:marRight w:val="0"/>
      <w:marTop w:val="0"/>
      <w:marBottom w:val="0"/>
      <w:divBdr>
        <w:top w:val="none" w:sz="0" w:space="0" w:color="auto"/>
        <w:left w:val="none" w:sz="0" w:space="0" w:color="auto"/>
        <w:bottom w:val="none" w:sz="0" w:space="0" w:color="auto"/>
        <w:right w:val="none" w:sz="0" w:space="0" w:color="auto"/>
      </w:divBdr>
    </w:div>
    <w:div w:id="202376820">
      <w:bodyDiv w:val="1"/>
      <w:marLeft w:val="0"/>
      <w:marRight w:val="0"/>
      <w:marTop w:val="0"/>
      <w:marBottom w:val="0"/>
      <w:divBdr>
        <w:top w:val="none" w:sz="0" w:space="0" w:color="auto"/>
        <w:left w:val="none" w:sz="0" w:space="0" w:color="auto"/>
        <w:bottom w:val="none" w:sz="0" w:space="0" w:color="auto"/>
        <w:right w:val="none" w:sz="0" w:space="0" w:color="auto"/>
      </w:divBdr>
    </w:div>
    <w:div w:id="318778204">
      <w:bodyDiv w:val="1"/>
      <w:marLeft w:val="0"/>
      <w:marRight w:val="0"/>
      <w:marTop w:val="0"/>
      <w:marBottom w:val="0"/>
      <w:divBdr>
        <w:top w:val="none" w:sz="0" w:space="0" w:color="auto"/>
        <w:left w:val="none" w:sz="0" w:space="0" w:color="auto"/>
        <w:bottom w:val="none" w:sz="0" w:space="0" w:color="auto"/>
        <w:right w:val="none" w:sz="0" w:space="0" w:color="auto"/>
      </w:divBdr>
    </w:div>
    <w:div w:id="450831962">
      <w:bodyDiv w:val="1"/>
      <w:marLeft w:val="0"/>
      <w:marRight w:val="0"/>
      <w:marTop w:val="0"/>
      <w:marBottom w:val="0"/>
      <w:divBdr>
        <w:top w:val="none" w:sz="0" w:space="0" w:color="auto"/>
        <w:left w:val="none" w:sz="0" w:space="0" w:color="auto"/>
        <w:bottom w:val="none" w:sz="0" w:space="0" w:color="auto"/>
        <w:right w:val="none" w:sz="0" w:space="0" w:color="auto"/>
      </w:divBdr>
    </w:div>
    <w:div w:id="612978110">
      <w:bodyDiv w:val="1"/>
      <w:marLeft w:val="0"/>
      <w:marRight w:val="0"/>
      <w:marTop w:val="0"/>
      <w:marBottom w:val="0"/>
      <w:divBdr>
        <w:top w:val="none" w:sz="0" w:space="0" w:color="auto"/>
        <w:left w:val="none" w:sz="0" w:space="0" w:color="auto"/>
        <w:bottom w:val="none" w:sz="0" w:space="0" w:color="auto"/>
        <w:right w:val="none" w:sz="0" w:space="0" w:color="auto"/>
      </w:divBdr>
    </w:div>
    <w:div w:id="614362390">
      <w:bodyDiv w:val="1"/>
      <w:marLeft w:val="0"/>
      <w:marRight w:val="0"/>
      <w:marTop w:val="0"/>
      <w:marBottom w:val="0"/>
      <w:divBdr>
        <w:top w:val="none" w:sz="0" w:space="0" w:color="auto"/>
        <w:left w:val="none" w:sz="0" w:space="0" w:color="auto"/>
        <w:bottom w:val="none" w:sz="0" w:space="0" w:color="auto"/>
        <w:right w:val="none" w:sz="0" w:space="0" w:color="auto"/>
      </w:divBdr>
    </w:div>
    <w:div w:id="626009866">
      <w:bodyDiv w:val="1"/>
      <w:marLeft w:val="0"/>
      <w:marRight w:val="0"/>
      <w:marTop w:val="0"/>
      <w:marBottom w:val="0"/>
      <w:divBdr>
        <w:top w:val="none" w:sz="0" w:space="0" w:color="auto"/>
        <w:left w:val="none" w:sz="0" w:space="0" w:color="auto"/>
        <w:bottom w:val="none" w:sz="0" w:space="0" w:color="auto"/>
        <w:right w:val="none" w:sz="0" w:space="0" w:color="auto"/>
      </w:divBdr>
    </w:div>
    <w:div w:id="626814541">
      <w:bodyDiv w:val="1"/>
      <w:marLeft w:val="0"/>
      <w:marRight w:val="0"/>
      <w:marTop w:val="0"/>
      <w:marBottom w:val="0"/>
      <w:divBdr>
        <w:top w:val="none" w:sz="0" w:space="0" w:color="auto"/>
        <w:left w:val="none" w:sz="0" w:space="0" w:color="auto"/>
        <w:bottom w:val="none" w:sz="0" w:space="0" w:color="auto"/>
        <w:right w:val="none" w:sz="0" w:space="0" w:color="auto"/>
      </w:divBdr>
    </w:div>
    <w:div w:id="631441781">
      <w:bodyDiv w:val="1"/>
      <w:marLeft w:val="0"/>
      <w:marRight w:val="0"/>
      <w:marTop w:val="0"/>
      <w:marBottom w:val="0"/>
      <w:divBdr>
        <w:top w:val="none" w:sz="0" w:space="0" w:color="auto"/>
        <w:left w:val="none" w:sz="0" w:space="0" w:color="auto"/>
        <w:bottom w:val="none" w:sz="0" w:space="0" w:color="auto"/>
        <w:right w:val="none" w:sz="0" w:space="0" w:color="auto"/>
      </w:divBdr>
    </w:div>
    <w:div w:id="791168745">
      <w:bodyDiv w:val="1"/>
      <w:marLeft w:val="0"/>
      <w:marRight w:val="0"/>
      <w:marTop w:val="0"/>
      <w:marBottom w:val="0"/>
      <w:divBdr>
        <w:top w:val="none" w:sz="0" w:space="0" w:color="auto"/>
        <w:left w:val="none" w:sz="0" w:space="0" w:color="auto"/>
        <w:bottom w:val="none" w:sz="0" w:space="0" w:color="auto"/>
        <w:right w:val="none" w:sz="0" w:space="0" w:color="auto"/>
      </w:divBdr>
    </w:div>
    <w:div w:id="975598909">
      <w:bodyDiv w:val="1"/>
      <w:marLeft w:val="0"/>
      <w:marRight w:val="0"/>
      <w:marTop w:val="0"/>
      <w:marBottom w:val="0"/>
      <w:divBdr>
        <w:top w:val="none" w:sz="0" w:space="0" w:color="auto"/>
        <w:left w:val="none" w:sz="0" w:space="0" w:color="auto"/>
        <w:bottom w:val="none" w:sz="0" w:space="0" w:color="auto"/>
        <w:right w:val="none" w:sz="0" w:space="0" w:color="auto"/>
      </w:divBdr>
    </w:div>
    <w:div w:id="978145406">
      <w:bodyDiv w:val="1"/>
      <w:marLeft w:val="0"/>
      <w:marRight w:val="0"/>
      <w:marTop w:val="0"/>
      <w:marBottom w:val="0"/>
      <w:divBdr>
        <w:top w:val="none" w:sz="0" w:space="0" w:color="auto"/>
        <w:left w:val="none" w:sz="0" w:space="0" w:color="auto"/>
        <w:bottom w:val="none" w:sz="0" w:space="0" w:color="auto"/>
        <w:right w:val="none" w:sz="0" w:space="0" w:color="auto"/>
      </w:divBdr>
    </w:div>
    <w:div w:id="978727167">
      <w:bodyDiv w:val="1"/>
      <w:marLeft w:val="0"/>
      <w:marRight w:val="0"/>
      <w:marTop w:val="0"/>
      <w:marBottom w:val="0"/>
      <w:divBdr>
        <w:top w:val="none" w:sz="0" w:space="0" w:color="auto"/>
        <w:left w:val="none" w:sz="0" w:space="0" w:color="auto"/>
        <w:bottom w:val="none" w:sz="0" w:space="0" w:color="auto"/>
        <w:right w:val="none" w:sz="0" w:space="0" w:color="auto"/>
      </w:divBdr>
    </w:div>
    <w:div w:id="1004361874">
      <w:bodyDiv w:val="1"/>
      <w:marLeft w:val="0"/>
      <w:marRight w:val="0"/>
      <w:marTop w:val="0"/>
      <w:marBottom w:val="0"/>
      <w:divBdr>
        <w:top w:val="none" w:sz="0" w:space="0" w:color="auto"/>
        <w:left w:val="none" w:sz="0" w:space="0" w:color="auto"/>
        <w:bottom w:val="none" w:sz="0" w:space="0" w:color="auto"/>
        <w:right w:val="none" w:sz="0" w:space="0" w:color="auto"/>
      </w:divBdr>
    </w:div>
    <w:div w:id="1020012547">
      <w:bodyDiv w:val="1"/>
      <w:marLeft w:val="0"/>
      <w:marRight w:val="0"/>
      <w:marTop w:val="0"/>
      <w:marBottom w:val="0"/>
      <w:divBdr>
        <w:top w:val="none" w:sz="0" w:space="0" w:color="auto"/>
        <w:left w:val="none" w:sz="0" w:space="0" w:color="auto"/>
        <w:bottom w:val="none" w:sz="0" w:space="0" w:color="auto"/>
        <w:right w:val="none" w:sz="0" w:space="0" w:color="auto"/>
      </w:divBdr>
    </w:div>
    <w:div w:id="1056860213">
      <w:bodyDiv w:val="1"/>
      <w:marLeft w:val="0"/>
      <w:marRight w:val="0"/>
      <w:marTop w:val="0"/>
      <w:marBottom w:val="0"/>
      <w:divBdr>
        <w:top w:val="none" w:sz="0" w:space="0" w:color="auto"/>
        <w:left w:val="none" w:sz="0" w:space="0" w:color="auto"/>
        <w:bottom w:val="none" w:sz="0" w:space="0" w:color="auto"/>
        <w:right w:val="none" w:sz="0" w:space="0" w:color="auto"/>
      </w:divBdr>
    </w:div>
    <w:div w:id="1154223679">
      <w:bodyDiv w:val="1"/>
      <w:marLeft w:val="0"/>
      <w:marRight w:val="0"/>
      <w:marTop w:val="0"/>
      <w:marBottom w:val="0"/>
      <w:divBdr>
        <w:top w:val="none" w:sz="0" w:space="0" w:color="auto"/>
        <w:left w:val="none" w:sz="0" w:space="0" w:color="auto"/>
        <w:bottom w:val="none" w:sz="0" w:space="0" w:color="auto"/>
        <w:right w:val="none" w:sz="0" w:space="0" w:color="auto"/>
      </w:divBdr>
    </w:div>
    <w:div w:id="1174226388">
      <w:bodyDiv w:val="1"/>
      <w:marLeft w:val="0"/>
      <w:marRight w:val="0"/>
      <w:marTop w:val="0"/>
      <w:marBottom w:val="0"/>
      <w:divBdr>
        <w:top w:val="none" w:sz="0" w:space="0" w:color="auto"/>
        <w:left w:val="none" w:sz="0" w:space="0" w:color="auto"/>
        <w:bottom w:val="none" w:sz="0" w:space="0" w:color="auto"/>
        <w:right w:val="none" w:sz="0" w:space="0" w:color="auto"/>
      </w:divBdr>
    </w:div>
    <w:div w:id="1193494084">
      <w:bodyDiv w:val="1"/>
      <w:marLeft w:val="0"/>
      <w:marRight w:val="0"/>
      <w:marTop w:val="0"/>
      <w:marBottom w:val="0"/>
      <w:divBdr>
        <w:top w:val="none" w:sz="0" w:space="0" w:color="auto"/>
        <w:left w:val="none" w:sz="0" w:space="0" w:color="auto"/>
        <w:bottom w:val="none" w:sz="0" w:space="0" w:color="auto"/>
        <w:right w:val="none" w:sz="0" w:space="0" w:color="auto"/>
      </w:divBdr>
    </w:div>
    <w:div w:id="1239288149">
      <w:bodyDiv w:val="1"/>
      <w:marLeft w:val="0"/>
      <w:marRight w:val="0"/>
      <w:marTop w:val="0"/>
      <w:marBottom w:val="0"/>
      <w:divBdr>
        <w:top w:val="none" w:sz="0" w:space="0" w:color="auto"/>
        <w:left w:val="none" w:sz="0" w:space="0" w:color="auto"/>
        <w:bottom w:val="none" w:sz="0" w:space="0" w:color="auto"/>
        <w:right w:val="none" w:sz="0" w:space="0" w:color="auto"/>
      </w:divBdr>
    </w:div>
    <w:div w:id="1250577582">
      <w:bodyDiv w:val="1"/>
      <w:marLeft w:val="0"/>
      <w:marRight w:val="0"/>
      <w:marTop w:val="0"/>
      <w:marBottom w:val="0"/>
      <w:divBdr>
        <w:top w:val="none" w:sz="0" w:space="0" w:color="auto"/>
        <w:left w:val="none" w:sz="0" w:space="0" w:color="auto"/>
        <w:bottom w:val="none" w:sz="0" w:space="0" w:color="auto"/>
        <w:right w:val="none" w:sz="0" w:space="0" w:color="auto"/>
      </w:divBdr>
    </w:div>
    <w:div w:id="1258443515">
      <w:bodyDiv w:val="1"/>
      <w:marLeft w:val="0"/>
      <w:marRight w:val="0"/>
      <w:marTop w:val="0"/>
      <w:marBottom w:val="0"/>
      <w:divBdr>
        <w:top w:val="none" w:sz="0" w:space="0" w:color="auto"/>
        <w:left w:val="none" w:sz="0" w:space="0" w:color="auto"/>
        <w:bottom w:val="none" w:sz="0" w:space="0" w:color="auto"/>
        <w:right w:val="none" w:sz="0" w:space="0" w:color="auto"/>
      </w:divBdr>
    </w:div>
    <w:div w:id="1301307744">
      <w:bodyDiv w:val="1"/>
      <w:marLeft w:val="0"/>
      <w:marRight w:val="0"/>
      <w:marTop w:val="0"/>
      <w:marBottom w:val="0"/>
      <w:divBdr>
        <w:top w:val="none" w:sz="0" w:space="0" w:color="auto"/>
        <w:left w:val="none" w:sz="0" w:space="0" w:color="auto"/>
        <w:bottom w:val="none" w:sz="0" w:space="0" w:color="auto"/>
        <w:right w:val="none" w:sz="0" w:space="0" w:color="auto"/>
      </w:divBdr>
    </w:div>
    <w:div w:id="1325622077">
      <w:bodyDiv w:val="1"/>
      <w:marLeft w:val="0"/>
      <w:marRight w:val="0"/>
      <w:marTop w:val="0"/>
      <w:marBottom w:val="0"/>
      <w:divBdr>
        <w:top w:val="none" w:sz="0" w:space="0" w:color="auto"/>
        <w:left w:val="none" w:sz="0" w:space="0" w:color="auto"/>
        <w:bottom w:val="none" w:sz="0" w:space="0" w:color="auto"/>
        <w:right w:val="none" w:sz="0" w:space="0" w:color="auto"/>
      </w:divBdr>
    </w:div>
    <w:div w:id="1406151484">
      <w:bodyDiv w:val="1"/>
      <w:marLeft w:val="0"/>
      <w:marRight w:val="0"/>
      <w:marTop w:val="0"/>
      <w:marBottom w:val="0"/>
      <w:divBdr>
        <w:top w:val="none" w:sz="0" w:space="0" w:color="auto"/>
        <w:left w:val="none" w:sz="0" w:space="0" w:color="auto"/>
        <w:bottom w:val="none" w:sz="0" w:space="0" w:color="auto"/>
        <w:right w:val="none" w:sz="0" w:space="0" w:color="auto"/>
      </w:divBdr>
    </w:div>
    <w:div w:id="1483622393">
      <w:bodyDiv w:val="1"/>
      <w:marLeft w:val="0"/>
      <w:marRight w:val="0"/>
      <w:marTop w:val="0"/>
      <w:marBottom w:val="0"/>
      <w:divBdr>
        <w:top w:val="none" w:sz="0" w:space="0" w:color="auto"/>
        <w:left w:val="none" w:sz="0" w:space="0" w:color="auto"/>
        <w:bottom w:val="none" w:sz="0" w:space="0" w:color="auto"/>
        <w:right w:val="none" w:sz="0" w:space="0" w:color="auto"/>
      </w:divBdr>
    </w:div>
    <w:div w:id="1522285274">
      <w:bodyDiv w:val="1"/>
      <w:marLeft w:val="0"/>
      <w:marRight w:val="0"/>
      <w:marTop w:val="0"/>
      <w:marBottom w:val="0"/>
      <w:divBdr>
        <w:top w:val="none" w:sz="0" w:space="0" w:color="auto"/>
        <w:left w:val="none" w:sz="0" w:space="0" w:color="auto"/>
        <w:bottom w:val="none" w:sz="0" w:space="0" w:color="auto"/>
        <w:right w:val="none" w:sz="0" w:space="0" w:color="auto"/>
      </w:divBdr>
    </w:div>
    <w:div w:id="1803234117">
      <w:bodyDiv w:val="1"/>
      <w:marLeft w:val="0"/>
      <w:marRight w:val="0"/>
      <w:marTop w:val="0"/>
      <w:marBottom w:val="0"/>
      <w:divBdr>
        <w:top w:val="none" w:sz="0" w:space="0" w:color="auto"/>
        <w:left w:val="none" w:sz="0" w:space="0" w:color="auto"/>
        <w:bottom w:val="none" w:sz="0" w:space="0" w:color="auto"/>
        <w:right w:val="none" w:sz="0" w:space="0" w:color="auto"/>
      </w:divBdr>
    </w:div>
    <w:div w:id="1934823316">
      <w:bodyDiv w:val="1"/>
      <w:marLeft w:val="0"/>
      <w:marRight w:val="0"/>
      <w:marTop w:val="0"/>
      <w:marBottom w:val="0"/>
      <w:divBdr>
        <w:top w:val="none" w:sz="0" w:space="0" w:color="auto"/>
        <w:left w:val="none" w:sz="0" w:space="0" w:color="auto"/>
        <w:bottom w:val="none" w:sz="0" w:space="0" w:color="auto"/>
        <w:right w:val="none" w:sz="0" w:space="0" w:color="auto"/>
      </w:divBdr>
    </w:div>
    <w:div w:id="1942182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diagramData" Target="diagrams/data1.xml"/><Relationship Id="rId42" Type="http://schemas.openxmlformats.org/officeDocument/2006/relationships/chart" Target="charts/chart6.xml"/><Relationship Id="rId47" Type="http://schemas.openxmlformats.org/officeDocument/2006/relationships/chart" Target="charts/chart9.xml"/><Relationship Id="rId63" Type="http://schemas.openxmlformats.org/officeDocument/2006/relationships/chart" Target="charts/chart25.xml"/><Relationship Id="rId68" Type="http://schemas.openxmlformats.org/officeDocument/2006/relationships/package" Target="embeddings/Microsoft_PowerPoint_Slide1.sldx"/><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7.png"/><Relationship Id="rId11" Type="http://schemas.openxmlformats.org/officeDocument/2006/relationships/hyperlink" Target="file:///C:/Users/WILLIA~1.PER/AppData/Local/Temp/Rar$DIa0.831/PCS(final).docx" TargetMode="External"/><Relationship Id="rId24" Type="http://schemas.openxmlformats.org/officeDocument/2006/relationships/diagramColors" Target="diagrams/colors1.xml"/><Relationship Id="rId32" Type="http://schemas.openxmlformats.org/officeDocument/2006/relationships/diagramQuickStyle" Target="diagrams/quickStyle2.xml"/><Relationship Id="rId37" Type="http://schemas.openxmlformats.org/officeDocument/2006/relationships/diagramQuickStyle" Target="diagrams/quickStyle3.xml"/><Relationship Id="rId40" Type="http://schemas.openxmlformats.org/officeDocument/2006/relationships/chart" Target="charts/chart4.xml"/><Relationship Id="rId45" Type="http://schemas.openxmlformats.org/officeDocument/2006/relationships/chart" Target="charts/chart7.xml"/><Relationship Id="rId53" Type="http://schemas.openxmlformats.org/officeDocument/2006/relationships/chart" Target="charts/chart15.xml"/><Relationship Id="rId58" Type="http://schemas.openxmlformats.org/officeDocument/2006/relationships/chart" Target="charts/chart20.xml"/><Relationship Id="rId66" Type="http://schemas.openxmlformats.org/officeDocument/2006/relationships/header" Target="header3.xml"/><Relationship Id="rId74" Type="http://schemas.openxmlformats.org/officeDocument/2006/relationships/customXml" Target="../customXml/item5.xml"/><Relationship Id="rId5" Type="http://schemas.openxmlformats.org/officeDocument/2006/relationships/settings" Target="settings.xml"/><Relationship Id="rId61" Type="http://schemas.openxmlformats.org/officeDocument/2006/relationships/chart" Target="charts/chart23.xml"/><Relationship Id="rId19" Type="http://schemas.openxmlformats.org/officeDocument/2006/relationships/image" Target="media/image5.png"/><Relationship Id="rId14" Type="http://schemas.openxmlformats.org/officeDocument/2006/relationships/footer" Target="footer1.xml"/><Relationship Id="rId22" Type="http://schemas.openxmlformats.org/officeDocument/2006/relationships/diagramLayout" Target="diagrams/layout1.xml"/><Relationship Id="rId27" Type="http://schemas.openxmlformats.org/officeDocument/2006/relationships/chart" Target="charts/chart2.xml"/><Relationship Id="rId30" Type="http://schemas.openxmlformats.org/officeDocument/2006/relationships/diagramData" Target="diagrams/data2.xml"/><Relationship Id="rId35" Type="http://schemas.openxmlformats.org/officeDocument/2006/relationships/diagramData" Target="diagrams/data3.xml"/><Relationship Id="rId43" Type="http://schemas.openxmlformats.org/officeDocument/2006/relationships/image" Target="media/image8.emf"/><Relationship Id="rId48" Type="http://schemas.openxmlformats.org/officeDocument/2006/relationships/chart" Target="charts/chart10.xml"/><Relationship Id="rId56" Type="http://schemas.openxmlformats.org/officeDocument/2006/relationships/chart" Target="charts/chart18.xml"/><Relationship Id="rId64" Type="http://schemas.openxmlformats.org/officeDocument/2006/relationships/chart" Target="charts/chart26.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13.xml"/><Relationship Id="rId72"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4.gif"/><Relationship Id="rId25" Type="http://schemas.microsoft.com/office/2007/relationships/diagramDrawing" Target="diagrams/drawing1.xml"/><Relationship Id="rId33" Type="http://schemas.openxmlformats.org/officeDocument/2006/relationships/diagramColors" Target="diagrams/colors2.xml"/><Relationship Id="rId38" Type="http://schemas.openxmlformats.org/officeDocument/2006/relationships/diagramColors" Target="diagrams/colors3.xml"/><Relationship Id="rId46" Type="http://schemas.openxmlformats.org/officeDocument/2006/relationships/chart" Target="charts/chart8.xml"/><Relationship Id="rId59" Type="http://schemas.openxmlformats.org/officeDocument/2006/relationships/chart" Target="charts/chart21.xml"/><Relationship Id="rId67" Type="http://schemas.openxmlformats.org/officeDocument/2006/relationships/image" Target="media/image10.emf"/><Relationship Id="rId20" Type="http://schemas.openxmlformats.org/officeDocument/2006/relationships/image" Target="media/image6.png"/><Relationship Id="rId41" Type="http://schemas.openxmlformats.org/officeDocument/2006/relationships/chart" Target="charts/chart5.xml"/><Relationship Id="rId54" Type="http://schemas.openxmlformats.org/officeDocument/2006/relationships/chart" Target="charts/chart16.xml"/><Relationship Id="rId62" Type="http://schemas.openxmlformats.org/officeDocument/2006/relationships/chart" Target="charts/chart24.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diagramQuickStyle" Target="diagrams/quickStyle1.xml"/><Relationship Id="rId28" Type="http://schemas.openxmlformats.org/officeDocument/2006/relationships/chart" Target="charts/chart3.xml"/><Relationship Id="rId36" Type="http://schemas.openxmlformats.org/officeDocument/2006/relationships/diagramLayout" Target="diagrams/layout3.xml"/><Relationship Id="rId49" Type="http://schemas.openxmlformats.org/officeDocument/2006/relationships/chart" Target="charts/chart11.xml"/><Relationship Id="rId57" Type="http://schemas.openxmlformats.org/officeDocument/2006/relationships/chart" Target="charts/chart19.xml"/><Relationship Id="rId10" Type="http://schemas.openxmlformats.org/officeDocument/2006/relationships/hyperlink" Target="file:///C:/Users/WILLIA~1.PER/AppData/Local/Temp/Rar$DIa0.831/PCS(final).docx" TargetMode="External"/><Relationship Id="rId31" Type="http://schemas.openxmlformats.org/officeDocument/2006/relationships/diagramLayout" Target="diagrams/layout2.xml"/><Relationship Id="rId44" Type="http://schemas.openxmlformats.org/officeDocument/2006/relationships/image" Target="media/image9.emf"/><Relationship Id="rId52" Type="http://schemas.openxmlformats.org/officeDocument/2006/relationships/chart" Target="charts/chart14.xml"/><Relationship Id="rId60" Type="http://schemas.openxmlformats.org/officeDocument/2006/relationships/chart" Target="charts/chart22.xml"/><Relationship Id="rId65" Type="http://schemas.openxmlformats.org/officeDocument/2006/relationships/header" Target="header2.xml"/><Relationship Id="rId73"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cid:image001.png@01CF040D.A0A0C350" TargetMode="External"/><Relationship Id="rId39" Type="http://schemas.microsoft.com/office/2007/relationships/diagramDrawing" Target="diagrams/drawing3.xml"/><Relationship Id="rId34" Type="http://schemas.microsoft.com/office/2007/relationships/diagramDrawing" Target="diagrams/drawing2.xml"/><Relationship Id="rId50" Type="http://schemas.openxmlformats.org/officeDocument/2006/relationships/chart" Target="charts/chart12.xml"/><Relationship Id="rId55" Type="http://schemas.openxmlformats.org/officeDocument/2006/relationships/chart" Target="charts/chart17.xml"/><Relationship Id="rId7" Type="http://schemas.openxmlformats.org/officeDocument/2006/relationships/footnotes" Target="footnotes.xml"/><Relationship Id="rId71"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2" Type="http://schemas.openxmlformats.org/officeDocument/2006/relationships/hyperlink" Target="http://www.coneval.org.mx/Informes/Evaluacion/Impacto/Diagnostico_Programas_Nuevos.pdf" TargetMode="External"/><Relationship Id="rId1" Type="http://schemas.openxmlformats.org/officeDocument/2006/relationships/hyperlink" Target="http://dof.gob.mx/nota_detalle.php?codigo=5089652&amp;fecha=07/05/2009"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Libro2"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claudia.carbajal\Documents\Programas\PCS\Gr&#225;ficasDocFINA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claudia.carbajal\Desktop\Caracterizaci&#243;n\Caracterzaci&#243;n_cuadro.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claudia.carbajal\Documents\Programas\PCS\CalculoPOPP\Final\Caracterzaci&#243;n.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claudia.carbajal\Desktop\Caracterizaci&#243;n\Caracterzaci&#243;n_cuadro.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claudia.carbajal\Downloads\Indicadore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claudia.carbajal\Downloads\Indicadore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claudia.carbajal\Downloads\Indicadore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claudia.carbajal\Downloads\Indicadore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claudia.carbajal\Desktop\Caracterizaci&#243;n\Caracterzaci&#243;n_cuadro.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claudia.carbajal\Desktop\Caracterizaci&#243;n\Caracterzaci&#243;n_cuadr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delith\Dropbox\Diagn&#243;stico%20PCS\Informaci&#243;n%20Registro%20Federal\Estatus%20OSC%20registradas%202009-2013\ESTATUS%20OSC%20REGISTRO.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claudia.carbajal\Downloads\Indicadore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claudia.carbajal\Downloads\Indicadore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claudia.carbajal\Downloads\Indicadore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claudia.carbajal\Desktop\Indicadores_V2.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claudia.carbajal\Documents\Programas\PCS\CalculoPOPP\Final\Caracterzaci&#243;n.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claudia.carbajal\Documents\Programas\PCS\CalculoPOPP\Final\Caracterzaci&#243;n.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Libro2"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2"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Edelith\Documents\COCOA%20PC\PCS\CONEVAL\Anexo%20estad&#237;stico%202010-2012.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claudia.carbajal\Documents\Gr&#225;fica%208%20PC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Edelith\Documents\COCOA%20PC\PCS\Gr&#225;f.%20qui&#233;n%20debe%20resolver%20los%20problemas%20de%20la%20Sociedad.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Edelith\Documents\COCOA%20PC\PCS\ANEXO%20ESTADISTICO\02%20MEXICO%20INCLUYENTE\1.%20ESTADISTICAS%20NACIONALES\P069_ABAJO.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Edelith\Documents\COCOA%20PC\PCS\ANEXO%20ESTADISTICO\02%20MEXICO%20INCLUYENTE\1.%20ESTADISTICAS%20NACIONALES\P071_ARRIB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Libro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txPr>
              <a:bodyPr rot="-5400000" vert="horz"/>
              <a:lstStyle/>
              <a:p>
                <a:pPr>
                  <a:defRPr sz="900"/>
                </a:pPr>
                <a:endParaRPr lang="es-MX"/>
              </a:p>
            </c:txPr>
            <c:dLblPos val="outEnd"/>
            <c:showLegendKey val="0"/>
            <c:showVal val="1"/>
            <c:showCatName val="0"/>
            <c:showSerName val="0"/>
            <c:showPercent val="0"/>
            <c:showBubbleSize val="0"/>
            <c:showLeaderLines val="0"/>
          </c:dLbls>
          <c:cat>
            <c:strRef>
              <c:f>Hoja1!$A$1:$A$27</c:f>
              <c:strCache>
                <c:ptCount val="27"/>
                <c:pt idx="0">
                  <c:v>Distrito Federal</c:v>
                </c:pt>
                <c:pt idx="1">
                  <c:v>Sonora</c:v>
                </c:pt>
                <c:pt idx="2">
                  <c:v>Jalisco</c:v>
                </c:pt>
                <c:pt idx="3">
                  <c:v>Baja California</c:v>
                </c:pt>
                <c:pt idx="4">
                  <c:v>Puebla</c:v>
                </c:pt>
                <c:pt idx="5">
                  <c:v>Sinaloa</c:v>
                </c:pt>
                <c:pt idx="6">
                  <c:v>Coahuila</c:v>
                </c:pt>
                <c:pt idx="7">
                  <c:v>Querétaro</c:v>
                </c:pt>
                <c:pt idx="8">
                  <c:v>Hidalgo </c:v>
                </c:pt>
                <c:pt idx="9">
                  <c:v>Nuevo León</c:v>
                </c:pt>
                <c:pt idx="10">
                  <c:v>Chihuahua</c:v>
                </c:pt>
                <c:pt idx="11">
                  <c:v>San Luis Potosí</c:v>
                </c:pt>
                <c:pt idx="12">
                  <c:v>Estado de México</c:v>
                </c:pt>
                <c:pt idx="13">
                  <c:v>Quintana Roo</c:v>
                </c:pt>
                <c:pt idx="14">
                  <c:v>Colima</c:v>
                </c:pt>
                <c:pt idx="15">
                  <c:v>Guanajuato</c:v>
                </c:pt>
                <c:pt idx="16">
                  <c:v>Yucatán</c:v>
                </c:pt>
                <c:pt idx="17">
                  <c:v>Veracruz</c:v>
                </c:pt>
                <c:pt idx="18">
                  <c:v>Morelos</c:v>
                </c:pt>
                <c:pt idx="19">
                  <c:v>Oaxaca</c:v>
                </c:pt>
                <c:pt idx="20">
                  <c:v>Zacatecas</c:v>
                </c:pt>
                <c:pt idx="21">
                  <c:v>Tamaulipas</c:v>
                </c:pt>
                <c:pt idx="22">
                  <c:v>Michoacán</c:v>
                </c:pt>
                <c:pt idx="23">
                  <c:v>Durango</c:v>
                </c:pt>
                <c:pt idx="24">
                  <c:v>Campeche</c:v>
                </c:pt>
                <c:pt idx="25">
                  <c:v>Baja California Sur</c:v>
                </c:pt>
                <c:pt idx="26">
                  <c:v>Aguascalientes</c:v>
                </c:pt>
              </c:strCache>
            </c:strRef>
          </c:cat>
          <c:val>
            <c:numRef>
              <c:f>Hoja1!$B$1:$B$27</c:f>
              <c:numCache>
                <c:formatCode>General</c:formatCode>
                <c:ptCount val="27"/>
                <c:pt idx="0">
                  <c:v>167</c:v>
                </c:pt>
                <c:pt idx="1">
                  <c:v>120</c:v>
                </c:pt>
                <c:pt idx="2">
                  <c:v>49</c:v>
                </c:pt>
                <c:pt idx="3">
                  <c:v>44</c:v>
                </c:pt>
                <c:pt idx="4">
                  <c:v>38</c:v>
                </c:pt>
                <c:pt idx="5">
                  <c:v>35</c:v>
                </c:pt>
                <c:pt idx="6">
                  <c:v>32</c:v>
                </c:pt>
                <c:pt idx="7">
                  <c:v>30</c:v>
                </c:pt>
                <c:pt idx="8">
                  <c:v>27</c:v>
                </c:pt>
                <c:pt idx="9">
                  <c:v>21</c:v>
                </c:pt>
                <c:pt idx="10">
                  <c:v>19</c:v>
                </c:pt>
                <c:pt idx="11">
                  <c:v>17</c:v>
                </c:pt>
                <c:pt idx="12">
                  <c:v>16</c:v>
                </c:pt>
                <c:pt idx="13">
                  <c:v>14</c:v>
                </c:pt>
                <c:pt idx="14">
                  <c:v>11</c:v>
                </c:pt>
                <c:pt idx="15">
                  <c:v>7</c:v>
                </c:pt>
                <c:pt idx="16">
                  <c:v>4</c:v>
                </c:pt>
                <c:pt idx="17">
                  <c:v>4</c:v>
                </c:pt>
                <c:pt idx="18">
                  <c:v>4</c:v>
                </c:pt>
                <c:pt idx="19">
                  <c:v>3</c:v>
                </c:pt>
                <c:pt idx="20">
                  <c:v>2</c:v>
                </c:pt>
                <c:pt idx="21">
                  <c:v>1</c:v>
                </c:pt>
                <c:pt idx="22">
                  <c:v>1</c:v>
                </c:pt>
                <c:pt idx="23">
                  <c:v>1</c:v>
                </c:pt>
                <c:pt idx="24">
                  <c:v>1</c:v>
                </c:pt>
                <c:pt idx="25">
                  <c:v>1</c:v>
                </c:pt>
                <c:pt idx="26">
                  <c:v>1</c:v>
                </c:pt>
              </c:numCache>
            </c:numRef>
          </c:val>
        </c:ser>
        <c:dLbls>
          <c:showLegendKey val="0"/>
          <c:showVal val="0"/>
          <c:showCatName val="0"/>
          <c:showSerName val="0"/>
          <c:showPercent val="0"/>
          <c:showBubbleSize val="0"/>
        </c:dLbls>
        <c:gapWidth val="150"/>
        <c:axId val="462049792"/>
        <c:axId val="276430848"/>
      </c:barChart>
      <c:catAx>
        <c:axId val="462049792"/>
        <c:scaling>
          <c:orientation val="minMax"/>
        </c:scaling>
        <c:delete val="0"/>
        <c:axPos val="b"/>
        <c:majorTickMark val="out"/>
        <c:minorTickMark val="none"/>
        <c:tickLblPos val="nextTo"/>
        <c:txPr>
          <a:bodyPr rot="-5400000" vert="horz"/>
          <a:lstStyle/>
          <a:p>
            <a:pPr>
              <a:defRPr sz="800"/>
            </a:pPr>
            <a:endParaRPr lang="es-MX"/>
          </a:p>
        </c:txPr>
        <c:crossAx val="276430848"/>
        <c:crosses val="autoZero"/>
        <c:auto val="1"/>
        <c:lblAlgn val="ctr"/>
        <c:lblOffset val="100"/>
        <c:noMultiLvlLbl val="0"/>
      </c:catAx>
      <c:valAx>
        <c:axId val="276430848"/>
        <c:scaling>
          <c:orientation val="minMax"/>
        </c:scaling>
        <c:delete val="0"/>
        <c:axPos val="l"/>
        <c:numFmt formatCode="General" sourceLinked="1"/>
        <c:majorTickMark val="out"/>
        <c:minorTickMark val="none"/>
        <c:tickLblPos val="nextTo"/>
        <c:crossAx val="462049792"/>
        <c:crosses val="autoZero"/>
        <c:crossBetween val="between"/>
      </c:valAx>
    </c:plotArea>
    <c:plotVisOnly val="1"/>
    <c:dispBlanksAs val="gap"/>
    <c:showDLblsOverMax val="0"/>
  </c:chart>
  <c:txPr>
    <a:bodyPr/>
    <a:lstStyle/>
    <a:p>
      <a:pPr>
        <a:defRPr>
          <a:latin typeface="Adobe Caslon Pro" pitchFamily="18" charset="0"/>
        </a:defRPr>
      </a:pPr>
      <a:endParaRPr lang="es-MX"/>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pieChart>
        <c:varyColors val="1"/>
        <c:ser>
          <c:idx val="0"/>
          <c:order val="0"/>
          <c:dLbls>
            <c:dLbl>
              <c:idx val="0"/>
              <c:spPr/>
              <c:txPr>
                <a:bodyPr/>
                <a:lstStyle/>
                <a:p>
                  <a:pPr>
                    <a:defRPr sz="900">
                      <a:solidFill>
                        <a:schemeClr val="bg1"/>
                      </a:solidFill>
                    </a:defRPr>
                  </a:pPr>
                  <a:endParaRPr lang="es-MX"/>
                </a:p>
              </c:txPr>
              <c:showLegendKey val="0"/>
              <c:showVal val="0"/>
              <c:showCatName val="1"/>
              <c:showSerName val="0"/>
              <c:showPercent val="1"/>
              <c:showBubbleSize val="0"/>
            </c:dLbl>
            <c:dLbl>
              <c:idx val="1"/>
              <c:spPr/>
              <c:txPr>
                <a:bodyPr/>
                <a:lstStyle/>
                <a:p>
                  <a:pPr>
                    <a:defRPr sz="900">
                      <a:solidFill>
                        <a:schemeClr val="bg1"/>
                      </a:solidFill>
                    </a:defRPr>
                  </a:pPr>
                  <a:endParaRPr lang="es-MX"/>
                </a:p>
              </c:txPr>
              <c:showLegendKey val="0"/>
              <c:showVal val="0"/>
              <c:showCatName val="1"/>
              <c:showSerName val="0"/>
              <c:showPercent val="1"/>
              <c:showBubbleSize val="0"/>
            </c:dLbl>
            <c:dLbl>
              <c:idx val="2"/>
              <c:spPr/>
              <c:txPr>
                <a:bodyPr/>
                <a:lstStyle/>
                <a:p>
                  <a:pPr>
                    <a:defRPr sz="900">
                      <a:solidFill>
                        <a:schemeClr val="bg1"/>
                      </a:solidFill>
                    </a:defRPr>
                  </a:pPr>
                  <a:endParaRPr lang="es-MX"/>
                </a:p>
              </c:txPr>
              <c:showLegendKey val="0"/>
              <c:showVal val="0"/>
              <c:showCatName val="1"/>
              <c:showSerName val="0"/>
              <c:showPercent val="1"/>
              <c:showBubbleSize val="0"/>
            </c:dLbl>
            <c:dLbl>
              <c:idx val="3"/>
              <c:layout>
                <c:manualLayout>
                  <c:x val="-0.15171166104236972"/>
                  <c:y val="2.6068476515062482E-2"/>
                </c:manualLayout>
              </c:layout>
              <c:spPr/>
              <c:txPr>
                <a:bodyPr/>
                <a:lstStyle/>
                <a:p>
                  <a:pPr>
                    <a:defRPr sz="600"/>
                  </a:pPr>
                  <a:endParaRPr lang="es-MX"/>
                </a:p>
              </c:txPr>
              <c:showLegendKey val="0"/>
              <c:showVal val="0"/>
              <c:showCatName val="1"/>
              <c:showSerName val="0"/>
              <c:showPercent val="1"/>
              <c:showBubbleSize val="0"/>
            </c:dLbl>
            <c:dLbl>
              <c:idx val="4"/>
              <c:delete val="1"/>
            </c:dLbl>
            <c:dLbl>
              <c:idx val="5"/>
              <c:layout>
                <c:manualLayout>
                  <c:x val="0.24501546681664793"/>
                  <c:y val="3.6069651741293535E-2"/>
                </c:manualLayout>
              </c:layout>
              <c:showLegendKey val="0"/>
              <c:showVal val="0"/>
              <c:showCatName val="1"/>
              <c:showSerName val="0"/>
              <c:showPercent val="1"/>
              <c:showBubbleSize val="0"/>
            </c:dLbl>
            <c:txPr>
              <a:bodyPr/>
              <a:lstStyle/>
              <a:p>
                <a:pPr>
                  <a:defRPr sz="900"/>
                </a:pPr>
                <a:endParaRPr lang="es-MX"/>
              </a:p>
            </c:txPr>
            <c:showLegendKey val="0"/>
            <c:showVal val="0"/>
            <c:showCatName val="1"/>
            <c:showSerName val="0"/>
            <c:showPercent val="1"/>
            <c:showBubbleSize val="0"/>
            <c:showLeaderLines val="1"/>
          </c:dLbls>
          <c:cat>
            <c:strRef>
              <c:f>Hoja4!$A$17:$A$22</c:f>
              <c:strCache>
                <c:ptCount val="6"/>
                <c:pt idx="0">
                  <c:v>Nunca</c:v>
                </c:pt>
                <c:pt idx="1">
                  <c:v>Rara vez</c:v>
                </c:pt>
                <c:pt idx="2">
                  <c:v>Algunas veces</c:v>
                </c:pt>
                <c:pt idx="3">
                  <c:v>Frecuentemente </c:v>
                </c:pt>
                <c:pt idx="4">
                  <c:v>No contesta</c:v>
                </c:pt>
                <c:pt idx="5">
                  <c:v>No sabe</c:v>
                </c:pt>
              </c:strCache>
            </c:strRef>
          </c:cat>
          <c:val>
            <c:numRef>
              <c:f>Hoja4!$C$17:$C$22</c:f>
              <c:numCache>
                <c:formatCode>0.00%</c:formatCode>
                <c:ptCount val="6"/>
                <c:pt idx="0" formatCode="0%">
                  <c:v>0.45</c:v>
                </c:pt>
                <c:pt idx="1">
                  <c:v>0.26100000000000001</c:v>
                </c:pt>
                <c:pt idx="2">
                  <c:v>0.245</c:v>
                </c:pt>
                <c:pt idx="3">
                  <c:v>3.7999999999999999E-2</c:v>
                </c:pt>
                <c:pt idx="4">
                  <c:v>1E-3</c:v>
                </c:pt>
                <c:pt idx="5">
                  <c:v>5.0000000000000001E-3</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txPr>
    <a:bodyPr/>
    <a:lstStyle/>
    <a:p>
      <a:pPr>
        <a:defRPr>
          <a:latin typeface="Adobe Caslon Pro" pitchFamily="18" charset="0"/>
        </a:defRPr>
      </a:pPr>
      <a:endParaRPr lang="es-MX"/>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manualLayout>
          <c:layoutTarget val="inner"/>
          <c:xMode val="edge"/>
          <c:yMode val="edge"/>
          <c:x val="0.12097462817147921"/>
          <c:y val="7.45487022455526E-2"/>
          <c:w val="0.55397003499562603"/>
          <c:h val="0.83261956838728501"/>
        </c:manualLayout>
      </c:layout>
      <c:barChart>
        <c:barDir val="col"/>
        <c:grouping val="stacked"/>
        <c:varyColors val="0"/>
        <c:ser>
          <c:idx val="0"/>
          <c:order val="0"/>
          <c:tx>
            <c:strRef>
              <c:f>Vertiente!$A$18</c:f>
              <c:strCache>
                <c:ptCount val="1"/>
                <c:pt idx="0">
                  <c:v>Desarrollo Humano y Social </c:v>
                </c:pt>
              </c:strCache>
            </c:strRef>
          </c:tx>
          <c:invertIfNegative val="0"/>
          <c:dLbls>
            <c:txPr>
              <a:bodyPr rot="-5400000" vert="horz"/>
              <a:lstStyle/>
              <a:p>
                <a:pPr>
                  <a:defRPr>
                    <a:solidFill>
                      <a:schemeClr val="bg1"/>
                    </a:solidFill>
                  </a:defRPr>
                </a:pPr>
                <a:endParaRPr lang="es-MX"/>
              </a:p>
            </c:txPr>
            <c:dLblPos val="ctr"/>
            <c:showLegendKey val="0"/>
            <c:showVal val="1"/>
            <c:showCatName val="0"/>
            <c:showSerName val="0"/>
            <c:showPercent val="0"/>
            <c:showBubbleSize val="0"/>
            <c:showLeaderLines val="0"/>
          </c:dLbls>
          <c:cat>
            <c:numRef>
              <c:f>Vertiente!$B$17:$F$17</c:f>
              <c:numCache>
                <c:formatCode>General</c:formatCode>
                <c:ptCount val="5"/>
                <c:pt idx="0">
                  <c:v>2009</c:v>
                </c:pt>
                <c:pt idx="1">
                  <c:v>2010</c:v>
                </c:pt>
                <c:pt idx="2">
                  <c:v>2011</c:v>
                </c:pt>
                <c:pt idx="3">
                  <c:v>2012</c:v>
                </c:pt>
                <c:pt idx="4">
                  <c:v>2013</c:v>
                </c:pt>
              </c:numCache>
            </c:numRef>
          </c:cat>
          <c:val>
            <c:numRef>
              <c:f>Vertiente!$B$18:$F$18</c:f>
              <c:numCache>
                <c:formatCode>#,##0</c:formatCode>
                <c:ptCount val="5"/>
                <c:pt idx="0">
                  <c:v>1930</c:v>
                </c:pt>
                <c:pt idx="1">
                  <c:v>2362</c:v>
                </c:pt>
                <c:pt idx="2">
                  <c:v>2623</c:v>
                </c:pt>
                <c:pt idx="3">
                  <c:v>2919</c:v>
                </c:pt>
                <c:pt idx="4">
                  <c:v>3200</c:v>
                </c:pt>
              </c:numCache>
            </c:numRef>
          </c:val>
        </c:ser>
        <c:ser>
          <c:idx val="1"/>
          <c:order val="1"/>
          <c:tx>
            <c:strRef>
              <c:f>Vertiente!$A$19</c:f>
              <c:strCache>
                <c:ptCount val="1"/>
                <c:pt idx="0">
                  <c:v>Fortalecimiento y Profesionalización</c:v>
                </c:pt>
              </c:strCache>
            </c:strRef>
          </c:tx>
          <c:invertIfNegative val="0"/>
          <c:dLbls>
            <c:txPr>
              <a:bodyPr/>
              <a:lstStyle/>
              <a:p>
                <a:pPr>
                  <a:defRPr>
                    <a:solidFill>
                      <a:schemeClr val="bg1"/>
                    </a:solidFill>
                  </a:defRPr>
                </a:pPr>
                <a:endParaRPr lang="es-MX"/>
              </a:p>
            </c:txPr>
            <c:dLblPos val="inEnd"/>
            <c:showLegendKey val="0"/>
            <c:showVal val="1"/>
            <c:showCatName val="0"/>
            <c:showSerName val="0"/>
            <c:showPercent val="0"/>
            <c:showBubbleSize val="0"/>
            <c:showLeaderLines val="0"/>
          </c:dLbls>
          <c:cat>
            <c:numRef>
              <c:f>Vertiente!$B$17:$F$17</c:f>
              <c:numCache>
                <c:formatCode>General</c:formatCode>
                <c:ptCount val="5"/>
                <c:pt idx="0">
                  <c:v>2009</c:v>
                </c:pt>
                <c:pt idx="1">
                  <c:v>2010</c:v>
                </c:pt>
                <c:pt idx="2">
                  <c:v>2011</c:v>
                </c:pt>
                <c:pt idx="3">
                  <c:v>2012</c:v>
                </c:pt>
                <c:pt idx="4">
                  <c:v>2013</c:v>
                </c:pt>
              </c:numCache>
            </c:numRef>
          </c:cat>
          <c:val>
            <c:numRef>
              <c:f>Vertiente!$B$19:$F$19</c:f>
              <c:numCache>
                <c:formatCode>#,##0</c:formatCode>
                <c:ptCount val="5"/>
                <c:pt idx="0">
                  <c:v>384</c:v>
                </c:pt>
                <c:pt idx="1">
                  <c:v>483</c:v>
                </c:pt>
                <c:pt idx="2">
                  <c:v>558</c:v>
                </c:pt>
                <c:pt idx="3">
                  <c:v>605</c:v>
                </c:pt>
                <c:pt idx="4">
                  <c:v>498</c:v>
                </c:pt>
              </c:numCache>
            </c:numRef>
          </c:val>
        </c:ser>
        <c:ser>
          <c:idx val="2"/>
          <c:order val="2"/>
          <c:tx>
            <c:strRef>
              <c:f>Vertiente!$A$20</c:f>
              <c:strCache>
                <c:ptCount val="1"/>
                <c:pt idx="0">
                  <c:v>Investigación para el Desarrollo Social </c:v>
                </c:pt>
              </c:strCache>
            </c:strRef>
          </c:tx>
          <c:invertIfNegative val="0"/>
          <c:dLbls>
            <c:dLblPos val="ctr"/>
            <c:showLegendKey val="0"/>
            <c:showVal val="1"/>
            <c:showCatName val="0"/>
            <c:showSerName val="0"/>
            <c:showPercent val="0"/>
            <c:showBubbleSize val="0"/>
            <c:showLeaderLines val="0"/>
          </c:dLbls>
          <c:cat>
            <c:numRef>
              <c:f>Vertiente!$B$17:$F$17</c:f>
              <c:numCache>
                <c:formatCode>General</c:formatCode>
                <c:ptCount val="5"/>
                <c:pt idx="0">
                  <c:v>2009</c:v>
                </c:pt>
                <c:pt idx="1">
                  <c:v>2010</c:v>
                </c:pt>
                <c:pt idx="2">
                  <c:v>2011</c:v>
                </c:pt>
                <c:pt idx="3">
                  <c:v>2012</c:v>
                </c:pt>
                <c:pt idx="4">
                  <c:v>2013</c:v>
                </c:pt>
              </c:numCache>
            </c:numRef>
          </c:cat>
          <c:val>
            <c:numRef>
              <c:f>Vertiente!$B$20:$F$20</c:f>
              <c:numCache>
                <c:formatCode>#,##0</c:formatCode>
                <c:ptCount val="5"/>
                <c:pt idx="0">
                  <c:v>95</c:v>
                </c:pt>
                <c:pt idx="1">
                  <c:v>108</c:v>
                </c:pt>
                <c:pt idx="2">
                  <c:v>111</c:v>
                </c:pt>
                <c:pt idx="3">
                  <c:v>138</c:v>
                </c:pt>
                <c:pt idx="4">
                  <c:v>67</c:v>
                </c:pt>
              </c:numCache>
            </c:numRef>
          </c:val>
        </c:ser>
        <c:dLbls>
          <c:showLegendKey val="0"/>
          <c:showVal val="0"/>
          <c:showCatName val="0"/>
          <c:showSerName val="0"/>
          <c:showPercent val="0"/>
          <c:showBubbleSize val="0"/>
        </c:dLbls>
        <c:gapWidth val="150"/>
        <c:overlap val="100"/>
        <c:axId val="441307648"/>
        <c:axId val="277062208"/>
      </c:barChart>
      <c:catAx>
        <c:axId val="441307648"/>
        <c:scaling>
          <c:orientation val="minMax"/>
        </c:scaling>
        <c:delete val="0"/>
        <c:axPos val="b"/>
        <c:numFmt formatCode="General" sourceLinked="1"/>
        <c:majorTickMark val="out"/>
        <c:minorTickMark val="none"/>
        <c:tickLblPos val="nextTo"/>
        <c:crossAx val="277062208"/>
        <c:crosses val="autoZero"/>
        <c:auto val="1"/>
        <c:lblAlgn val="ctr"/>
        <c:lblOffset val="100"/>
        <c:noMultiLvlLbl val="0"/>
      </c:catAx>
      <c:valAx>
        <c:axId val="277062208"/>
        <c:scaling>
          <c:orientation val="minMax"/>
        </c:scaling>
        <c:delete val="0"/>
        <c:axPos val="l"/>
        <c:numFmt formatCode="#,##0" sourceLinked="1"/>
        <c:majorTickMark val="out"/>
        <c:minorTickMark val="none"/>
        <c:tickLblPos val="nextTo"/>
        <c:crossAx val="441307648"/>
        <c:crosses val="autoZero"/>
        <c:crossBetween val="between"/>
      </c:valAx>
    </c:plotArea>
    <c:legend>
      <c:legendPos val="r"/>
      <c:overlay val="0"/>
    </c:legend>
    <c:plotVisOnly val="1"/>
    <c:dispBlanksAs val="gap"/>
    <c:showDLblsOverMax val="0"/>
  </c:chart>
  <c:txPr>
    <a:bodyPr/>
    <a:lstStyle/>
    <a:p>
      <a:pPr>
        <a:defRPr>
          <a:latin typeface="Adobe Caslon Pro" pitchFamily="18" charset="0"/>
        </a:defRPr>
      </a:pPr>
      <a:endParaRPr lang="es-MX"/>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6.6995039716951704E-3"/>
          <c:y val="7.8456851683709652E-2"/>
          <c:w val="0.99247470718142616"/>
          <c:h val="0.74221802142407156"/>
        </c:manualLayout>
      </c:layout>
      <c:pie3DChart>
        <c:varyColors val="1"/>
        <c:ser>
          <c:idx val="0"/>
          <c:order val="0"/>
          <c:explosion val="7"/>
          <c:cat>
            <c:strRef>
              <c:f>TiempoTrabajo!$A$4:$A$7</c:f>
              <c:strCache>
                <c:ptCount val="4"/>
                <c:pt idx="0">
                  <c:v>0-1 año</c:v>
                </c:pt>
                <c:pt idx="1">
                  <c:v>2-3 años</c:v>
                </c:pt>
                <c:pt idx="2">
                  <c:v>4-5 años</c:v>
                </c:pt>
                <c:pt idx="3">
                  <c:v>Más de 5 años</c:v>
                </c:pt>
              </c:strCache>
            </c:strRef>
          </c:cat>
          <c:val>
            <c:numRef>
              <c:f>TiempoTrabajo!$J$4:$J$7</c:f>
              <c:numCache>
                <c:formatCode>0.0%</c:formatCode>
                <c:ptCount val="4"/>
                <c:pt idx="0">
                  <c:v>0.16789844738547538</c:v>
                </c:pt>
                <c:pt idx="1">
                  <c:v>0.26038965706363598</c:v>
                </c:pt>
                <c:pt idx="2">
                  <c:v>0.14170229631263925</c:v>
                </c:pt>
                <c:pt idx="3">
                  <c:v>0.43000959923825288</c:v>
                </c:pt>
              </c:numCache>
            </c:numRef>
          </c:val>
        </c:ser>
        <c:dLbls>
          <c:showLegendKey val="0"/>
          <c:showVal val="0"/>
          <c:showCatName val="0"/>
          <c:showSerName val="0"/>
          <c:showPercent val="1"/>
          <c:showBubbleSize val="0"/>
          <c:showLeaderLines val="0"/>
        </c:dLbls>
      </c:pie3DChart>
    </c:plotArea>
    <c:legend>
      <c:legendPos val="b"/>
      <c:overlay val="0"/>
    </c:legend>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col"/>
        <c:grouping val="clustered"/>
        <c:varyColors val="0"/>
        <c:ser>
          <c:idx val="0"/>
          <c:order val="0"/>
          <c:tx>
            <c:strRef>
              <c:f>Hoja1!$B$1</c:f>
              <c:strCache>
                <c:ptCount val="1"/>
                <c:pt idx="0">
                  <c:v>Actores sociales</c:v>
                </c:pt>
              </c:strCache>
            </c:strRef>
          </c:tx>
          <c:invertIfNegative val="0"/>
          <c:dLbls>
            <c:txPr>
              <a:bodyPr rot="-5400000" vert="horz"/>
              <a:lstStyle/>
              <a:p>
                <a:pPr>
                  <a:defRPr/>
                </a:pPr>
                <a:endParaRPr lang="es-MX"/>
              </a:p>
            </c:txPr>
            <c:showLegendKey val="0"/>
            <c:showVal val="1"/>
            <c:showCatName val="0"/>
            <c:showSerName val="0"/>
            <c:showPercent val="0"/>
            <c:showBubbleSize val="0"/>
            <c:showLeaderLines val="0"/>
          </c:dLbls>
          <c:cat>
            <c:strRef>
              <c:f>Hoja1!$A$2:$A$33</c:f>
              <c:strCache>
                <c:ptCount val="32"/>
                <c:pt idx="0">
                  <c:v>Distrito Federal</c:v>
                </c:pt>
                <c:pt idx="1">
                  <c:v>Estado de México</c:v>
                </c:pt>
                <c:pt idx="2">
                  <c:v>Oaxaca</c:v>
                </c:pt>
                <c:pt idx="3">
                  <c:v>Baja California</c:v>
                </c:pt>
                <c:pt idx="4">
                  <c:v>Puebla</c:v>
                </c:pt>
                <c:pt idx="5">
                  <c:v>Michoacán de Ocampo</c:v>
                </c:pt>
                <c:pt idx="6">
                  <c:v>Veracruz de Ignacio de la llave</c:v>
                </c:pt>
                <c:pt idx="7">
                  <c:v>Guanajuato</c:v>
                </c:pt>
                <c:pt idx="8">
                  <c:v>Chihuahua</c:v>
                </c:pt>
                <c:pt idx="9">
                  <c:v>Jalisco</c:v>
                </c:pt>
                <c:pt idx="10">
                  <c:v>Chiapas</c:v>
                </c:pt>
                <c:pt idx="11">
                  <c:v>Coahuila de Zaragoza</c:v>
                </c:pt>
                <c:pt idx="12">
                  <c:v>Morelos</c:v>
                </c:pt>
                <c:pt idx="13">
                  <c:v>Sinaloa</c:v>
                </c:pt>
                <c:pt idx="14">
                  <c:v>Durango</c:v>
                </c:pt>
                <c:pt idx="15">
                  <c:v>Nuevo León</c:v>
                </c:pt>
                <c:pt idx="16">
                  <c:v>Sonora</c:v>
                </c:pt>
                <c:pt idx="17">
                  <c:v>Guerrero</c:v>
                </c:pt>
                <c:pt idx="18">
                  <c:v>Querétaro</c:v>
                </c:pt>
                <c:pt idx="19">
                  <c:v>Hidalgo</c:v>
                </c:pt>
                <c:pt idx="20">
                  <c:v>Yucatán</c:v>
                </c:pt>
                <c:pt idx="21">
                  <c:v>Tamaulipas</c:v>
                </c:pt>
                <c:pt idx="22">
                  <c:v>Tlaxcala</c:v>
                </c:pt>
                <c:pt idx="23">
                  <c:v>Colima</c:v>
                </c:pt>
                <c:pt idx="24">
                  <c:v>Nayarit</c:v>
                </c:pt>
                <c:pt idx="25">
                  <c:v>San Luis Potosí</c:v>
                </c:pt>
                <c:pt idx="26">
                  <c:v>Quintana Roo</c:v>
                </c:pt>
                <c:pt idx="27">
                  <c:v>Campeche</c:v>
                </c:pt>
                <c:pt idx="28">
                  <c:v>Zacatecas</c:v>
                </c:pt>
                <c:pt idx="29">
                  <c:v>Baja California Sur</c:v>
                </c:pt>
                <c:pt idx="30">
                  <c:v>Tabasco</c:v>
                </c:pt>
                <c:pt idx="31">
                  <c:v>Aguascalientes</c:v>
                </c:pt>
              </c:strCache>
            </c:strRef>
          </c:cat>
          <c:val>
            <c:numRef>
              <c:f>Hoja1!$B$2:$B$33</c:f>
              <c:numCache>
                <c:formatCode>0</c:formatCode>
                <c:ptCount val="32"/>
                <c:pt idx="0">
                  <c:v>653</c:v>
                </c:pt>
                <c:pt idx="1">
                  <c:v>180.4</c:v>
                </c:pt>
                <c:pt idx="2">
                  <c:v>197</c:v>
                </c:pt>
                <c:pt idx="3">
                  <c:v>159</c:v>
                </c:pt>
                <c:pt idx="4">
                  <c:v>130</c:v>
                </c:pt>
                <c:pt idx="5">
                  <c:v>144.4</c:v>
                </c:pt>
                <c:pt idx="6">
                  <c:v>171.8</c:v>
                </c:pt>
                <c:pt idx="7">
                  <c:v>98.8</c:v>
                </c:pt>
                <c:pt idx="8">
                  <c:v>140.19999999999999</c:v>
                </c:pt>
                <c:pt idx="9">
                  <c:v>120</c:v>
                </c:pt>
                <c:pt idx="10">
                  <c:v>99</c:v>
                </c:pt>
                <c:pt idx="11">
                  <c:v>106.4</c:v>
                </c:pt>
                <c:pt idx="12">
                  <c:v>71.400000000000006</c:v>
                </c:pt>
                <c:pt idx="13">
                  <c:v>69.8</c:v>
                </c:pt>
                <c:pt idx="14">
                  <c:v>79</c:v>
                </c:pt>
                <c:pt idx="15">
                  <c:v>98.2</c:v>
                </c:pt>
                <c:pt idx="16">
                  <c:v>78.8</c:v>
                </c:pt>
                <c:pt idx="17">
                  <c:v>60.8</c:v>
                </c:pt>
                <c:pt idx="18">
                  <c:v>72.400000000000006</c:v>
                </c:pt>
                <c:pt idx="19">
                  <c:v>65</c:v>
                </c:pt>
                <c:pt idx="20">
                  <c:v>50.4</c:v>
                </c:pt>
                <c:pt idx="21">
                  <c:v>45.8</c:v>
                </c:pt>
                <c:pt idx="22">
                  <c:v>48</c:v>
                </c:pt>
                <c:pt idx="23">
                  <c:v>36</c:v>
                </c:pt>
                <c:pt idx="24">
                  <c:v>33.4</c:v>
                </c:pt>
                <c:pt idx="25">
                  <c:v>38.6</c:v>
                </c:pt>
                <c:pt idx="26">
                  <c:v>30.8</c:v>
                </c:pt>
                <c:pt idx="27">
                  <c:v>24.6</c:v>
                </c:pt>
                <c:pt idx="28">
                  <c:v>28.4</c:v>
                </c:pt>
                <c:pt idx="29">
                  <c:v>22.4</c:v>
                </c:pt>
                <c:pt idx="30">
                  <c:v>32</c:v>
                </c:pt>
                <c:pt idx="31">
                  <c:v>30.4</c:v>
                </c:pt>
              </c:numCache>
            </c:numRef>
          </c:val>
        </c:ser>
        <c:dLbls>
          <c:showLegendKey val="0"/>
          <c:showVal val="1"/>
          <c:showCatName val="0"/>
          <c:showSerName val="0"/>
          <c:showPercent val="0"/>
          <c:showBubbleSize val="0"/>
        </c:dLbls>
        <c:gapWidth val="75"/>
        <c:axId val="441308160"/>
        <c:axId val="277065088"/>
      </c:barChart>
      <c:catAx>
        <c:axId val="441308160"/>
        <c:scaling>
          <c:orientation val="minMax"/>
        </c:scaling>
        <c:delete val="0"/>
        <c:axPos val="b"/>
        <c:majorTickMark val="none"/>
        <c:minorTickMark val="none"/>
        <c:tickLblPos val="nextTo"/>
        <c:txPr>
          <a:bodyPr rot="-5400000" vert="horz"/>
          <a:lstStyle/>
          <a:p>
            <a:pPr>
              <a:defRPr sz="800"/>
            </a:pPr>
            <a:endParaRPr lang="es-MX"/>
          </a:p>
        </c:txPr>
        <c:crossAx val="277065088"/>
        <c:crosses val="autoZero"/>
        <c:auto val="1"/>
        <c:lblAlgn val="ctr"/>
        <c:lblOffset val="100"/>
        <c:noMultiLvlLbl val="0"/>
      </c:catAx>
      <c:valAx>
        <c:axId val="277065088"/>
        <c:scaling>
          <c:orientation val="minMax"/>
        </c:scaling>
        <c:delete val="0"/>
        <c:axPos val="l"/>
        <c:numFmt formatCode="0" sourceLinked="1"/>
        <c:majorTickMark val="none"/>
        <c:minorTickMark val="none"/>
        <c:tickLblPos val="nextTo"/>
        <c:crossAx val="441308160"/>
        <c:crosses val="autoZero"/>
        <c:crossBetween val="between"/>
      </c:valAx>
    </c:plotArea>
    <c:plotVisOnly val="1"/>
    <c:dispBlanksAs val="gap"/>
    <c:showDLblsOverMax val="0"/>
  </c:chart>
  <c:txPr>
    <a:bodyPr/>
    <a:lstStyle/>
    <a:p>
      <a:pPr>
        <a:defRPr>
          <a:latin typeface="Adobe Caslon Pro" pitchFamily="18" charset="0"/>
        </a:defRPr>
      </a:pPr>
      <a:endParaRPr lang="es-MX"/>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barChart>
        <c:barDir val="col"/>
        <c:grouping val="clustered"/>
        <c:varyColors val="0"/>
        <c:ser>
          <c:idx val="0"/>
          <c:order val="0"/>
          <c:tx>
            <c:strRef>
              <c:f>[Indicadores.xlsx]Pob_ext_pot!$D$1</c:f>
              <c:strCache>
                <c:ptCount val="1"/>
                <c:pt idx="0">
                  <c:v>Concentración pobreza</c:v>
                </c:pt>
              </c:strCache>
            </c:strRef>
          </c:tx>
          <c:invertIfNegative val="0"/>
          <c:cat>
            <c:strRef>
              <c:f>[Indicadores.xlsx]Pob_ext_pot!$A$2:$A$33</c:f>
              <c:strCache>
                <c:ptCount val="32"/>
                <c:pt idx="0">
                  <c:v>Distrito Federal</c:v>
                </c:pt>
                <c:pt idx="1">
                  <c:v>México</c:v>
                </c:pt>
                <c:pt idx="2">
                  <c:v>Oaxaca</c:v>
                </c:pt>
                <c:pt idx="3">
                  <c:v>Puebla</c:v>
                </c:pt>
                <c:pt idx="4">
                  <c:v>Veracruz</c:v>
                </c:pt>
                <c:pt idx="5">
                  <c:v>Baja California</c:v>
                </c:pt>
                <c:pt idx="6">
                  <c:v>Michoacán</c:v>
                </c:pt>
                <c:pt idx="7">
                  <c:v>Coahuila</c:v>
                </c:pt>
                <c:pt idx="8">
                  <c:v>Jalisco</c:v>
                </c:pt>
                <c:pt idx="9">
                  <c:v>Guanajuato</c:v>
                </c:pt>
                <c:pt idx="10">
                  <c:v>Colima</c:v>
                </c:pt>
                <c:pt idx="11">
                  <c:v>Guerrero</c:v>
                </c:pt>
                <c:pt idx="12">
                  <c:v>Chiapas</c:v>
                </c:pt>
                <c:pt idx="13">
                  <c:v>Hidalgo</c:v>
                </c:pt>
                <c:pt idx="14">
                  <c:v>Durango</c:v>
                </c:pt>
                <c:pt idx="15">
                  <c:v>Morelos</c:v>
                </c:pt>
                <c:pt idx="16">
                  <c:v>Querétaro</c:v>
                </c:pt>
                <c:pt idx="17">
                  <c:v>Sinaloa</c:v>
                </c:pt>
                <c:pt idx="18">
                  <c:v>Sonora</c:v>
                </c:pt>
                <c:pt idx="19">
                  <c:v>Nuevo León</c:v>
                </c:pt>
                <c:pt idx="20">
                  <c:v>Yucatán</c:v>
                </c:pt>
                <c:pt idx="21">
                  <c:v>Tlaxcala</c:v>
                </c:pt>
                <c:pt idx="22">
                  <c:v>San Luis Potosí</c:v>
                </c:pt>
                <c:pt idx="23">
                  <c:v>Nayarit</c:v>
                </c:pt>
                <c:pt idx="24">
                  <c:v>Tamaulipas</c:v>
                </c:pt>
                <c:pt idx="25">
                  <c:v>Chihuahua</c:v>
                </c:pt>
                <c:pt idx="26">
                  <c:v>Campeche</c:v>
                </c:pt>
                <c:pt idx="27">
                  <c:v>Zacatecas</c:v>
                </c:pt>
                <c:pt idx="28">
                  <c:v>Quintana Roo</c:v>
                </c:pt>
                <c:pt idx="29">
                  <c:v>Baja California Sur</c:v>
                </c:pt>
                <c:pt idx="30">
                  <c:v>Aguascalientes</c:v>
                </c:pt>
                <c:pt idx="31">
                  <c:v>Tabasco</c:v>
                </c:pt>
              </c:strCache>
            </c:strRef>
          </c:cat>
          <c:val>
            <c:numRef>
              <c:f>[Indicadores.xlsx]Pob_ext_pot!$D$2:$D$33</c:f>
              <c:numCache>
                <c:formatCode>0.0</c:formatCode>
                <c:ptCount val="32"/>
                <c:pt idx="0">
                  <c:v>1.8997827208895861</c:v>
                </c:pt>
                <c:pt idx="1">
                  <c:v>8.2025422956991267</c:v>
                </c:pt>
                <c:pt idx="2">
                  <c:v>7.9502990298336202</c:v>
                </c:pt>
                <c:pt idx="3">
                  <c:v>9.1862138356051517</c:v>
                </c:pt>
                <c:pt idx="4">
                  <c:v>9.7316060872846197</c:v>
                </c:pt>
                <c:pt idx="5">
                  <c:v>0.79375832144297598</c:v>
                </c:pt>
                <c:pt idx="6">
                  <c:v>5.6409993971697316</c:v>
                </c:pt>
                <c:pt idx="7">
                  <c:v>0.80400209906366049</c:v>
                </c:pt>
                <c:pt idx="8">
                  <c:v>3.8700835722247038</c:v>
                </c:pt>
                <c:pt idx="9">
                  <c:v>3.3988437802228195</c:v>
                </c:pt>
                <c:pt idx="10">
                  <c:v>0.23791412054003344</c:v>
                </c:pt>
                <c:pt idx="11">
                  <c:v>9.6410340924368629</c:v>
                </c:pt>
                <c:pt idx="12">
                  <c:v>14.131356281361271</c:v>
                </c:pt>
                <c:pt idx="13">
                  <c:v>2.4001665372822352</c:v>
                </c:pt>
                <c:pt idx="14">
                  <c:v>1.110482741273062</c:v>
                </c:pt>
                <c:pt idx="15">
                  <c:v>1.016345807727504</c:v>
                </c:pt>
                <c:pt idx="16">
                  <c:v>0.85621847609713064</c:v>
                </c:pt>
                <c:pt idx="17">
                  <c:v>1.1295130952948838</c:v>
                </c:pt>
                <c:pt idx="18">
                  <c:v>1.212937865113475</c:v>
                </c:pt>
                <c:pt idx="19">
                  <c:v>1.0194336865022398</c:v>
                </c:pt>
                <c:pt idx="20">
                  <c:v>1.7400457110144458</c:v>
                </c:pt>
                <c:pt idx="21">
                  <c:v>0.97359256480424961</c:v>
                </c:pt>
                <c:pt idx="22">
                  <c:v>2.9746507704517762</c:v>
                </c:pt>
                <c:pt idx="23">
                  <c:v>1.2029543019962801</c:v>
                </c:pt>
                <c:pt idx="24">
                  <c:v>1.3891984959601678</c:v>
                </c:pt>
                <c:pt idx="25">
                  <c:v>1.1821544893507285</c:v>
                </c:pt>
                <c:pt idx="26">
                  <c:v>0.7870621348865221</c:v>
                </c:pt>
                <c:pt idx="27">
                  <c:v>1.0000563798090889</c:v>
                </c:pt>
                <c:pt idx="28">
                  <c:v>1.0595934582073741</c:v>
                </c:pt>
                <c:pt idx="29">
                  <c:v>0.22374110391666199</c:v>
                </c:pt>
                <c:pt idx="30">
                  <c:v>0.36412682854900258</c:v>
                </c:pt>
                <c:pt idx="31">
                  <c:v>2.8692899179890587</c:v>
                </c:pt>
              </c:numCache>
            </c:numRef>
          </c:val>
        </c:ser>
        <c:dLbls>
          <c:showLegendKey val="0"/>
          <c:showVal val="0"/>
          <c:showCatName val="0"/>
          <c:showSerName val="0"/>
          <c:showPercent val="0"/>
          <c:showBubbleSize val="0"/>
        </c:dLbls>
        <c:gapWidth val="150"/>
        <c:axId val="441309184"/>
        <c:axId val="277066816"/>
      </c:barChart>
      <c:lineChart>
        <c:grouping val="standard"/>
        <c:varyColors val="0"/>
        <c:ser>
          <c:idx val="1"/>
          <c:order val="1"/>
          <c:tx>
            <c:strRef>
              <c:f>[Indicadores.xlsx]Pob_ext_pot!$E$1</c:f>
              <c:strCache>
                <c:ptCount val="1"/>
                <c:pt idx="0">
                  <c:v>Concentración incidencia AS</c:v>
                </c:pt>
              </c:strCache>
            </c:strRef>
          </c:tx>
          <c:marker>
            <c:symbol val="none"/>
          </c:marker>
          <c:cat>
            <c:strRef>
              <c:f>[Indicadores.xlsx]Pob_ext_pot!$A$2:$A$33</c:f>
              <c:strCache>
                <c:ptCount val="32"/>
                <c:pt idx="0">
                  <c:v>Distrito Federal</c:v>
                </c:pt>
                <c:pt idx="1">
                  <c:v>México</c:v>
                </c:pt>
                <c:pt idx="2">
                  <c:v>Oaxaca</c:v>
                </c:pt>
                <c:pt idx="3">
                  <c:v>Puebla</c:v>
                </c:pt>
                <c:pt idx="4">
                  <c:v>Veracruz</c:v>
                </c:pt>
                <c:pt idx="5">
                  <c:v>Baja California</c:v>
                </c:pt>
                <c:pt idx="6">
                  <c:v>Michoacán</c:v>
                </c:pt>
                <c:pt idx="7">
                  <c:v>Coahuila</c:v>
                </c:pt>
                <c:pt idx="8">
                  <c:v>Jalisco</c:v>
                </c:pt>
                <c:pt idx="9">
                  <c:v>Guanajuato</c:v>
                </c:pt>
                <c:pt idx="10">
                  <c:v>Colima</c:v>
                </c:pt>
                <c:pt idx="11">
                  <c:v>Guerrero</c:v>
                </c:pt>
                <c:pt idx="12">
                  <c:v>Chiapas</c:v>
                </c:pt>
                <c:pt idx="13">
                  <c:v>Hidalgo</c:v>
                </c:pt>
                <c:pt idx="14">
                  <c:v>Durango</c:v>
                </c:pt>
                <c:pt idx="15">
                  <c:v>Morelos</c:v>
                </c:pt>
                <c:pt idx="16">
                  <c:v>Querétaro</c:v>
                </c:pt>
                <c:pt idx="17">
                  <c:v>Sinaloa</c:v>
                </c:pt>
                <c:pt idx="18">
                  <c:v>Sonora</c:v>
                </c:pt>
                <c:pt idx="19">
                  <c:v>Nuevo León</c:v>
                </c:pt>
                <c:pt idx="20">
                  <c:v>Yucatán</c:v>
                </c:pt>
                <c:pt idx="21">
                  <c:v>Tlaxcala</c:v>
                </c:pt>
                <c:pt idx="22">
                  <c:v>San Luis Potosí</c:v>
                </c:pt>
                <c:pt idx="23">
                  <c:v>Nayarit</c:v>
                </c:pt>
                <c:pt idx="24">
                  <c:v>Tamaulipas</c:v>
                </c:pt>
                <c:pt idx="25">
                  <c:v>Chihuahua</c:v>
                </c:pt>
                <c:pt idx="26">
                  <c:v>Campeche</c:v>
                </c:pt>
                <c:pt idx="27">
                  <c:v>Zacatecas</c:v>
                </c:pt>
                <c:pt idx="28">
                  <c:v>Quintana Roo</c:v>
                </c:pt>
                <c:pt idx="29">
                  <c:v>Baja California Sur</c:v>
                </c:pt>
                <c:pt idx="30">
                  <c:v>Aguascalientes</c:v>
                </c:pt>
                <c:pt idx="31">
                  <c:v>Tabasco</c:v>
                </c:pt>
              </c:strCache>
            </c:strRef>
          </c:cat>
          <c:val>
            <c:numRef>
              <c:f>[Indicadores.xlsx]Pob_ext_pot!$E$2:$E$33</c:f>
              <c:numCache>
                <c:formatCode>0.00</c:formatCode>
                <c:ptCount val="32"/>
                <c:pt idx="0">
                  <c:v>11.82033096926715</c:v>
                </c:pt>
                <c:pt idx="1">
                  <c:v>8.4869976359338057</c:v>
                </c:pt>
                <c:pt idx="2">
                  <c:v>7.1394799054373532</c:v>
                </c:pt>
                <c:pt idx="3">
                  <c:v>5.2718676122931889</c:v>
                </c:pt>
                <c:pt idx="4">
                  <c:v>5.0118203309692673</c:v>
                </c:pt>
                <c:pt idx="5">
                  <c:v>4.7044917257683334</c:v>
                </c:pt>
                <c:pt idx="6">
                  <c:v>4.2080378250591011</c:v>
                </c:pt>
                <c:pt idx="7">
                  <c:v>3.9716312056737588</c:v>
                </c:pt>
                <c:pt idx="8">
                  <c:v>3.640661938534278</c:v>
                </c:pt>
                <c:pt idx="9">
                  <c:v>3.5697399527186802</c:v>
                </c:pt>
                <c:pt idx="10">
                  <c:v>3.4278959810874712</c:v>
                </c:pt>
                <c:pt idx="11">
                  <c:v>3.262411347517745</c:v>
                </c:pt>
                <c:pt idx="12">
                  <c:v>2.8841607565011929</c:v>
                </c:pt>
                <c:pt idx="13">
                  <c:v>2.8368794326240923</c:v>
                </c:pt>
                <c:pt idx="14">
                  <c:v>2.7186761229314418</c:v>
                </c:pt>
                <c:pt idx="15">
                  <c:v>2.6950354609929081</c:v>
                </c:pt>
                <c:pt idx="16">
                  <c:v>2.6950354609929081</c:v>
                </c:pt>
                <c:pt idx="17">
                  <c:v>2.4822695035460987</c:v>
                </c:pt>
                <c:pt idx="18">
                  <c:v>2.3877068557919756</c:v>
                </c:pt>
                <c:pt idx="19">
                  <c:v>2.3640661938534167</c:v>
                </c:pt>
                <c:pt idx="20">
                  <c:v>2.0330969267139478</c:v>
                </c:pt>
                <c:pt idx="21">
                  <c:v>1.5839243498817959</c:v>
                </c:pt>
                <c:pt idx="22">
                  <c:v>1.513002364066194</c:v>
                </c:pt>
                <c:pt idx="23">
                  <c:v>1.3711583924349833</c:v>
                </c:pt>
                <c:pt idx="24">
                  <c:v>1.252955082742317</c:v>
                </c:pt>
                <c:pt idx="25">
                  <c:v>1.2293144208037821</c:v>
                </c:pt>
                <c:pt idx="26">
                  <c:v>1.2056737588652433</c:v>
                </c:pt>
                <c:pt idx="27">
                  <c:v>1.111111111111112</c:v>
                </c:pt>
                <c:pt idx="28">
                  <c:v>0.87470449172576903</c:v>
                </c:pt>
                <c:pt idx="29">
                  <c:v>0.82742316784869896</c:v>
                </c:pt>
                <c:pt idx="30">
                  <c:v>0.780141843971631</c:v>
                </c:pt>
                <c:pt idx="31">
                  <c:v>0.63829787234043089</c:v>
                </c:pt>
              </c:numCache>
            </c:numRef>
          </c:val>
          <c:smooth val="0"/>
        </c:ser>
        <c:dLbls>
          <c:showLegendKey val="0"/>
          <c:showVal val="0"/>
          <c:showCatName val="0"/>
          <c:showSerName val="0"/>
          <c:showPercent val="0"/>
          <c:showBubbleSize val="0"/>
        </c:dLbls>
        <c:marker val="1"/>
        <c:smooth val="0"/>
        <c:axId val="441309184"/>
        <c:axId val="277066816"/>
      </c:lineChart>
      <c:catAx>
        <c:axId val="441309184"/>
        <c:scaling>
          <c:orientation val="minMax"/>
        </c:scaling>
        <c:delete val="0"/>
        <c:axPos val="b"/>
        <c:majorTickMark val="out"/>
        <c:minorTickMark val="none"/>
        <c:tickLblPos val="nextTo"/>
        <c:txPr>
          <a:bodyPr rot="-5400000" vert="horz"/>
          <a:lstStyle/>
          <a:p>
            <a:pPr>
              <a:defRPr sz="800"/>
            </a:pPr>
            <a:endParaRPr lang="es-MX"/>
          </a:p>
        </c:txPr>
        <c:crossAx val="277066816"/>
        <c:crosses val="autoZero"/>
        <c:auto val="1"/>
        <c:lblAlgn val="ctr"/>
        <c:lblOffset val="100"/>
        <c:noMultiLvlLbl val="0"/>
      </c:catAx>
      <c:valAx>
        <c:axId val="277066816"/>
        <c:scaling>
          <c:orientation val="minMax"/>
        </c:scaling>
        <c:delete val="0"/>
        <c:axPos val="l"/>
        <c:numFmt formatCode="0" sourceLinked="0"/>
        <c:majorTickMark val="out"/>
        <c:minorTickMark val="none"/>
        <c:tickLblPos val="nextTo"/>
        <c:crossAx val="441309184"/>
        <c:crosses val="autoZero"/>
        <c:crossBetween val="between"/>
        <c:majorUnit val="4"/>
      </c:valAx>
    </c:plotArea>
    <c:legend>
      <c:legendPos val="t"/>
      <c:overlay val="0"/>
    </c:legend>
    <c:plotVisOnly val="1"/>
    <c:dispBlanksAs val="gap"/>
    <c:showDLblsOverMax val="0"/>
  </c:chart>
  <c:txPr>
    <a:bodyPr/>
    <a:lstStyle/>
    <a:p>
      <a:pPr>
        <a:defRPr>
          <a:latin typeface="Adobe Caslon Pro" pitchFamily="18" charset="0"/>
        </a:defRPr>
      </a:pPr>
      <a:endParaRPr lang="es-MX"/>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barChart>
        <c:barDir val="col"/>
        <c:grouping val="clustered"/>
        <c:varyColors val="0"/>
        <c:ser>
          <c:idx val="0"/>
          <c:order val="0"/>
          <c:tx>
            <c:strRef>
              <c:f>[Indicadores.xlsx]Gini_pot!$B$2</c:f>
              <c:strCache>
                <c:ptCount val="1"/>
                <c:pt idx="0">
                  <c:v>Gini</c:v>
                </c:pt>
              </c:strCache>
            </c:strRef>
          </c:tx>
          <c:invertIfNegative val="0"/>
          <c:cat>
            <c:strRef>
              <c:f>[Indicadores.xlsx]Gini_pot!$A$3:$A$34</c:f>
              <c:strCache>
                <c:ptCount val="32"/>
                <c:pt idx="0">
                  <c:v>Chiapas</c:v>
                </c:pt>
                <c:pt idx="1">
                  <c:v>Campeche</c:v>
                </c:pt>
                <c:pt idx="2">
                  <c:v>Guerrero</c:v>
                </c:pt>
                <c:pt idx="3">
                  <c:v>Zacatecas</c:v>
                </c:pt>
                <c:pt idx="4">
                  <c:v>Tabasco</c:v>
                </c:pt>
                <c:pt idx="5">
                  <c:v>Oaxaca</c:v>
                </c:pt>
                <c:pt idx="6">
                  <c:v>Querétaro</c:v>
                </c:pt>
                <c:pt idx="7">
                  <c:v>Chihuahua</c:v>
                </c:pt>
                <c:pt idx="8">
                  <c:v>Durango</c:v>
                </c:pt>
                <c:pt idx="9">
                  <c:v>Nayarit</c:v>
                </c:pt>
                <c:pt idx="10">
                  <c:v>Veracruz</c:v>
                </c:pt>
                <c:pt idx="11">
                  <c:v>Baja California Sur</c:v>
                </c:pt>
                <c:pt idx="12">
                  <c:v>San Luis Potosí</c:v>
                </c:pt>
                <c:pt idx="13">
                  <c:v>Puebla</c:v>
                </c:pt>
                <c:pt idx="14">
                  <c:v>Nuevo León</c:v>
                </c:pt>
                <c:pt idx="15">
                  <c:v>Hidalgo</c:v>
                </c:pt>
                <c:pt idx="16">
                  <c:v>Aguascalientes</c:v>
                </c:pt>
                <c:pt idx="17">
                  <c:v>Quintana Roo</c:v>
                </c:pt>
                <c:pt idx="18">
                  <c:v>Sonora</c:v>
                </c:pt>
                <c:pt idx="19">
                  <c:v>Jalisco</c:v>
                </c:pt>
                <c:pt idx="20">
                  <c:v>Michoacán</c:v>
                </c:pt>
                <c:pt idx="21">
                  <c:v>México</c:v>
                </c:pt>
                <c:pt idx="22">
                  <c:v>Sinaloa</c:v>
                </c:pt>
                <c:pt idx="23">
                  <c:v>Tamaulipas</c:v>
                </c:pt>
                <c:pt idx="24">
                  <c:v>Baja California</c:v>
                </c:pt>
                <c:pt idx="25">
                  <c:v>Coahuila</c:v>
                </c:pt>
                <c:pt idx="26">
                  <c:v>Guanajuato</c:v>
                </c:pt>
                <c:pt idx="27">
                  <c:v>Yucatán</c:v>
                </c:pt>
                <c:pt idx="28">
                  <c:v>Distrito Federal</c:v>
                </c:pt>
                <c:pt idx="29">
                  <c:v>Colima</c:v>
                </c:pt>
                <c:pt idx="30">
                  <c:v>Morelos</c:v>
                </c:pt>
                <c:pt idx="31">
                  <c:v>Tlaxcala</c:v>
                </c:pt>
              </c:strCache>
            </c:strRef>
          </c:cat>
          <c:val>
            <c:numRef>
              <c:f>[Indicadores.xlsx]Gini_pot!$B$3:$B$34</c:f>
              <c:numCache>
                <c:formatCode>0.000</c:formatCode>
                <c:ptCount val="32"/>
                <c:pt idx="0">
                  <c:v>0.53468203544616699</c:v>
                </c:pt>
                <c:pt idx="1">
                  <c:v>0.53301787376403797</c:v>
                </c:pt>
                <c:pt idx="2">
                  <c:v>0.53298610448837302</c:v>
                </c:pt>
                <c:pt idx="3">
                  <c:v>0.526306211948395</c:v>
                </c:pt>
                <c:pt idx="4">
                  <c:v>0.51567631959915261</c:v>
                </c:pt>
                <c:pt idx="5">
                  <c:v>0.51097607612609963</c:v>
                </c:pt>
                <c:pt idx="6">
                  <c:v>0.50309824943542503</c:v>
                </c:pt>
                <c:pt idx="7">
                  <c:v>0.50033301115035711</c:v>
                </c:pt>
                <c:pt idx="8">
                  <c:v>0.49902972579002558</c:v>
                </c:pt>
                <c:pt idx="9">
                  <c:v>0.498495012521744</c:v>
                </c:pt>
                <c:pt idx="10">
                  <c:v>0.49302577972412276</c:v>
                </c:pt>
                <c:pt idx="11">
                  <c:v>0.49275818467140198</c:v>
                </c:pt>
                <c:pt idx="12">
                  <c:v>0.49205741286277832</c:v>
                </c:pt>
                <c:pt idx="13">
                  <c:v>0.48517489433288902</c:v>
                </c:pt>
                <c:pt idx="14">
                  <c:v>0.48458403348922857</c:v>
                </c:pt>
                <c:pt idx="15">
                  <c:v>0.48025411367416398</c:v>
                </c:pt>
                <c:pt idx="16">
                  <c:v>0.479191213846207</c:v>
                </c:pt>
                <c:pt idx="17">
                  <c:v>0.47701942920684964</c:v>
                </c:pt>
                <c:pt idx="18">
                  <c:v>0.47696319222450351</c:v>
                </c:pt>
                <c:pt idx="19">
                  <c:v>0.47275528311729398</c:v>
                </c:pt>
                <c:pt idx="20">
                  <c:v>0.47161209583282676</c:v>
                </c:pt>
                <c:pt idx="21">
                  <c:v>0.47026720643043479</c:v>
                </c:pt>
                <c:pt idx="22">
                  <c:v>0.46644330024719199</c:v>
                </c:pt>
                <c:pt idx="23">
                  <c:v>0.46550279855728238</c:v>
                </c:pt>
                <c:pt idx="24">
                  <c:v>0.46453768014907798</c:v>
                </c:pt>
                <c:pt idx="25">
                  <c:v>0.46358388662338301</c:v>
                </c:pt>
                <c:pt idx="26">
                  <c:v>0.46333974599838301</c:v>
                </c:pt>
                <c:pt idx="27">
                  <c:v>0.46075257658958402</c:v>
                </c:pt>
                <c:pt idx="28">
                  <c:v>0.45743528008461032</c:v>
                </c:pt>
                <c:pt idx="29">
                  <c:v>0.445076614618301</c:v>
                </c:pt>
                <c:pt idx="30">
                  <c:v>0.43333387374878057</c:v>
                </c:pt>
                <c:pt idx="31">
                  <c:v>0.41997358202934476</c:v>
                </c:pt>
              </c:numCache>
            </c:numRef>
          </c:val>
        </c:ser>
        <c:dLbls>
          <c:showLegendKey val="0"/>
          <c:showVal val="0"/>
          <c:showCatName val="0"/>
          <c:showSerName val="0"/>
          <c:showPercent val="0"/>
          <c:showBubbleSize val="0"/>
        </c:dLbls>
        <c:gapWidth val="150"/>
        <c:axId val="443428864"/>
        <c:axId val="277068544"/>
      </c:barChart>
      <c:lineChart>
        <c:grouping val="standard"/>
        <c:varyColors val="0"/>
        <c:ser>
          <c:idx val="1"/>
          <c:order val="1"/>
          <c:tx>
            <c:strRef>
              <c:f>[Indicadores.xlsx]Gini_pot!$C$2</c:f>
              <c:strCache>
                <c:ptCount val="1"/>
                <c:pt idx="0">
                  <c:v>Concentración incidencia</c:v>
                </c:pt>
              </c:strCache>
            </c:strRef>
          </c:tx>
          <c:marker>
            <c:symbol val="none"/>
          </c:marker>
          <c:cat>
            <c:strRef>
              <c:f>[Indicadores.xlsx]Gini_pot!$A$3:$A$34</c:f>
              <c:strCache>
                <c:ptCount val="32"/>
                <c:pt idx="0">
                  <c:v>Chiapas</c:v>
                </c:pt>
                <c:pt idx="1">
                  <c:v>Campeche</c:v>
                </c:pt>
                <c:pt idx="2">
                  <c:v>Guerrero</c:v>
                </c:pt>
                <c:pt idx="3">
                  <c:v>Zacatecas</c:v>
                </c:pt>
                <c:pt idx="4">
                  <c:v>Tabasco</c:v>
                </c:pt>
                <c:pt idx="5">
                  <c:v>Oaxaca</c:v>
                </c:pt>
                <c:pt idx="6">
                  <c:v>Querétaro</c:v>
                </c:pt>
                <c:pt idx="7">
                  <c:v>Chihuahua</c:v>
                </c:pt>
                <c:pt idx="8">
                  <c:v>Durango</c:v>
                </c:pt>
                <c:pt idx="9">
                  <c:v>Nayarit</c:v>
                </c:pt>
                <c:pt idx="10">
                  <c:v>Veracruz</c:v>
                </c:pt>
                <c:pt idx="11">
                  <c:v>Baja California Sur</c:v>
                </c:pt>
                <c:pt idx="12">
                  <c:v>San Luis Potosí</c:v>
                </c:pt>
                <c:pt idx="13">
                  <c:v>Puebla</c:v>
                </c:pt>
                <c:pt idx="14">
                  <c:v>Nuevo León</c:v>
                </c:pt>
                <c:pt idx="15">
                  <c:v>Hidalgo</c:v>
                </c:pt>
                <c:pt idx="16">
                  <c:v>Aguascalientes</c:v>
                </c:pt>
                <c:pt idx="17">
                  <c:v>Quintana Roo</c:v>
                </c:pt>
                <c:pt idx="18">
                  <c:v>Sonora</c:v>
                </c:pt>
                <c:pt idx="19">
                  <c:v>Jalisco</c:v>
                </c:pt>
                <c:pt idx="20">
                  <c:v>Michoacán</c:v>
                </c:pt>
                <c:pt idx="21">
                  <c:v>México</c:v>
                </c:pt>
                <c:pt idx="22">
                  <c:v>Sinaloa</c:v>
                </c:pt>
                <c:pt idx="23">
                  <c:v>Tamaulipas</c:v>
                </c:pt>
                <c:pt idx="24">
                  <c:v>Baja California</c:v>
                </c:pt>
                <c:pt idx="25">
                  <c:v>Coahuila</c:v>
                </c:pt>
                <c:pt idx="26">
                  <c:v>Guanajuato</c:v>
                </c:pt>
                <c:pt idx="27">
                  <c:v>Yucatán</c:v>
                </c:pt>
                <c:pt idx="28">
                  <c:v>Distrito Federal</c:v>
                </c:pt>
                <c:pt idx="29">
                  <c:v>Colima</c:v>
                </c:pt>
                <c:pt idx="30">
                  <c:v>Morelos</c:v>
                </c:pt>
                <c:pt idx="31">
                  <c:v>Tlaxcala</c:v>
                </c:pt>
              </c:strCache>
            </c:strRef>
          </c:cat>
          <c:val>
            <c:numRef>
              <c:f>[Indicadores.xlsx]Gini_pot!$C$3:$C$34</c:f>
              <c:numCache>
                <c:formatCode>0.00</c:formatCode>
                <c:ptCount val="32"/>
                <c:pt idx="0">
                  <c:v>2.8841607565011929</c:v>
                </c:pt>
                <c:pt idx="1">
                  <c:v>1.2056737588652433</c:v>
                </c:pt>
                <c:pt idx="2">
                  <c:v>3.262411347517745</c:v>
                </c:pt>
                <c:pt idx="3">
                  <c:v>1.111111111111112</c:v>
                </c:pt>
                <c:pt idx="4">
                  <c:v>0.63829787234043089</c:v>
                </c:pt>
                <c:pt idx="5">
                  <c:v>7.1394799054373532</c:v>
                </c:pt>
                <c:pt idx="6">
                  <c:v>2.6950354609929081</c:v>
                </c:pt>
                <c:pt idx="7">
                  <c:v>1.2293144208037821</c:v>
                </c:pt>
                <c:pt idx="8">
                  <c:v>2.7186761229314418</c:v>
                </c:pt>
                <c:pt idx="9">
                  <c:v>1.3711583924349833</c:v>
                </c:pt>
                <c:pt idx="10">
                  <c:v>5.0118203309692673</c:v>
                </c:pt>
                <c:pt idx="11">
                  <c:v>0.82742316784869896</c:v>
                </c:pt>
                <c:pt idx="12">
                  <c:v>1.513002364066194</c:v>
                </c:pt>
                <c:pt idx="13">
                  <c:v>5.2718676122931889</c:v>
                </c:pt>
                <c:pt idx="14">
                  <c:v>2.3640661938534167</c:v>
                </c:pt>
                <c:pt idx="15">
                  <c:v>2.8368794326240923</c:v>
                </c:pt>
                <c:pt idx="16">
                  <c:v>0.780141843971631</c:v>
                </c:pt>
                <c:pt idx="17">
                  <c:v>0.87470449172576903</c:v>
                </c:pt>
                <c:pt idx="18">
                  <c:v>2.3877068557919756</c:v>
                </c:pt>
                <c:pt idx="19">
                  <c:v>3.640661938534278</c:v>
                </c:pt>
                <c:pt idx="20">
                  <c:v>4.2080378250591011</c:v>
                </c:pt>
                <c:pt idx="21">
                  <c:v>8.4869976359338057</c:v>
                </c:pt>
                <c:pt idx="22">
                  <c:v>2.4822695035460987</c:v>
                </c:pt>
                <c:pt idx="23">
                  <c:v>1.252955082742317</c:v>
                </c:pt>
                <c:pt idx="24">
                  <c:v>4.7044917257683334</c:v>
                </c:pt>
                <c:pt idx="25">
                  <c:v>3.9716312056737588</c:v>
                </c:pt>
                <c:pt idx="26">
                  <c:v>3.5697399527186802</c:v>
                </c:pt>
                <c:pt idx="27">
                  <c:v>2.0330969267139478</c:v>
                </c:pt>
                <c:pt idx="28">
                  <c:v>11.82033096926715</c:v>
                </c:pt>
                <c:pt idx="29">
                  <c:v>3.4278959810874712</c:v>
                </c:pt>
                <c:pt idx="30">
                  <c:v>2.6950354609929081</c:v>
                </c:pt>
                <c:pt idx="31">
                  <c:v>1.5839243498817959</c:v>
                </c:pt>
              </c:numCache>
            </c:numRef>
          </c:val>
          <c:smooth val="0"/>
        </c:ser>
        <c:dLbls>
          <c:showLegendKey val="0"/>
          <c:showVal val="0"/>
          <c:showCatName val="0"/>
          <c:showSerName val="0"/>
          <c:showPercent val="0"/>
          <c:showBubbleSize val="0"/>
        </c:dLbls>
        <c:marker val="1"/>
        <c:smooth val="0"/>
        <c:axId val="443431936"/>
        <c:axId val="277069120"/>
      </c:lineChart>
      <c:catAx>
        <c:axId val="443428864"/>
        <c:scaling>
          <c:orientation val="minMax"/>
        </c:scaling>
        <c:delete val="0"/>
        <c:axPos val="b"/>
        <c:majorTickMark val="out"/>
        <c:minorTickMark val="none"/>
        <c:tickLblPos val="nextTo"/>
        <c:txPr>
          <a:bodyPr rot="-5400000" vert="horz"/>
          <a:lstStyle/>
          <a:p>
            <a:pPr>
              <a:defRPr/>
            </a:pPr>
            <a:endParaRPr lang="es-MX"/>
          </a:p>
        </c:txPr>
        <c:crossAx val="277068544"/>
        <c:crosses val="autoZero"/>
        <c:auto val="1"/>
        <c:lblAlgn val="ctr"/>
        <c:lblOffset val="100"/>
        <c:noMultiLvlLbl val="0"/>
      </c:catAx>
      <c:valAx>
        <c:axId val="277068544"/>
        <c:scaling>
          <c:orientation val="minMax"/>
          <c:max val="0.60000000000000164"/>
          <c:min val="0.4"/>
        </c:scaling>
        <c:delete val="0"/>
        <c:axPos val="l"/>
        <c:numFmt formatCode="0.0" sourceLinked="0"/>
        <c:majorTickMark val="out"/>
        <c:minorTickMark val="none"/>
        <c:tickLblPos val="nextTo"/>
        <c:crossAx val="443428864"/>
        <c:crosses val="autoZero"/>
        <c:crossBetween val="between"/>
      </c:valAx>
      <c:valAx>
        <c:axId val="277069120"/>
        <c:scaling>
          <c:orientation val="minMax"/>
          <c:max val="15"/>
        </c:scaling>
        <c:delete val="0"/>
        <c:axPos val="r"/>
        <c:numFmt formatCode="0" sourceLinked="0"/>
        <c:majorTickMark val="out"/>
        <c:minorTickMark val="none"/>
        <c:tickLblPos val="nextTo"/>
        <c:crossAx val="443431936"/>
        <c:crosses val="max"/>
        <c:crossBetween val="between"/>
        <c:majorUnit val="3"/>
      </c:valAx>
      <c:catAx>
        <c:axId val="443431936"/>
        <c:scaling>
          <c:orientation val="minMax"/>
        </c:scaling>
        <c:delete val="1"/>
        <c:axPos val="b"/>
        <c:majorTickMark val="out"/>
        <c:minorTickMark val="none"/>
        <c:tickLblPos val="none"/>
        <c:crossAx val="277069120"/>
        <c:crosses val="autoZero"/>
        <c:auto val="1"/>
        <c:lblAlgn val="ctr"/>
        <c:lblOffset val="100"/>
        <c:noMultiLvlLbl val="0"/>
      </c:catAx>
    </c:plotArea>
    <c:legend>
      <c:legendPos val="t"/>
      <c:overlay val="0"/>
    </c:legend>
    <c:plotVisOnly val="1"/>
    <c:dispBlanksAs val="gap"/>
    <c:showDLblsOverMax val="0"/>
  </c:chart>
  <c:txPr>
    <a:bodyPr/>
    <a:lstStyle/>
    <a:p>
      <a:pPr>
        <a:defRPr sz="800">
          <a:latin typeface="Adobe Caslon Pro" pitchFamily="18" charset="0"/>
        </a:defRPr>
      </a:pPr>
      <a:endParaRPr lang="es-MX"/>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barChart>
        <c:barDir val="col"/>
        <c:grouping val="clustered"/>
        <c:varyColors val="0"/>
        <c:ser>
          <c:idx val="0"/>
          <c:order val="0"/>
          <c:tx>
            <c:strRef>
              <c:f>[Indicadores.xlsx]IDH_pot!$B$2</c:f>
              <c:strCache>
                <c:ptCount val="1"/>
                <c:pt idx="0">
                  <c:v>IDH 2010</c:v>
                </c:pt>
              </c:strCache>
            </c:strRef>
          </c:tx>
          <c:invertIfNegative val="0"/>
          <c:cat>
            <c:strRef>
              <c:f>[Indicadores.xlsx]IDH_pot!$A$3:$A$34</c:f>
              <c:strCache>
                <c:ptCount val="32"/>
                <c:pt idx="0">
                  <c:v>Distrito Federal</c:v>
                </c:pt>
                <c:pt idx="1">
                  <c:v>Nuevo León</c:v>
                </c:pt>
                <c:pt idx="2">
                  <c:v>Baja California Sur</c:v>
                </c:pt>
                <c:pt idx="3">
                  <c:v>Baja California</c:v>
                </c:pt>
                <c:pt idx="4">
                  <c:v>Sonora</c:v>
                </c:pt>
                <c:pt idx="5">
                  <c:v>Coahuila</c:v>
                </c:pt>
                <c:pt idx="6">
                  <c:v>Colima</c:v>
                </c:pt>
                <c:pt idx="7">
                  <c:v>Aguascalientes</c:v>
                </c:pt>
                <c:pt idx="8">
                  <c:v>Sinaloa</c:v>
                </c:pt>
                <c:pt idx="9">
                  <c:v>Quintana Roo</c:v>
                </c:pt>
                <c:pt idx="10">
                  <c:v>Tamaulipas</c:v>
                </c:pt>
                <c:pt idx="11">
                  <c:v>Querétaro</c:v>
                </c:pt>
                <c:pt idx="12">
                  <c:v>Morelos</c:v>
                </c:pt>
                <c:pt idx="13">
                  <c:v>México</c:v>
                </c:pt>
                <c:pt idx="14">
                  <c:v>Jalisco</c:v>
                </c:pt>
                <c:pt idx="15">
                  <c:v>Nayarit</c:v>
                </c:pt>
                <c:pt idx="16">
                  <c:v>Chihuahua</c:v>
                </c:pt>
                <c:pt idx="17">
                  <c:v>Campeche</c:v>
                </c:pt>
                <c:pt idx="18">
                  <c:v>Tabasco</c:v>
                </c:pt>
                <c:pt idx="19">
                  <c:v>Yucatán</c:v>
                </c:pt>
                <c:pt idx="20">
                  <c:v>Durango</c:v>
                </c:pt>
                <c:pt idx="21">
                  <c:v>Tlaxcala</c:v>
                </c:pt>
                <c:pt idx="22">
                  <c:v>San Luis Potosí</c:v>
                </c:pt>
                <c:pt idx="23">
                  <c:v>Hidalgo</c:v>
                </c:pt>
                <c:pt idx="24">
                  <c:v>Puebla</c:v>
                </c:pt>
                <c:pt idx="25">
                  <c:v>Guanajuato</c:v>
                </c:pt>
                <c:pt idx="26">
                  <c:v>Zacatecas</c:v>
                </c:pt>
                <c:pt idx="27">
                  <c:v>Veracruz</c:v>
                </c:pt>
                <c:pt idx="28">
                  <c:v>Michoacán</c:v>
                </c:pt>
                <c:pt idx="29">
                  <c:v>Guerrero</c:v>
                </c:pt>
                <c:pt idx="30">
                  <c:v>Oaxaca</c:v>
                </c:pt>
                <c:pt idx="31">
                  <c:v>Chiapas</c:v>
                </c:pt>
              </c:strCache>
            </c:strRef>
          </c:cat>
          <c:val>
            <c:numRef>
              <c:f>[Indicadores.xlsx]IDH_pot!$B$3:$B$34</c:f>
              <c:numCache>
                <c:formatCode>0.0000</c:formatCode>
                <c:ptCount val="32"/>
                <c:pt idx="0">
                  <c:v>0.83065419275506902</c:v>
                </c:pt>
                <c:pt idx="1">
                  <c:v>0.78995996194929796</c:v>
                </c:pt>
                <c:pt idx="2">
                  <c:v>0.785082676420504</c:v>
                </c:pt>
                <c:pt idx="3">
                  <c:v>0.77169270148308777</c:v>
                </c:pt>
                <c:pt idx="4">
                  <c:v>0.76694104674425101</c:v>
                </c:pt>
                <c:pt idx="5">
                  <c:v>0.76335491156344515</c:v>
                </c:pt>
                <c:pt idx="6">
                  <c:v>0.75674599432100165</c:v>
                </c:pt>
                <c:pt idx="7">
                  <c:v>0.75212447797612614</c:v>
                </c:pt>
                <c:pt idx="8">
                  <c:v>0.75037447946562663</c:v>
                </c:pt>
                <c:pt idx="9">
                  <c:v>0.74875913418920015</c:v>
                </c:pt>
                <c:pt idx="10">
                  <c:v>0.74751913681313564</c:v>
                </c:pt>
                <c:pt idx="11">
                  <c:v>0.74714311909376863</c:v>
                </c:pt>
                <c:pt idx="12">
                  <c:v>0.74494251793946065</c:v>
                </c:pt>
                <c:pt idx="13">
                  <c:v>0.74418401203022189</c:v>
                </c:pt>
                <c:pt idx="14">
                  <c:v>0.74339038893987663</c:v>
                </c:pt>
                <c:pt idx="15">
                  <c:v>0.74246061782889616</c:v>
                </c:pt>
                <c:pt idx="16">
                  <c:v>0.74019078704414165</c:v>
                </c:pt>
                <c:pt idx="17">
                  <c:v>0.72909791182193251</c:v>
                </c:pt>
                <c:pt idx="18">
                  <c:v>0.72601787315298905</c:v>
                </c:pt>
                <c:pt idx="19">
                  <c:v>0.723004689388414</c:v>
                </c:pt>
                <c:pt idx="20">
                  <c:v>0.71931579067262796</c:v>
                </c:pt>
                <c:pt idx="21">
                  <c:v>0.71620813545617901</c:v>
                </c:pt>
                <c:pt idx="22">
                  <c:v>0.71439657714341864</c:v>
                </c:pt>
                <c:pt idx="23">
                  <c:v>0.71244321038902514</c:v>
                </c:pt>
                <c:pt idx="24">
                  <c:v>0.70598547233604814</c:v>
                </c:pt>
                <c:pt idx="25">
                  <c:v>0.70590405989863103</c:v>
                </c:pt>
                <c:pt idx="26">
                  <c:v>0.705671441327129</c:v>
                </c:pt>
                <c:pt idx="27">
                  <c:v>0.69965781445788977</c:v>
                </c:pt>
                <c:pt idx="28">
                  <c:v>0.69575280131540462</c:v>
                </c:pt>
                <c:pt idx="29">
                  <c:v>0.67334802562860741</c:v>
                </c:pt>
                <c:pt idx="30">
                  <c:v>0.66630490430976763</c:v>
                </c:pt>
                <c:pt idx="31">
                  <c:v>0.64684630955962463</c:v>
                </c:pt>
              </c:numCache>
            </c:numRef>
          </c:val>
        </c:ser>
        <c:dLbls>
          <c:showLegendKey val="0"/>
          <c:showVal val="0"/>
          <c:showCatName val="0"/>
          <c:showSerName val="0"/>
          <c:showPercent val="0"/>
          <c:showBubbleSize val="0"/>
        </c:dLbls>
        <c:gapWidth val="150"/>
        <c:axId val="441491968"/>
        <c:axId val="277079168"/>
      </c:barChart>
      <c:lineChart>
        <c:grouping val="standard"/>
        <c:varyColors val="0"/>
        <c:ser>
          <c:idx val="1"/>
          <c:order val="1"/>
          <c:tx>
            <c:strRef>
              <c:f>[Indicadores.xlsx]IDH_pot!$C$2</c:f>
              <c:strCache>
                <c:ptCount val="1"/>
                <c:pt idx="0">
                  <c:v>Concentración incidencia</c:v>
                </c:pt>
              </c:strCache>
            </c:strRef>
          </c:tx>
          <c:marker>
            <c:symbol val="none"/>
          </c:marker>
          <c:cat>
            <c:strRef>
              <c:f>[Indicadores.xlsx]IDH_pot!$A$3:$A$34</c:f>
              <c:strCache>
                <c:ptCount val="32"/>
                <c:pt idx="0">
                  <c:v>Distrito Federal</c:v>
                </c:pt>
                <c:pt idx="1">
                  <c:v>Nuevo León</c:v>
                </c:pt>
                <c:pt idx="2">
                  <c:v>Baja California Sur</c:v>
                </c:pt>
                <c:pt idx="3">
                  <c:v>Baja California</c:v>
                </c:pt>
                <c:pt idx="4">
                  <c:v>Sonora</c:v>
                </c:pt>
                <c:pt idx="5">
                  <c:v>Coahuila</c:v>
                </c:pt>
                <c:pt idx="6">
                  <c:v>Colima</c:v>
                </c:pt>
                <c:pt idx="7">
                  <c:v>Aguascalientes</c:v>
                </c:pt>
                <c:pt idx="8">
                  <c:v>Sinaloa</c:v>
                </c:pt>
                <c:pt idx="9">
                  <c:v>Quintana Roo</c:v>
                </c:pt>
                <c:pt idx="10">
                  <c:v>Tamaulipas</c:v>
                </c:pt>
                <c:pt idx="11">
                  <c:v>Querétaro</c:v>
                </c:pt>
                <c:pt idx="12">
                  <c:v>Morelos</c:v>
                </c:pt>
                <c:pt idx="13">
                  <c:v>México</c:v>
                </c:pt>
                <c:pt idx="14">
                  <c:v>Jalisco</c:v>
                </c:pt>
                <c:pt idx="15">
                  <c:v>Nayarit</c:v>
                </c:pt>
                <c:pt idx="16">
                  <c:v>Chihuahua</c:v>
                </c:pt>
                <c:pt idx="17">
                  <c:v>Campeche</c:v>
                </c:pt>
                <c:pt idx="18">
                  <c:v>Tabasco</c:v>
                </c:pt>
                <c:pt idx="19">
                  <c:v>Yucatán</c:v>
                </c:pt>
                <c:pt idx="20">
                  <c:v>Durango</c:v>
                </c:pt>
                <c:pt idx="21">
                  <c:v>Tlaxcala</c:v>
                </c:pt>
                <c:pt idx="22">
                  <c:v>San Luis Potosí</c:v>
                </c:pt>
                <c:pt idx="23">
                  <c:v>Hidalgo</c:v>
                </c:pt>
                <c:pt idx="24">
                  <c:v>Puebla</c:v>
                </c:pt>
                <c:pt idx="25">
                  <c:v>Guanajuato</c:v>
                </c:pt>
                <c:pt idx="26">
                  <c:v>Zacatecas</c:v>
                </c:pt>
                <c:pt idx="27">
                  <c:v>Veracruz</c:v>
                </c:pt>
                <c:pt idx="28">
                  <c:v>Michoacán</c:v>
                </c:pt>
                <c:pt idx="29">
                  <c:v>Guerrero</c:v>
                </c:pt>
                <c:pt idx="30">
                  <c:v>Oaxaca</c:v>
                </c:pt>
                <c:pt idx="31">
                  <c:v>Chiapas</c:v>
                </c:pt>
              </c:strCache>
            </c:strRef>
          </c:cat>
          <c:val>
            <c:numRef>
              <c:f>[Indicadores.xlsx]IDH_pot!$C$3:$C$34</c:f>
              <c:numCache>
                <c:formatCode>0.00</c:formatCode>
                <c:ptCount val="32"/>
                <c:pt idx="0">
                  <c:v>11.82033096926715</c:v>
                </c:pt>
                <c:pt idx="1">
                  <c:v>2.3640661938534167</c:v>
                </c:pt>
                <c:pt idx="2">
                  <c:v>0.82742316784869896</c:v>
                </c:pt>
                <c:pt idx="3">
                  <c:v>4.7044917257683334</c:v>
                </c:pt>
                <c:pt idx="4">
                  <c:v>2.3877068557919756</c:v>
                </c:pt>
                <c:pt idx="5">
                  <c:v>3.9716312056737588</c:v>
                </c:pt>
                <c:pt idx="6">
                  <c:v>3.4278959810874712</c:v>
                </c:pt>
                <c:pt idx="7">
                  <c:v>0.780141843971631</c:v>
                </c:pt>
                <c:pt idx="8">
                  <c:v>2.4822695035460987</c:v>
                </c:pt>
                <c:pt idx="9">
                  <c:v>0.87470449172576903</c:v>
                </c:pt>
                <c:pt idx="10">
                  <c:v>1.252955082742317</c:v>
                </c:pt>
                <c:pt idx="11">
                  <c:v>2.6950354609929081</c:v>
                </c:pt>
                <c:pt idx="12">
                  <c:v>2.6950354609929081</c:v>
                </c:pt>
                <c:pt idx="13">
                  <c:v>8.4869976359338057</c:v>
                </c:pt>
                <c:pt idx="14">
                  <c:v>3.640661938534278</c:v>
                </c:pt>
                <c:pt idx="15">
                  <c:v>1.3711583924349833</c:v>
                </c:pt>
                <c:pt idx="16">
                  <c:v>1.2293144208037821</c:v>
                </c:pt>
                <c:pt idx="17">
                  <c:v>1.2056737588652433</c:v>
                </c:pt>
                <c:pt idx="18">
                  <c:v>0.63829787234043089</c:v>
                </c:pt>
                <c:pt idx="19">
                  <c:v>2.0330969267139478</c:v>
                </c:pt>
                <c:pt idx="20">
                  <c:v>2.7186761229314418</c:v>
                </c:pt>
                <c:pt idx="21">
                  <c:v>1.5839243498817959</c:v>
                </c:pt>
                <c:pt idx="22">
                  <c:v>1.513002364066194</c:v>
                </c:pt>
                <c:pt idx="23">
                  <c:v>2.8368794326240923</c:v>
                </c:pt>
                <c:pt idx="24">
                  <c:v>5.2718676122931889</c:v>
                </c:pt>
                <c:pt idx="25">
                  <c:v>3.5697399527186802</c:v>
                </c:pt>
                <c:pt idx="26">
                  <c:v>1.111111111111112</c:v>
                </c:pt>
                <c:pt idx="27">
                  <c:v>5.0118203309692673</c:v>
                </c:pt>
                <c:pt idx="28">
                  <c:v>4.2080378250591011</c:v>
                </c:pt>
                <c:pt idx="29">
                  <c:v>3.262411347517745</c:v>
                </c:pt>
                <c:pt idx="30">
                  <c:v>7.1394799054373532</c:v>
                </c:pt>
                <c:pt idx="31">
                  <c:v>2.8841607565011929</c:v>
                </c:pt>
              </c:numCache>
            </c:numRef>
          </c:val>
          <c:smooth val="0"/>
        </c:ser>
        <c:dLbls>
          <c:showLegendKey val="0"/>
          <c:showVal val="0"/>
          <c:showCatName val="0"/>
          <c:showSerName val="0"/>
          <c:showPercent val="0"/>
          <c:showBubbleSize val="0"/>
        </c:dLbls>
        <c:marker val="1"/>
        <c:smooth val="0"/>
        <c:axId val="443879936"/>
        <c:axId val="277079744"/>
      </c:lineChart>
      <c:catAx>
        <c:axId val="441491968"/>
        <c:scaling>
          <c:orientation val="minMax"/>
        </c:scaling>
        <c:delete val="0"/>
        <c:axPos val="b"/>
        <c:majorTickMark val="out"/>
        <c:minorTickMark val="none"/>
        <c:tickLblPos val="nextTo"/>
        <c:txPr>
          <a:bodyPr rot="-5400000" vert="horz"/>
          <a:lstStyle/>
          <a:p>
            <a:pPr>
              <a:defRPr sz="800"/>
            </a:pPr>
            <a:endParaRPr lang="es-MX"/>
          </a:p>
        </c:txPr>
        <c:crossAx val="277079168"/>
        <c:crosses val="autoZero"/>
        <c:auto val="1"/>
        <c:lblAlgn val="ctr"/>
        <c:lblOffset val="100"/>
        <c:noMultiLvlLbl val="0"/>
      </c:catAx>
      <c:valAx>
        <c:axId val="277079168"/>
        <c:scaling>
          <c:orientation val="minMax"/>
          <c:max val="0.8"/>
          <c:min val="0.5"/>
        </c:scaling>
        <c:delete val="0"/>
        <c:axPos val="l"/>
        <c:numFmt formatCode="0.00" sourceLinked="0"/>
        <c:majorTickMark val="out"/>
        <c:minorTickMark val="none"/>
        <c:tickLblPos val="nextTo"/>
        <c:txPr>
          <a:bodyPr/>
          <a:lstStyle/>
          <a:p>
            <a:pPr>
              <a:defRPr sz="900"/>
            </a:pPr>
            <a:endParaRPr lang="es-MX"/>
          </a:p>
        </c:txPr>
        <c:crossAx val="441491968"/>
        <c:crosses val="autoZero"/>
        <c:crossBetween val="between"/>
      </c:valAx>
      <c:valAx>
        <c:axId val="277079744"/>
        <c:scaling>
          <c:orientation val="minMax"/>
        </c:scaling>
        <c:delete val="0"/>
        <c:axPos val="r"/>
        <c:numFmt formatCode="0" sourceLinked="0"/>
        <c:majorTickMark val="out"/>
        <c:minorTickMark val="none"/>
        <c:tickLblPos val="nextTo"/>
        <c:txPr>
          <a:bodyPr/>
          <a:lstStyle/>
          <a:p>
            <a:pPr>
              <a:defRPr sz="900"/>
            </a:pPr>
            <a:endParaRPr lang="es-MX"/>
          </a:p>
        </c:txPr>
        <c:crossAx val="443879936"/>
        <c:crosses val="max"/>
        <c:crossBetween val="between"/>
      </c:valAx>
      <c:catAx>
        <c:axId val="443879936"/>
        <c:scaling>
          <c:orientation val="minMax"/>
        </c:scaling>
        <c:delete val="1"/>
        <c:axPos val="b"/>
        <c:majorTickMark val="out"/>
        <c:minorTickMark val="none"/>
        <c:tickLblPos val="none"/>
        <c:crossAx val="277079744"/>
        <c:crosses val="autoZero"/>
        <c:auto val="1"/>
        <c:lblAlgn val="ctr"/>
        <c:lblOffset val="100"/>
        <c:noMultiLvlLbl val="0"/>
      </c:catAx>
    </c:plotArea>
    <c:legend>
      <c:legendPos val="t"/>
      <c:overlay val="0"/>
    </c:legend>
    <c:plotVisOnly val="1"/>
    <c:dispBlanksAs val="gap"/>
    <c:showDLblsOverMax val="0"/>
  </c:chart>
  <c:txPr>
    <a:bodyPr/>
    <a:lstStyle/>
    <a:p>
      <a:pPr>
        <a:defRPr>
          <a:latin typeface="Adobe Caslon Pro" pitchFamily="18" charset="0"/>
        </a:defRPr>
      </a:pPr>
      <a:endParaRPr lang="es-MX"/>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barChart>
        <c:barDir val="col"/>
        <c:grouping val="clustered"/>
        <c:varyColors val="0"/>
        <c:ser>
          <c:idx val="0"/>
          <c:order val="0"/>
          <c:tx>
            <c:strRef>
              <c:f>[Indicadores.xlsx]redes_pot!$B$2</c:f>
              <c:strCache>
                <c:ptCount val="1"/>
                <c:pt idx="0">
                  <c:v>Índice de percepción de redes sociales</c:v>
                </c:pt>
              </c:strCache>
            </c:strRef>
          </c:tx>
          <c:invertIfNegative val="0"/>
          <c:cat>
            <c:strRef>
              <c:f>[Indicadores.xlsx]redes_pot!$A$3:$A$34</c:f>
              <c:strCache>
                <c:ptCount val="32"/>
                <c:pt idx="0">
                  <c:v>Nayarit</c:v>
                </c:pt>
                <c:pt idx="1">
                  <c:v>Nuevo León</c:v>
                </c:pt>
                <c:pt idx="2">
                  <c:v>Sinaloa</c:v>
                </c:pt>
                <c:pt idx="3">
                  <c:v>Sonora</c:v>
                </c:pt>
                <c:pt idx="4">
                  <c:v>Aguascalientes</c:v>
                </c:pt>
                <c:pt idx="5">
                  <c:v>Baja California</c:v>
                </c:pt>
                <c:pt idx="6">
                  <c:v>Baja California Sur</c:v>
                </c:pt>
                <c:pt idx="7">
                  <c:v>Campeche</c:v>
                </c:pt>
                <c:pt idx="8">
                  <c:v>Chiapas</c:v>
                </c:pt>
                <c:pt idx="9">
                  <c:v>Chihuahua</c:v>
                </c:pt>
                <c:pt idx="10">
                  <c:v>Coahuila</c:v>
                </c:pt>
                <c:pt idx="11">
                  <c:v>Colima</c:v>
                </c:pt>
                <c:pt idx="12">
                  <c:v>Distrito Federal</c:v>
                </c:pt>
                <c:pt idx="13">
                  <c:v>Durango</c:v>
                </c:pt>
                <c:pt idx="14">
                  <c:v>Guanajuato</c:v>
                </c:pt>
                <c:pt idx="15">
                  <c:v>Guerrero</c:v>
                </c:pt>
                <c:pt idx="16">
                  <c:v>Jalisco</c:v>
                </c:pt>
                <c:pt idx="17">
                  <c:v>Michoacán</c:v>
                </c:pt>
                <c:pt idx="18">
                  <c:v>Morelos</c:v>
                </c:pt>
                <c:pt idx="19">
                  <c:v>Puebla</c:v>
                </c:pt>
                <c:pt idx="20">
                  <c:v>Querétaro</c:v>
                </c:pt>
                <c:pt idx="21">
                  <c:v>Quintana Roo</c:v>
                </c:pt>
                <c:pt idx="22">
                  <c:v>San Luis Potosí</c:v>
                </c:pt>
                <c:pt idx="23">
                  <c:v>Tamaulipas</c:v>
                </c:pt>
                <c:pt idx="24">
                  <c:v>Tlaxcala</c:v>
                </c:pt>
                <c:pt idx="25">
                  <c:v>Veracruz</c:v>
                </c:pt>
                <c:pt idx="26">
                  <c:v>Yucatán</c:v>
                </c:pt>
                <c:pt idx="27">
                  <c:v>Zacatecas</c:v>
                </c:pt>
                <c:pt idx="28">
                  <c:v>Hidalgo</c:v>
                </c:pt>
                <c:pt idx="29">
                  <c:v>México</c:v>
                </c:pt>
                <c:pt idx="30">
                  <c:v>Oaxaca</c:v>
                </c:pt>
                <c:pt idx="31">
                  <c:v>Tabasco</c:v>
                </c:pt>
              </c:strCache>
            </c:strRef>
          </c:cat>
          <c:val>
            <c:numRef>
              <c:f>[Indicadores.xlsx]redes_pot!$B$3:$B$34</c:f>
              <c:numCache>
                <c:formatCode>0</c:formatCode>
                <c:ptCount val="32"/>
                <c:pt idx="0">
                  <c:v>5</c:v>
                </c:pt>
                <c:pt idx="1">
                  <c:v>5</c:v>
                </c:pt>
                <c:pt idx="2">
                  <c:v>5</c:v>
                </c:pt>
                <c:pt idx="3">
                  <c:v>5</c:v>
                </c:pt>
                <c:pt idx="4">
                  <c:v>3</c:v>
                </c:pt>
                <c:pt idx="5">
                  <c:v>3</c:v>
                </c:pt>
                <c:pt idx="6">
                  <c:v>3</c:v>
                </c:pt>
                <c:pt idx="7">
                  <c:v>3</c:v>
                </c:pt>
                <c:pt idx="8">
                  <c:v>3</c:v>
                </c:pt>
                <c:pt idx="9">
                  <c:v>3</c:v>
                </c:pt>
                <c:pt idx="10">
                  <c:v>3</c:v>
                </c:pt>
                <c:pt idx="11">
                  <c:v>3</c:v>
                </c:pt>
                <c:pt idx="12">
                  <c:v>3</c:v>
                </c:pt>
                <c:pt idx="13">
                  <c:v>3</c:v>
                </c:pt>
                <c:pt idx="14">
                  <c:v>3</c:v>
                </c:pt>
                <c:pt idx="15">
                  <c:v>3</c:v>
                </c:pt>
                <c:pt idx="16">
                  <c:v>3</c:v>
                </c:pt>
                <c:pt idx="17">
                  <c:v>3</c:v>
                </c:pt>
                <c:pt idx="18">
                  <c:v>3</c:v>
                </c:pt>
                <c:pt idx="19">
                  <c:v>3</c:v>
                </c:pt>
                <c:pt idx="20">
                  <c:v>3</c:v>
                </c:pt>
                <c:pt idx="21">
                  <c:v>3</c:v>
                </c:pt>
                <c:pt idx="22">
                  <c:v>3</c:v>
                </c:pt>
                <c:pt idx="23">
                  <c:v>3</c:v>
                </c:pt>
                <c:pt idx="24">
                  <c:v>3</c:v>
                </c:pt>
                <c:pt idx="25">
                  <c:v>3</c:v>
                </c:pt>
                <c:pt idx="26">
                  <c:v>3</c:v>
                </c:pt>
                <c:pt idx="27">
                  <c:v>3</c:v>
                </c:pt>
                <c:pt idx="28">
                  <c:v>1</c:v>
                </c:pt>
                <c:pt idx="29">
                  <c:v>1</c:v>
                </c:pt>
                <c:pt idx="30">
                  <c:v>1</c:v>
                </c:pt>
                <c:pt idx="31">
                  <c:v>1</c:v>
                </c:pt>
              </c:numCache>
            </c:numRef>
          </c:val>
        </c:ser>
        <c:dLbls>
          <c:showLegendKey val="0"/>
          <c:showVal val="0"/>
          <c:showCatName val="0"/>
          <c:showSerName val="0"/>
          <c:showPercent val="0"/>
          <c:showBubbleSize val="0"/>
        </c:dLbls>
        <c:gapWidth val="150"/>
        <c:axId val="441492480"/>
        <c:axId val="277081472"/>
      </c:barChart>
      <c:lineChart>
        <c:grouping val="standard"/>
        <c:varyColors val="0"/>
        <c:ser>
          <c:idx val="1"/>
          <c:order val="1"/>
          <c:tx>
            <c:strRef>
              <c:f>[Indicadores.xlsx]redes_pot!$D$2</c:f>
              <c:strCache>
                <c:ptCount val="1"/>
                <c:pt idx="0">
                  <c:v>Concentración incidencia</c:v>
                </c:pt>
              </c:strCache>
            </c:strRef>
          </c:tx>
          <c:marker>
            <c:symbol val="none"/>
          </c:marker>
          <c:cat>
            <c:strRef>
              <c:f>[Indicadores.xlsx]redes_pot!$A$3:$A$34</c:f>
              <c:strCache>
                <c:ptCount val="32"/>
                <c:pt idx="0">
                  <c:v>Nayarit</c:v>
                </c:pt>
                <c:pt idx="1">
                  <c:v>Nuevo León</c:v>
                </c:pt>
                <c:pt idx="2">
                  <c:v>Sinaloa</c:v>
                </c:pt>
                <c:pt idx="3">
                  <c:v>Sonora</c:v>
                </c:pt>
                <c:pt idx="4">
                  <c:v>Aguascalientes</c:v>
                </c:pt>
                <c:pt idx="5">
                  <c:v>Baja California</c:v>
                </c:pt>
                <c:pt idx="6">
                  <c:v>Baja California Sur</c:v>
                </c:pt>
                <c:pt idx="7">
                  <c:v>Campeche</c:v>
                </c:pt>
                <c:pt idx="8">
                  <c:v>Chiapas</c:v>
                </c:pt>
                <c:pt idx="9">
                  <c:v>Chihuahua</c:v>
                </c:pt>
                <c:pt idx="10">
                  <c:v>Coahuila</c:v>
                </c:pt>
                <c:pt idx="11">
                  <c:v>Colima</c:v>
                </c:pt>
                <c:pt idx="12">
                  <c:v>Distrito Federal</c:v>
                </c:pt>
                <c:pt idx="13">
                  <c:v>Durango</c:v>
                </c:pt>
                <c:pt idx="14">
                  <c:v>Guanajuato</c:v>
                </c:pt>
                <c:pt idx="15">
                  <c:v>Guerrero</c:v>
                </c:pt>
                <c:pt idx="16">
                  <c:v>Jalisco</c:v>
                </c:pt>
                <c:pt idx="17">
                  <c:v>Michoacán</c:v>
                </c:pt>
                <c:pt idx="18">
                  <c:v>Morelos</c:v>
                </c:pt>
                <c:pt idx="19">
                  <c:v>Puebla</c:v>
                </c:pt>
                <c:pt idx="20">
                  <c:v>Querétaro</c:v>
                </c:pt>
                <c:pt idx="21">
                  <c:v>Quintana Roo</c:v>
                </c:pt>
                <c:pt idx="22">
                  <c:v>San Luis Potosí</c:v>
                </c:pt>
                <c:pt idx="23">
                  <c:v>Tamaulipas</c:v>
                </c:pt>
                <c:pt idx="24">
                  <c:v>Tlaxcala</c:v>
                </c:pt>
                <c:pt idx="25">
                  <c:v>Veracruz</c:v>
                </c:pt>
                <c:pt idx="26">
                  <c:v>Yucatán</c:v>
                </c:pt>
                <c:pt idx="27">
                  <c:v>Zacatecas</c:v>
                </c:pt>
                <c:pt idx="28">
                  <c:v>Hidalgo</c:v>
                </c:pt>
                <c:pt idx="29">
                  <c:v>México</c:v>
                </c:pt>
                <c:pt idx="30">
                  <c:v>Oaxaca</c:v>
                </c:pt>
                <c:pt idx="31">
                  <c:v>Tabasco</c:v>
                </c:pt>
              </c:strCache>
            </c:strRef>
          </c:cat>
          <c:val>
            <c:numRef>
              <c:f>[Indicadores.xlsx]redes_pot!$D$3:$D$34</c:f>
              <c:numCache>
                <c:formatCode>0.00</c:formatCode>
                <c:ptCount val="32"/>
                <c:pt idx="0">
                  <c:v>1.3711583924349833</c:v>
                </c:pt>
                <c:pt idx="1">
                  <c:v>2.3640661938534167</c:v>
                </c:pt>
                <c:pt idx="2">
                  <c:v>2.4822695035460987</c:v>
                </c:pt>
                <c:pt idx="3">
                  <c:v>2.3877068557919756</c:v>
                </c:pt>
                <c:pt idx="4">
                  <c:v>0.780141843971631</c:v>
                </c:pt>
                <c:pt idx="5">
                  <c:v>4.7044917257683334</c:v>
                </c:pt>
                <c:pt idx="6">
                  <c:v>0.82742316784869896</c:v>
                </c:pt>
                <c:pt idx="7">
                  <c:v>1.2056737588652433</c:v>
                </c:pt>
                <c:pt idx="8">
                  <c:v>3.9716312056737588</c:v>
                </c:pt>
                <c:pt idx="9">
                  <c:v>3.4278959810874712</c:v>
                </c:pt>
                <c:pt idx="10">
                  <c:v>2.8841607565011929</c:v>
                </c:pt>
                <c:pt idx="11">
                  <c:v>1.2293144208037821</c:v>
                </c:pt>
                <c:pt idx="12">
                  <c:v>11.82033096926715</c:v>
                </c:pt>
                <c:pt idx="13">
                  <c:v>2.7186761229314418</c:v>
                </c:pt>
                <c:pt idx="14">
                  <c:v>3.5697399527186802</c:v>
                </c:pt>
                <c:pt idx="15">
                  <c:v>3.262411347517745</c:v>
                </c:pt>
                <c:pt idx="16">
                  <c:v>3.640661938534278</c:v>
                </c:pt>
                <c:pt idx="17">
                  <c:v>4.2080378250591011</c:v>
                </c:pt>
                <c:pt idx="18">
                  <c:v>2.6950354609929081</c:v>
                </c:pt>
                <c:pt idx="19">
                  <c:v>5.2718676122931889</c:v>
                </c:pt>
                <c:pt idx="20">
                  <c:v>2.6950354609929081</c:v>
                </c:pt>
                <c:pt idx="21">
                  <c:v>0.87470449172576903</c:v>
                </c:pt>
                <c:pt idx="22">
                  <c:v>1.513002364066194</c:v>
                </c:pt>
                <c:pt idx="23">
                  <c:v>1.252955082742317</c:v>
                </c:pt>
                <c:pt idx="24">
                  <c:v>1.5839243498817959</c:v>
                </c:pt>
                <c:pt idx="25">
                  <c:v>5.0118203309692673</c:v>
                </c:pt>
                <c:pt idx="26">
                  <c:v>2.0330969267139478</c:v>
                </c:pt>
                <c:pt idx="27">
                  <c:v>1.111111111111112</c:v>
                </c:pt>
                <c:pt idx="28">
                  <c:v>2.8368794326240923</c:v>
                </c:pt>
                <c:pt idx="29">
                  <c:v>8.4869976359338057</c:v>
                </c:pt>
                <c:pt idx="30">
                  <c:v>7.1394799054373532</c:v>
                </c:pt>
                <c:pt idx="31">
                  <c:v>0.63829787234043089</c:v>
                </c:pt>
              </c:numCache>
            </c:numRef>
          </c:val>
          <c:smooth val="0"/>
        </c:ser>
        <c:dLbls>
          <c:showLegendKey val="0"/>
          <c:showVal val="0"/>
          <c:showCatName val="0"/>
          <c:showSerName val="0"/>
          <c:showPercent val="0"/>
          <c:showBubbleSize val="0"/>
        </c:dLbls>
        <c:marker val="1"/>
        <c:smooth val="0"/>
        <c:axId val="443881472"/>
        <c:axId val="277082048"/>
      </c:lineChart>
      <c:catAx>
        <c:axId val="441492480"/>
        <c:scaling>
          <c:orientation val="minMax"/>
        </c:scaling>
        <c:delete val="0"/>
        <c:axPos val="b"/>
        <c:majorTickMark val="out"/>
        <c:minorTickMark val="none"/>
        <c:tickLblPos val="nextTo"/>
        <c:crossAx val="277081472"/>
        <c:crosses val="autoZero"/>
        <c:auto val="1"/>
        <c:lblAlgn val="ctr"/>
        <c:lblOffset val="100"/>
        <c:noMultiLvlLbl val="0"/>
      </c:catAx>
      <c:valAx>
        <c:axId val="277081472"/>
        <c:scaling>
          <c:orientation val="minMax"/>
          <c:max val="5"/>
        </c:scaling>
        <c:delete val="1"/>
        <c:axPos val="l"/>
        <c:numFmt formatCode="0" sourceLinked="1"/>
        <c:majorTickMark val="out"/>
        <c:minorTickMark val="none"/>
        <c:tickLblPos val="nextTo"/>
        <c:crossAx val="441492480"/>
        <c:crosses val="autoZero"/>
        <c:crossBetween val="between"/>
      </c:valAx>
      <c:valAx>
        <c:axId val="277082048"/>
        <c:scaling>
          <c:orientation val="minMax"/>
        </c:scaling>
        <c:delete val="0"/>
        <c:axPos val="r"/>
        <c:numFmt formatCode="0" sourceLinked="0"/>
        <c:majorTickMark val="out"/>
        <c:minorTickMark val="none"/>
        <c:tickLblPos val="nextTo"/>
        <c:crossAx val="443881472"/>
        <c:crosses val="max"/>
        <c:crossBetween val="between"/>
      </c:valAx>
      <c:catAx>
        <c:axId val="443881472"/>
        <c:scaling>
          <c:orientation val="minMax"/>
        </c:scaling>
        <c:delete val="1"/>
        <c:axPos val="b"/>
        <c:majorTickMark val="out"/>
        <c:minorTickMark val="none"/>
        <c:tickLblPos val="none"/>
        <c:crossAx val="277082048"/>
        <c:crosses val="autoZero"/>
        <c:auto val="1"/>
        <c:lblAlgn val="ctr"/>
        <c:lblOffset val="100"/>
        <c:noMultiLvlLbl val="0"/>
      </c:catAx>
    </c:plotArea>
    <c:legend>
      <c:legendPos val="t"/>
      <c:overlay val="0"/>
    </c:legend>
    <c:plotVisOnly val="1"/>
    <c:dispBlanksAs val="gap"/>
    <c:showDLblsOverMax val="0"/>
  </c:chart>
  <c:txPr>
    <a:bodyPr/>
    <a:lstStyle/>
    <a:p>
      <a:pPr>
        <a:defRPr sz="800">
          <a:latin typeface="Adobe Caslon Pro" pitchFamily="18" charset="0"/>
        </a:defRPr>
      </a:pPr>
      <a:endParaRPr lang="es-MX"/>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barChart>
        <c:barDir val="col"/>
        <c:grouping val="clustered"/>
        <c:varyColors val="0"/>
        <c:ser>
          <c:idx val="0"/>
          <c:order val="0"/>
          <c:tx>
            <c:strRef>
              <c:f>OCS_A!$B$2</c:f>
              <c:strCache>
                <c:ptCount val="1"/>
                <c:pt idx="0">
                  <c:v>OSC</c:v>
                </c:pt>
              </c:strCache>
            </c:strRef>
          </c:tx>
          <c:invertIfNegative val="0"/>
          <c:dLbls>
            <c:dLblPos val="outEnd"/>
            <c:showLegendKey val="0"/>
            <c:showVal val="1"/>
            <c:showCatName val="0"/>
            <c:showSerName val="0"/>
            <c:showPercent val="0"/>
            <c:showBubbleSize val="0"/>
            <c:showLeaderLines val="0"/>
          </c:dLbls>
          <c:cat>
            <c:numRef>
              <c:f>OCS_A!$A$3:$A$7</c:f>
              <c:numCache>
                <c:formatCode>General</c:formatCode>
                <c:ptCount val="5"/>
                <c:pt idx="0">
                  <c:v>2009</c:v>
                </c:pt>
                <c:pt idx="1">
                  <c:v>2010</c:v>
                </c:pt>
                <c:pt idx="2">
                  <c:v>2011</c:v>
                </c:pt>
                <c:pt idx="3">
                  <c:v>2012</c:v>
                </c:pt>
                <c:pt idx="4">
                  <c:v>2013</c:v>
                </c:pt>
              </c:numCache>
            </c:numRef>
          </c:cat>
          <c:val>
            <c:numRef>
              <c:f>OCS_A!$B$3:$B$7</c:f>
              <c:numCache>
                <c:formatCode>#,##0</c:formatCode>
                <c:ptCount val="5"/>
                <c:pt idx="0">
                  <c:v>2385</c:v>
                </c:pt>
                <c:pt idx="1">
                  <c:v>2919</c:v>
                </c:pt>
                <c:pt idx="2">
                  <c:v>3256</c:v>
                </c:pt>
                <c:pt idx="3">
                  <c:v>3621</c:v>
                </c:pt>
                <c:pt idx="4">
                  <c:v>3723</c:v>
                </c:pt>
              </c:numCache>
            </c:numRef>
          </c:val>
        </c:ser>
        <c:ser>
          <c:idx val="1"/>
          <c:order val="1"/>
          <c:tx>
            <c:strRef>
              <c:f>OCS_A!$C$2</c:f>
              <c:strCache>
                <c:ptCount val="1"/>
                <c:pt idx="0">
                  <c:v>Academia y Centros de Investigación</c:v>
                </c:pt>
              </c:strCache>
            </c:strRef>
          </c:tx>
          <c:invertIfNegative val="0"/>
          <c:cat>
            <c:numRef>
              <c:f>OCS_A!$A$3:$A$7</c:f>
              <c:numCache>
                <c:formatCode>General</c:formatCode>
                <c:ptCount val="5"/>
                <c:pt idx="0">
                  <c:v>2009</c:v>
                </c:pt>
                <c:pt idx="1">
                  <c:v>2010</c:v>
                </c:pt>
                <c:pt idx="2">
                  <c:v>2011</c:v>
                </c:pt>
                <c:pt idx="3">
                  <c:v>2012</c:v>
                </c:pt>
                <c:pt idx="4">
                  <c:v>2013</c:v>
                </c:pt>
              </c:numCache>
            </c:numRef>
          </c:cat>
          <c:val>
            <c:numRef>
              <c:f>OCS_A!$C$3:$C$7</c:f>
              <c:numCache>
                <c:formatCode>#,##0</c:formatCode>
                <c:ptCount val="5"/>
                <c:pt idx="0">
                  <c:v>24</c:v>
                </c:pt>
                <c:pt idx="1">
                  <c:v>34</c:v>
                </c:pt>
                <c:pt idx="2">
                  <c:v>36</c:v>
                </c:pt>
                <c:pt idx="3">
                  <c:v>41</c:v>
                </c:pt>
                <c:pt idx="4">
                  <c:v>42</c:v>
                </c:pt>
              </c:numCache>
            </c:numRef>
          </c:val>
        </c:ser>
        <c:dLbls>
          <c:showLegendKey val="0"/>
          <c:showVal val="0"/>
          <c:showCatName val="0"/>
          <c:showSerName val="0"/>
          <c:showPercent val="0"/>
          <c:showBubbleSize val="0"/>
        </c:dLbls>
        <c:gapWidth val="150"/>
        <c:axId val="443432448"/>
        <c:axId val="277083776"/>
      </c:barChart>
      <c:catAx>
        <c:axId val="443432448"/>
        <c:scaling>
          <c:orientation val="minMax"/>
        </c:scaling>
        <c:delete val="0"/>
        <c:axPos val="b"/>
        <c:numFmt formatCode="General" sourceLinked="1"/>
        <c:majorTickMark val="out"/>
        <c:minorTickMark val="none"/>
        <c:tickLblPos val="nextTo"/>
        <c:crossAx val="277083776"/>
        <c:crosses val="autoZero"/>
        <c:auto val="1"/>
        <c:lblAlgn val="ctr"/>
        <c:lblOffset val="100"/>
        <c:noMultiLvlLbl val="0"/>
      </c:catAx>
      <c:valAx>
        <c:axId val="277083776"/>
        <c:scaling>
          <c:orientation val="minMax"/>
        </c:scaling>
        <c:delete val="0"/>
        <c:axPos val="l"/>
        <c:numFmt formatCode="#,##0" sourceLinked="1"/>
        <c:majorTickMark val="out"/>
        <c:minorTickMark val="none"/>
        <c:tickLblPos val="nextTo"/>
        <c:crossAx val="443432448"/>
        <c:crosses val="autoZero"/>
        <c:crossBetween val="between"/>
      </c:valAx>
    </c:plotArea>
    <c:legend>
      <c:legendPos val="b"/>
      <c:overlay val="0"/>
    </c:legend>
    <c:plotVisOnly val="1"/>
    <c:dispBlanksAs val="gap"/>
    <c:showDLblsOverMax val="0"/>
  </c:chart>
  <c:txPr>
    <a:bodyPr/>
    <a:lstStyle/>
    <a:p>
      <a:pPr>
        <a:defRPr>
          <a:latin typeface="Adobe Caslon Pro" pitchFamily="18" charset="0"/>
        </a:defRPr>
      </a:pPr>
      <a:endParaRPr lang="es-MX"/>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barChart>
        <c:barDir val="col"/>
        <c:grouping val="stacked"/>
        <c:varyColors val="0"/>
        <c:ser>
          <c:idx val="0"/>
          <c:order val="0"/>
          <c:tx>
            <c:strRef>
              <c:f>Vertiente!$A$25</c:f>
              <c:strCache>
                <c:ptCount val="1"/>
                <c:pt idx="0">
                  <c:v>Desarrollo Humano y Social </c:v>
                </c:pt>
              </c:strCache>
            </c:strRef>
          </c:tx>
          <c:invertIfNegative val="0"/>
          <c:dLbls>
            <c:txPr>
              <a:bodyPr rot="-5400000" vert="horz"/>
              <a:lstStyle/>
              <a:p>
                <a:pPr>
                  <a:defRPr/>
                </a:pPr>
                <a:endParaRPr lang="es-MX"/>
              </a:p>
            </c:txPr>
            <c:dLblPos val="ctr"/>
            <c:showLegendKey val="0"/>
            <c:showVal val="1"/>
            <c:showCatName val="0"/>
            <c:showSerName val="0"/>
            <c:showPercent val="0"/>
            <c:showBubbleSize val="0"/>
            <c:showLeaderLines val="0"/>
          </c:dLbls>
          <c:cat>
            <c:numRef>
              <c:f>Vertiente!$B$24:$F$24</c:f>
              <c:numCache>
                <c:formatCode>General</c:formatCode>
                <c:ptCount val="5"/>
                <c:pt idx="0">
                  <c:v>2009</c:v>
                </c:pt>
                <c:pt idx="1">
                  <c:v>2010</c:v>
                </c:pt>
                <c:pt idx="2">
                  <c:v>2011</c:v>
                </c:pt>
                <c:pt idx="3">
                  <c:v>2012</c:v>
                </c:pt>
                <c:pt idx="4">
                  <c:v>2013</c:v>
                </c:pt>
              </c:numCache>
            </c:numRef>
          </c:cat>
          <c:val>
            <c:numRef>
              <c:f>Vertiente!$B$25:$F$25</c:f>
              <c:numCache>
                <c:formatCode>#,##0</c:formatCode>
                <c:ptCount val="5"/>
                <c:pt idx="0">
                  <c:v>1923</c:v>
                </c:pt>
                <c:pt idx="1">
                  <c:v>2062</c:v>
                </c:pt>
                <c:pt idx="2">
                  <c:v>2226</c:v>
                </c:pt>
                <c:pt idx="3">
                  <c:v>2422</c:v>
                </c:pt>
                <c:pt idx="4">
                  <c:v>2478</c:v>
                </c:pt>
              </c:numCache>
            </c:numRef>
          </c:val>
        </c:ser>
        <c:ser>
          <c:idx val="1"/>
          <c:order val="1"/>
          <c:tx>
            <c:strRef>
              <c:f>Vertiente!$A$26</c:f>
              <c:strCache>
                <c:ptCount val="1"/>
                <c:pt idx="0">
                  <c:v>Fortalecimiento y Profesionalización</c:v>
                </c:pt>
              </c:strCache>
            </c:strRef>
          </c:tx>
          <c:invertIfNegative val="0"/>
          <c:dLbls>
            <c:dLblPos val="ctr"/>
            <c:showLegendKey val="0"/>
            <c:showVal val="1"/>
            <c:showCatName val="0"/>
            <c:showSerName val="0"/>
            <c:showPercent val="0"/>
            <c:showBubbleSize val="0"/>
            <c:showLeaderLines val="0"/>
          </c:dLbls>
          <c:cat>
            <c:numRef>
              <c:f>Vertiente!$B$24:$F$24</c:f>
              <c:numCache>
                <c:formatCode>General</c:formatCode>
                <c:ptCount val="5"/>
                <c:pt idx="0">
                  <c:v>2009</c:v>
                </c:pt>
                <c:pt idx="1">
                  <c:v>2010</c:v>
                </c:pt>
                <c:pt idx="2">
                  <c:v>2011</c:v>
                </c:pt>
                <c:pt idx="3">
                  <c:v>2012</c:v>
                </c:pt>
                <c:pt idx="4">
                  <c:v>2013</c:v>
                </c:pt>
              </c:numCache>
            </c:numRef>
          </c:cat>
          <c:val>
            <c:numRef>
              <c:f>Vertiente!$B$26:$F$26</c:f>
              <c:numCache>
                <c:formatCode>#,##0</c:formatCode>
                <c:ptCount val="5"/>
                <c:pt idx="0">
                  <c:v>382</c:v>
                </c:pt>
                <c:pt idx="1">
                  <c:v>411</c:v>
                </c:pt>
                <c:pt idx="2">
                  <c:v>455</c:v>
                </c:pt>
                <c:pt idx="3">
                  <c:v>477</c:v>
                </c:pt>
                <c:pt idx="4">
                  <c:v>359</c:v>
                </c:pt>
              </c:numCache>
            </c:numRef>
          </c:val>
        </c:ser>
        <c:ser>
          <c:idx val="2"/>
          <c:order val="2"/>
          <c:tx>
            <c:strRef>
              <c:f>Vertiente!$A$27</c:f>
              <c:strCache>
                <c:ptCount val="1"/>
                <c:pt idx="0">
                  <c:v>Investigación para el Desarrollo Social </c:v>
                </c:pt>
              </c:strCache>
            </c:strRef>
          </c:tx>
          <c:invertIfNegative val="0"/>
          <c:dLbls>
            <c:dLblPos val="ctr"/>
            <c:showLegendKey val="0"/>
            <c:showVal val="1"/>
            <c:showCatName val="0"/>
            <c:showSerName val="0"/>
            <c:showPercent val="0"/>
            <c:showBubbleSize val="0"/>
            <c:showLeaderLines val="0"/>
          </c:dLbls>
          <c:cat>
            <c:numRef>
              <c:f>Vertiente!$B$24:$F$24</c:f>
              <c:numCache>
                <c:formatCode>General</c:formatCode>
                <c:ptCount val="5"/>
                <c:pt idx="0">
                  <c:v>2009</c:v>
                </c:pt>
                <c:pt idx="1">
                  <c:v>2010</c:v>
                </c:pt>
                <c:pt idx="2">
                  <c:v>2011</c:v>
                </c:pt>
                <c:pt idx="3">
                  <c:v>2012</c:v>
                </c:pt>
                <c:pt idx="4">
                  <c:v>2013</c:v>
                </c:pt>
              </c:numCache>
            </c:numRef>
          </c:cat>
          <c:val>
            <c:numRef>
              <c:f>Vertiente!$B$27:$F$27</c:f>
              <c:numCache>
                <c:formatCode>#,##0</c:formatCode>
                <c:ptCount val="5"/>
                <c:pt idx="0">
                  <c:v>94</c:v>
                </c:pt>
                <c:pt idx="1">
                  <c:v>94</c:v>
                </c:pt>
                <c:pt idx="2">
                  <c:v>91</c:v>
                </c:pt>
                <c:pt idx="3">
                  <c:v>104</c:v>
                </c:pt>
                <c:pt idx="4">
                  <c:v>50</c:v>
                </c:pt>
              </c:numCache>
            </c:numRef>
          </c:val>
        </c:ser>
        <c:dLbls>
          <c:showLegendKey val="0"/>
          <c:showVal val="0"/>
          <c:showCatName val="0"/>
          <c:showSerName val="0"/>
          <c:showPercent val="0"/>
          <c:showBubbleSize val="0"/>
        </c:dLbls>
        <c:gapWidth val="150"/>
        <c:overlap val="100"/>
        <c:axId val="441493504"/>
        <c:axId val="277085504"/>
      </c:barChart>
      <c:catAx>
        <c:axId val="441493504"/>
        <c:scaling>
          <c:orientation val="minMax"/>
        </c:scaling>
        <c:delete val="0"/>
        <c:axPos val="b"/>
        <c:numFmt formatCode="General" sourceLinked="1"/>
        <c:majorTickMark val="out"/>
        <c:minorTickMark val="none"/>
        <c:tickLblPos val="nextTo"/>
        <c:crossAx val="277085504"/>
        <c:crosses val="autoZero"/>
        <c:auto val="1"/>
        <c:lblAlgn val="ctr"/>
        <c:lblOffset val="100"/>
        <c:noMultiLvlLbl val="0"/>
      </c:catAx>
      <c:valAx>
        <c:axId val="277085504"/>
        <c:scaling>
          <c:orientation val="minMax"/>
        </c:scaling>
        <c:delete val="0"/>
        <c:axPos val="l"/>
        <c:numFmt formatCode="#,##0" sourceLinked="1"/>
        <c:majorTickMark val="out"/>
        <c:minorTickMark val="none"/>
        <c:tickLblPos val="nextTo"/>
        <c:crossAx val="441493504"/>
        <c:crosses val="autoZero"/>
        <c:crossBetween val="between"/>
      </c:valAx>
    </c:plotArea>
    <c:legend>
      <c:legendPos val="r"/>
      <c:overlay val="0"/>
    </c:legend>
    <c:plotVisOnly val="1"/>
    <c:dispBlanksAs val="gap"/>
    <c:showDLblsOverMax val="0"/>
  </c:chart>
  <c:txPr>
    <a:bodyPr/>
    <a:lstStyle/>
    <a:p>
      <a:pPr>
        <a:defRPr>
          <a:latin typeface="Adobe Caslon Pro" pitchFamily="18" charset="0"/>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0.18045603674540944"/>
          <c:y val="0.10145277585834002"/>
          <c:w val="0.73065507436571353"/>
          <c:h val="0.5044284047827291"/>
        </c:manualLayout>
      </c:layout>
      <c:barChart>
        <c:barDir val="col"/>
        <c:grouping val="percentStacked"/>
        <c:varyColors val="0"/>
        <c:ser>
          <c:idx val="0"/>
          <c:order val="0"/>
          <c:tx>
            <c:strRef>
              <c:f>Hoja3!$B$16</c:f>
              <c:strCache>
                <c:ptCount val="1"/>
                <c:pt idx="0">
                  <c:v>ACTIVA</c:v>
                </c:pt>
              </c:strCache>
            </c:strRef>
          </c:tx>
          <c:invertIfNegative val="0"/>
          <c:dLbls>
            <c:txPr>
              <a:bodyPr/>
              <a:lstStyle/>
              <a:p>
                <a:pPr>
                  <a:defRPr>
                    <a:solidFill>
                      <a:schemeClr val="bg1"/>
                    </a:solidFill>
                  </a:defRPr>
                </a:pPr>
                <a:endParaRPr lang="es-MX"/>
              </a:p>
            </c:txPr>
            <c:dLblPos val="ctr"/>
            <c:showLegendKey val="0"/>
            <c:showVal val="1"/>
            <c:showCatName val="0"/>
            <c:showSerName val="0"/>
            <c:showPercent val="0"/>
            <c:showBubbleSize val="0"/>
            <c:showLeaderLines val="0"/>
          </c:dLbls>
          <c:cat>
            <c:strRef>
              <c:f>Hoja3!$A$17:$A$22</c:f>
              <c:strCache>
                <c:ptCount val="6"/>
                <c:pt idx="0">
                  <c:v>Asociación Civil</c:v>
                </c:pt>
                <c:pt idx="1">
                  <c:v>Asoc de Benef Privada</c:v>
                </c:pt>
                <c:pt idx="2">
                  <c:v>Inst de Asistencia Privada</c:v>
                </c:pt>
                <c:pt idx="3">
                  <c:v>Instit de Benef Privada </c:v>
                </c:pt>
                <c:pt idx="4">
                  <c:v>Otra</c:v>
                </c:pt>
                <c:pt idx="5">
                  <c:v>Sociedad Civil</c:v>
                </c:pt>
              </c:strCache>
            </c:strRef>
          </c:cat>
          <c:val>
            <c:numRef>
              <c:f>Hoja3!$B$17:$B$22</c:f>
              <c:numCache>
                <c:formatCode>_-* #,##0_-;\-* #,##0_-;_-* "-"??_-;_-@_-</c:formatCode>
                <c:ptCount val="6"/>
                <c:pt idx="0">
                  <c:v>19015</c:v>
                </c:pt>
                <c:pt idx="1">
                  <c:v>76</c:v>
                </c:pt>
                <c:pt idx="2">
                  <c:v>726</c:v>
                </c:pt>
                <c:pt idx="3">
                  <c:v>43</c:v>
                </c:pt>
                <c:pt idx="4">
                  <c:v>338</c:v>
                </c:pt>
                <c:pt idx="5">
                  <c:v>70</c:v>
                </c:pt>
              </c:numCache>
            </c:numRef>
          </c:val>
        </c:ser>
        <c:ser>
          <c:idx val="1"/>
          <c:order val="1"/>
          <c:tx>
            <c:strRef>
              <c:f>Hoja3!$C$16</c:f>
              <c:strCache>
                <c:ptCount val="1"/>
                <c:pt idx="0">
                  <c:v>INACTIVA</c:v>
                </c:pt>
              </c:strCache>
            </c:strRef>
          </c:tx>
          <c:invertIfNegative val="0"/>
          <c:dLbls>
            <c:dLblPos val="ctr"/>
            <c:showLegendKey val="0"/>
            <c:showVal val="1"/>
            <c:showCatName val="0"/>
            <c:showSerName val="0"/>
            <c:showPercent val="0"/>
            <c:showBubbleSize val="0"/>
            <c:showLeaderLines val="0"/>
          </c:dLbls>
          <c:cat>
            <c:strRef>
              <c:f>Hoja3!$A$17:$A$22</c:f>
              <c:strCache>
                <c:ptCount val="6"/>
                <c:pt idx="0">
                  <c:v>Asociación Civil</c:v>
                </c:pt>
                <c:pt idx="1">
                  <c:v>Asoc de Benef Privada</c:v>
                </c:pt>
                <c:pt idx="2">
                  <c:v>Inst de Asistencia Privada</c:v>
                </c:pt>
                <c:pt idx="3">
                  <c:v>Instit de Benef Privada </c:v>
                </c:pt>
                <c:pt idx="4">
                  <c:v>Otra</c:v>
                </c:pt>
                <c:pt idx="5">
                  <c:v>Sociedad Civil</c:v>
                </c:pt>
              </c:strCache>
            </c:strRef>
          </c:cat>
          <c:val>
            <c:numRef>
              <c:f>Hoja3!$C$17:$C$22</c:f>
              <c:numCache>
                <c:formatCode>_-* #,##0_-;\-* #,##0_-;_-* "-"??_-;_-@_-</c:formatCode>
                <c:ptCount val="6"/>
                <c:pt idx="0">
                  <c:v>3172</c:v>
                </c:pt>
                <c:pt idx="1">
                  <c:v>16</c:v>
                </c:pt>
                <c:pt idx="2">
                  <c:v>129</c:v>
                </c:pt>
                <c:pt idx="3">
                  <c:v>2</c:v>
                </c:pt>
                <c:pt idx="4">
                  <c:v>98</c:v>
                </c:pt>
              </c:numCache>
            </c:numRef>
          </c:val>
        </c:ser>
        <c:dLbls>
          <c:showLegendKey val="0"/>
          <c:showVal val="0"/>
          <c:showCatName val="0"/>
          <c:showSerName val="0"/>
          <c:showPercent val="0"/>
          <c:showBubbleSize val="0"/>
        </c:dLbls>
        <c:gapWidth val="30"/>
        <c:overlap val="100"/>
        <c:axId val="440497152"/>
        <c:axId val="276433152"/>
      </c:barChart>
      <c:catAx>
        <c:axId val="440497152"/>
        <c:scaling>
          <c:orientation val="minMax"/>
        </c:scaling>
        <c:delete val="0"/>
        <c:axPos val="b"/>
        <c:numFmt formatCode="General" sourceLinked="1"/>
        <c:majorTickMark val="none"/>
        <c:minorTickMark val="none"/>
        <c:tickLblPos val="nextTo"/>
        <c:txPr>
          <a:bodyPr rot="-60000000" vert="horz"/>
          <a:lstStyle/>
          <a:p>
            <a:pPr>
              <a:defRPr sz="900"/>
            </a:pPr>
            <a:endParaRPr lang="es-MX"/>
          </a:p>
        </c:txPr>
        <c:crossAx val="276433152"/>
        <c:crosses val="autoZero"/>
        <c:auto val="1"/>
        <c:lblAlgn val="ctr"/>
        <c:lblOffset val="100"/>
        <c:noMultiLvlLbl val="0"/>
      </c:catAx>
      <c:valAx>
        <c:axId val="276433152"/>
        <c:scaling>
          <c:orientation val="minMax"/>
          <c:max val="1"/>
        </c:scaling>
        <c:delete val="0"/>
        <c:axPos val="l"/>
        <c:numFmt formatCode="0%" sourceLinked="1"/>
        <c:majorTickMark val="none"/>
        <c:minorTickMark val="none"/>
        <c:tickLblPos val="nextTo"/>
        <c:txPr>
          <a:bodyPr rot="-60000000" vert="horz"/>
          <a:lstStyle/>
          <a:p>
            <a:pPr>
              <a:defRPr/>
            </a:pPr>
            <a:endParaRPr lang="es-MX"/>
          </a:p>
        </c:txPr>
        <c:crossAx val="440497152"/>
        <c:crosses val="autoZero"/>
        <c:crossBetween val="between"/>
        <c:majorUnit val="0.25"/>
      </c:valAx>
    </c:plotArea>
    <c:legend>
      <c:legendPos val="b"/>
      <c:layout>
        <c:manualLayout>
          <c:xMode val="edge"/>
          <c:yMode val="edge"/>
          <c:x val="0.33864457567804601"/>
          <c:y val="0.91776452723351065"/>
          <c:w val="0.34493285214348202"/>
          <c:h val="7.8125546806649196E-2"/>
        </c:manualLayout>
      </c:layout>
      <c:overlay val="0"/>
      <c:txPr>
        <a:bodyPr rot="0" vert="horz"/>
        <a:lstStyle/>
        <a:p>
          <a:pPr>
            <a:defRPr sz="900"/>
          </a:pPr>
          <a:endParaRPr lang="es-MX"/>
        </a:p>
      </c:txPr>
    </c:legend>
    <c:plotVisOnly val="1"/>
    <c:dispBlanksAs val="gap"/>
    <c:showDLblsOverMax val="0"/>
  </c:chart>
  <c:txPr>
    <a:bodyPr/>
    <a:lstStyle/>
    <a:p>
      <a:pPr>
        <a:defRPr>
          <a:latin typeface="Adobe Caslon Pro" pitchFamily="18" charset="0"/>
        </a:defRPr>
      </a:pPr>
      <a:endParaRPr lang="es-MX"/>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barChart>
        <c:barDir val="col"/>
        <c:grouping val="clustered"/>
        <c:varyColors val="0"/>
        <c:ser>
          <c:idx val="0"/>
          <c:order val="0"/>
          <c:tx>
            <c:strRef>
              <c:f>[Indicadores.xlsx]Pob_ext_obj!$D$1</c:f>
              <c:strCache>
                <c:ptCount val="1"/>
                <c:pt idx="0">
                  <c:v>Concentración pobreza</c:v>
                </c:pt>
              </c:strCache>
            </c:strRef>
          </c:tx>
          <c:invertIfNegative val="0"/>
          <c:cat>
            <c:strRef>
              <c:f>[Indicadores.xlsx]Pob_ext_obj!$A$2:$A$33</c:f>
              <c:strCache>
                <c:ptCount val="32"/>
                <c:pt idx="0">
                  <c:v>Chiapas</c:v>
                </c:pt>
                <c:pt idx="1">
                  <c:v>Guerrero</c:v>
                </c:pt>
                <c:pt idx="2">
                  <c:v>Oaxaca</c:v>
                </c:pt>
                <c:pt idx="3">
                  <c:v>Puebla</c:v>
                </c:pt>
                <c:pt idx="4">
                  <c:v>Michoacán</c:v>
                </c:pt>
                <c:pt idx="5">
                  <c:v>Tabasco</c:v>
                </c:pt>
                <c:pt idx="6">
                  <c:v>Veracruz</c:v>
                </c:pt>
                <c:pt idx="7">
                  <c:v>San Luis Potosí</c:v>
                </c:pt>
                <c:pt idx="8">
                  <c:v>Nayarit</c:v>
                </c:pt>
                <c:pt idx="9">
                  <c:v>Campeche</c:v>
                </c:pt>
                <c:pt idx="10">
                  <c:v>Hidalgo</c:v>
                </c:pt>
                <c:pt idx="11">
                  <c:v>Yucatán</c:v>
                </c:pt>
                <c:pt idx="12">
                  <c:v>Tlaxcala</c:v>
                </c:pt>
                <c:pt idx="13">
                  <c:v>Quintana Roo</c:v>
                </c:pt>
                <c:pt idx="14">
                  <c:v>Zacatecas</c:v>
                </c:pt>
                <c:pt idx="15">
                  <c:v>Durango</c:v>
                </c:pt>
                <c:pt idx="16">
                  <c:v>Guanajuato</c:v>
                </c:pt>
                <c:pt idx="17">
                  <c:v>Morelos</c:v>
                </c:pt>
                <c:pt idx="18">
                  <c:v>México</c:v>
                </c:pt>
                <c:pt idx="19">
                  <c:v>Jalisco</c:v>
                </c:pt>
                <c:pt idx="20">
                  <c:v>Querétaro</c:v>
                </c:pt>
                <c:pt idx="21">
                  <c:v>Sonora</c:v>
                </c:pt>
                <c:pt idx="22">
                  <c:v>Tamaulipas</c:v>
                </c:pt>
                <c:pt idx="23">
                  <c:v>Sinaloa</c:v>
                </c:pt>
                <c:pt idx="24">
                  <c:v>Colima</c:v>
                </c:pt>
                <c:pt idx="25">
                  <c:v>Chihuahua</c:v>
                </c:pt>
                <c:pt idx="26">
                  <c:v>Baja California Sur</c:v>
                </c:pt>
                <c:pt idx="27">
                  <c:v>Aguascalientes</c:v>
                </c:pt>
                <c:pt idx="28">
                  <c:v>Coahuila</c:v>
                </c:pt>
                <c:pt idx="29">
                  <c:v>Baja California</c:v>
                </c:pt>
                <c:pt idx="30">
                  <c:v>Distrito Federal</c:v>
                </c:pt>
                <c:pt idx="31">
                  <c:v>Nuevo León</c:v>
                </c:pt>
              </c:strCache>
            </c:strRef>
          </c:cat>
          <c:val>
            <c:numRef>
              <c:f>[Indicadores.xlsx]Pob_ext_obj!$D$2:$D$33</c:f>
              <c:numCache>
                <c:formatCode>0.0</c:formatCode>
                <c:ptCount val="32"/>
                <c:pt idx="0">
                  <c:v>14.131356281361271</c:v>
                </c:pt>
                <c:pt idx="1">
                  <c:v>9.6410340924368629</c:v>
                </c:pt>
                <c:pt idx="2">
                  <c:v>7.9502990298336202</c:v>
                </c:pt>
                <c:pt idx="3">
                  <c:v>9.1862138356051517</c:v>
                </c:pt>
                <c:pt idx="4">
                  <c:v>5.6409993971697316</c:v>
                </c:pt>
                <c:pt idx="5">
                  <c:v>2.8692899179890587</c:v>
                </c:pt>
                <c:pt idx="6">
                  <c:v>9.7316060872846197</c:v>
                </c:pt>
                <c:pt idx="7">
                  <c:v>2.9746507704517762</c:v>
                </c:pt>
                <c:pt idx="8">
                  <c:v>1.2029543019962801</c:v>
                </c:pt>
                <c:pt idx="9">
                  <c:v>0.7870621348865221</c:v>
                </c:pt>
                <c:pt idx="10">
                  <c:v>2.4001665372822352</c:v>
                </c:pt>
                <c:pt idx="11">
                  <c:v>1.7400457110144458</c:v>
                </c:pt>
                <c:pt idx="12">
                  <c:v>0.97359256480424961</c:v>
                </c:pt>
                <c:pt idx="13">
                  <c:v>1.0595934582073741</c:v>
                </c:pt>
                <c:pt idx="14">
                  <c:v>1.0000563798090889</c:v>
                </c:pt>
                <c:pt idx="15">
                  <c:v>1.110482741273062</c:v>
                </c:pt>
                <c:pt idx="16">
                  <c:v>3.3988437802228195</c:v>
                </c:pt>
                <c:pt idx="17">
                  <c:v>1.016345807727504</c:v>
                </c:pt>
                <c:pt idx="18">
                  <c:v>8.2025422956991267</c:v>
                </c:pt>
                <c:pt idx="19">
                  <c:v>3.8700835722247038</c:v>
                </c:pt>
                <c:pt idx="20">
                  <c:v>0.85621847609713064</c:v>
                </c:pt>
                <c:pt idx="21">
                  <c:v>1.212937865113475</c:v>
                </c:pt>
                <c:pt idx="22">
                  <c:v>1.3891984959601678</c:v>
                </c:pt>
                <c:pt idx="23">
                  <c:v>1.1295130952948838</c:v>
                </c:pt>
                <c:pt idx="24">
                  <c:v>0.23791412054003344</c:v>
                </c:pt>
                <c:pt idx="25">
                  <c:v>1.1821544893507285</c:v>
                </c:pt>
                <c:pt idx="26">
                  <c:v>0.22374110391666199</c:v>
                </c:pt>
                <c:pt idx="27">
                  <c:v>0.36412682854900258</c:v>
                </c:pt>
                <c:pt idx="28">
                  <c:v>0.80400209906366049</c:v>
                </c:pt>
                <c:pt idx="29">
                  <c:v>0.79375832144297598</c:v>
                </c:pt>
                <c:pt idx="30">
                  <c:v>1.8997827208895861</c:v>
                </c:pt>
                <c:pt idx="31">
                  <c:v>1.0194336865022398</c:v>
                </c:pt>
              </c:numCache>
            </c:numRef>
          </c:val>
        </c:ser>
        <c:dLbls>
          <c:showLegendKey val="0"/>
          <c:showVal val="0"/>
          <c:showCatName val="0"/>
          <c:showSerName val="0"/>
          <c:showPercent val="0"/>
          <c:showBubbleSize val="0"/>
        </c:dLbls>
        <c:gapWidth val="150"/>
        <c:axId val="443429376"/>
        <c:axId val="299705472"/>
      </c:barChart>
      <c:lineChart>
        <c:grouping val="standard"/>
        <c:varyColors val="0"/>
        <c:ser>
          <c:idx val="1"/>
          <c:order val="1"/>
          <c:tx>
            <c:strRef>
              <c:f>[Indicadores.xlsx]Pob_ext_obj!$E$1</c:f>
              <c:strCache>
                <c:ptCount val="1"/>
                <c:pt idx="0">
                  <c:v>Concentración incidencia</c:v>
                </c:pt>
              </c:strCache>
            </c:strRef>
          </c:tx>
          <c:marker>
            <c:symbol val="none"/>
          </c:marker>
          <c:cat>
            <c:strRef>
              <c:f>[Indicadores.xlsx]Pob_ext_obj!$A$2:$A$33</c:f>
              <c:strCache>
                <c:ptCount val="32"/>
                <c:pt idx="0">
                  <c:v>Chiapas</c:v>
                </c:pt>
                <c:pt idx="1">
                  <c:v>Guerrero</c:v>
                </c:pt>
                <c:pt idx="2">
                  <c:v>Oaxaca</c:v>
                </c:pt>
                <c:pt idx="3">
                  <c:v>Puebla</c:v>
                </c:pt>
                <c:pt idx="4">
                  <c:v>Michoacán</c:v>
                </c:pt>
                <c:pt idx="5">
                  <c:v>Tabasco</c:v>
                </c:pt>
                <c:pt idx="6">
                  <c:v>Veracruz</c:v>
                </c:pt>
                <c:pt idx="7">
                  <c:v>San Luis Potosí</c:v>
                </c:pt>
                <c:pt idx="8">
                  <c:v>Nayarit</c:v>
                </c:pt>
                <c:pt idx="9">
                  <c:v>Campeche</c:v>
                </c:pt>
                <c:pt idx="10">
                  <c:v>Hidalgo</c:v>
                </c:pt>
                <c:pt idx="11">
                  <c:v>Yucatán</c:v>
                </c:pt>
                <c:pt idx="12">
                  <c:v>Tlaxcala</c:v>
                </c:pt>
                <c:pt idx="13">
                  <c:v>Quintana Roo</c:v>
                </c:pt>
                <c:pt idx="14">
                  <c:v>Zacatecas</c:v>
                </c:pt>
                <c:pt idx="15">
                  <c:v>Durango</c:v>
                </c:pt>
                <c:pt idx="16">
                  <c:v>Guanajuato</c:v>
                </c:pt>
                <c:pt idx="17">
                  <c:v>Morelos</c:v>
                </c:pt>
                <c:pt idx="18">
                  <c:v>México</c:v>
                </c:pt>
                <c:pt idx="19">
                  <c:v>Jalisco</c:v>
                </c:pt>
                <c:pt idx="20">
                  <c:v>Querétaro</c:v>
                </c:pt>
                <c:pt idx="21">
                  <c:v>Sonora</c:v>
                </c:pt>
                <c:pt idx="22">
                  <c:v>Tamaulipas</c:v>
                </c:pt>
                <c:pt idx="23">
                  <c:v>Sinaloa</c:v>
                </c:pt>
                <c:pt idx="24">
                  <c:v>Colima</c:v>
                </c:pt>
                <c:pt idx="25">
                  <c:v>Chihuahua</c:v>
                </c:pt>
                <c:pt idx="26">
                  <c:v>Baja California Sur</c:v>
                </c:pt>
                <c:pt idx="27">
                  <c:v>Aguascalientes</c:v>
                </c:pt>
                <c:pt idx="28">
                  <c:v>Coahuila</c:v>
                </c:pt>
                <c:pt idx="29">
                  <c:v>Baja California</c:v>
                </c:pt>
                <c:pt idx="30">
                  <c:v>Distrito Federal</c:v>
                </c:pt>
                <c:pt idx="31">
                  <c:v>Nuevo León</c:v>
                </c:pt>
              </c:strCache>
            </c:strRef>
          </c:cat>
          <c:val>
            <c:numRef>
              <c:f>[Indicadores.xlsx]Pob_ext_obj!$E$2:$E$33</c:f>
              <c:numCache>
                <c:formatCode>0.00</c:formatCode>
                <c:ptCount val="32"/>
                <c:pt idx="0">
                  <c:v>4.0677966101694745</c:v>
                </c:pt>
                <c:pt idx="1">
                  <c:v>3.0200308166409982</c:v>
                </c:pt>
                <c:pt idx="2">
                  <c:v>7.3959938366717779</c:v>
                </c:pt>
                <c:pt idx="3">
                  <c:v>5.6086286594761168</c:v>
                </c:pt>
                <c:pt idx="4">
                  <c:v>4.1602465331278866</c:v>
                </c:pt>
                <c:pt idx="5">
                  <c:v>0.9861325115562366</c:v>
                </c:pt>
                <c:pt idx="6">
                  <c:v>5.1771956856702621</c:v>
                </c:pt>
                <c:pt idx="7">
                  <c:v>1.4483821263482386</c:v>
                </c:pt>
                <c:pt idx="8">
                  <c:v>1.4483821263482386</c:v>
                </c:pt>
                <c:pt idx="9">
                  <c:v>1.2942989214175717</c:v>
                </c:pt>
                <c:pt idx="10">
                  <c:v>2.927580893682594</c:v>
                </c:pt>
                <c:pt idx="11">
                  <c:v>2.3420647149460709</c:v>
                </c:pt>
                <c:pt idx="12">
                  <c:v>1.7257318952234104</c:v>
                </c:pt>
                <c:pt idx="13">
                  <c:v>0.89368258859784011</c:v>
                </c:pt>
                <c:pt idx="14">
                  <c:v>1.20184899845916</c:v>
                </c:pt>
                <c:pt idx="15">
                  <c:v>2.8659476117103231</c:v>
                </c:pt>
                <c:pt idx="16">
                  <c:v>3.4822804314329741</c:v>
                </c:pt>
                <c:pt idx="17">
                  <c:v>2.8659476117103231</c:v>
                </c:pt>
                <c:pt idx="18">
                  <c:v>6.9029275808936834</c:v>
                </c:pt>
                <c:pt idx="19">
                  <c:v>3.3590138674884438</c:v>
                </c:pt>
                <c:pt idx="20">
                  <c:v>2.8659476117103231</c:v>
                </c:pt>
                <c:pt idx="21">
                  <c:v>2.5577812018490098</c:v>
                </c:pt>
                <c:pt idx="22">
                  <c:v>1.5100154083204931</c:v>
                </c:pt>
                <c:pt idx="23">
                  <c:v>2.773497688751946</c:v>
                </c:pt>
                <c:pt idx="24">
                  <c:v>1.4175654853620874</c:v>
                </c:pt>
                <c:pt idx="25">
                  <c:v>3.7904468412942989</c:v>
                </c:pt>
                <c:pt idx="26">
                  <c:v>0.86286594761171165</c:v>
                </c:pt>
                <c:pt idx="27">
                  <c:v>0.55469953775038816</c:v>
                </c:pt>
                <c:pt idx="28">
                  <c:v>3.235747303543913</c:v>
                </c:pt>
                <c:pt idx="29">
                  <c:v>5.1771956856702621</c:v>
                </c:pt>
                <c:pt idx="30">
                  <c:v>10.015408320493069</c:v>
                </c:pt>
                <c:pt idx="31">
                  <c:v>2.6194144838212567</c:v>
                </c:pt>
              </c:numCache>
            </c:numRef>
          </c:val>
          <c:smooth val="0"/>
        </c:ser>
        <c:dLbls>
          <c:showLegendKey val="0"/>
          <c:showVal val="0"/>
          <c:showCatName val="0"/>
          <c:showSerName val="0"/>
          <c:showPercent val="0"/>
          <c:showBubbleSize val="0"/>
        </c:dLbls>
        <c:marker val="1"/>
        <c:smooth val="0"/>
        <c:axId val="443429376"/>
        <c:axId val="299705472"/>
      </c:lineChart>
      <c:catAx>
        <c:axId val="443429376"/>
        <c:scaling>
          <c:orientation val="minMax"/>
        </c:scaling>
        <c:delete val="0"/>
        <c:axPos val="b"/>
        <c:majorTickMark val="out"/>
        <c:minorTickMark val="none"/>
        <c:tickLblPos val="low"/>
        <c:txPr>
          <a:bodyPr rot="-5400000" vert="horz"/>
          <a:lstStyle/>
          <a:p>
            <a:pPr>
              <a:defRPr sz="800"/>
            </a:pPr>
            <a:endParaRPr lang="es-MX"/>
          </a:p>
        </c:txPr>
        <c:crossAx val="299705472"/>
        <c:crosses val="autoZero"/>
        <c:auto val="1"/>
        <c:lblAlgn val="ctr"/>
        <c:lblOffset val="100"/>
        <c:noMultiLvlLbl val="0"/>
      </c:catAx>
      <c:valAx>
        <c:axId val="299705472"/>
        <c:scaling>
          <c:orientation val="minMax"/>
        </c:scaling>
        <c:delete val="0"/>
        <c:axPos val="l"/>
        <c:numFmt formatCode="0" sourceLinked="0"/>
        <c:majorTickMark val="out"/>
        <c:minorTickMark val="none"/>
        <c:tickLblPos val="nextTo"/>
        <c:crossAx val="443429376"/>
        <c:crosses val="autoZero"/>
        <c:crossBetween val="between"/>
        <c:majorUnit val="4"/>
      </c:valAx>
    </c:plotArea>
    <c:legend>
      <c:legendPos val="t"/>
      <c:overlay val="0"/>
    </c:legend>
    <c:plotVisOnly val="1"/>
    <c:dispBlanksAs val="gap"/>
    <c:showDLblsOverMax val="0"/>
  </c:chart>
  <c:txPr>
    <a:bodyPr/>
    <a:lstStyle/>
    <a:p>
      <a:pPr>
        <a:defRPr sz="900">
          <a:latin typeface="Adobe Caslon Pro" pitchFamily="18" charset="0"/>
        </a:defRPr>
      </a:pPr>
      <a:endParaRPr lang="es-MX"/>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barChart>
        <c:barDir val="col"/>
        <c:grouping val="clustered"/>
        <c:varyColors val="0"/>
        <c:ser>
          <c:idx val="0"/>
          <c:order val="0"/>
          <c:tx>
            <c:strRef>
              <c:f>[Indicadores.xlsx]Gini_obj!$B$2</c:f>
              <c:strCache>
                <c:ptCount val="1"/>
                <c:pt idx="0">
                  <c:v>Gini</c:v>
                </c:pt>
              </c:strCache>
            </c:strRef>
          </c:tx>
          <c:invertIfNegative val="0"/>
          <c:cat>
            <c:strRef>
              <c:f>[Indicadores.xlsx]Gini_obj!$A$3:$A$34</c:f>
              <c:strCache>
                <c:ptCount val="32"/>
                <c:pt idx="0">
                  <c:v>Chiapas</c:v>
                </c:pt>
                <c:pt idx="1">
                  <c:v>Campeche</c:v>
                </c:pt>
                <c:pt idx="2">
                  <c:v>Guerrero</c:v>
                </c:pt>
                <c:pt idx="3">
                  <c:v>Zacatecas</c:v>
                </c:pt>
                <c:pt idx="4">
                  <c:v>Tabasco</c:v>
                </c:pt>
                <c:pt idx="5">
                  <c:v>Oaxaca</c:v>
                </c:pt>
                <c:pt idx="6">
                  <c:v>Querétaro</c:v>
                </c:pt>
                <c:pt idx="7">
                  <c:v>Chihuahua</c:v>
                </c:pt>
                <c:pt idx="8">
                  <c:v>Durango</c:v>
                </c:pt>
                <c:pt idx="9">
                  <c:v>Nayarit</c:v>
                </c:pt>
                <c:pt idx="10">
                  <c:v>Veracruz</c:v>
                </c:pt>
                <c:pt idx="11">
                  <c:v>Baja California Sur</c:v>
                </c:pt>
                <c:pt idx="12">
                  <c:v>San Luis Potosí</c:v>
                </c:pt>
                <c:pt idx="13">
                  <c:v>Puebla</c:v>
                </c:pt>
                <c:pt idx="14">
                  <c:v>Nuevo León</c:v>
                </c:pt>
                <c:pt idx="15">
                  <c:v>Hidalgo</c:v>
                </c:pt>
                <c:pt idx="16">
                  <c:v>Aguascalientes</c:v>
                </c:pt>
                <c:pt idx="17">
                  <c:v>Quintana Roo</c:v>
                </c:pt>
                <c:pt idx="18">
                  <c:v>Sonora</c:v>
                </c:pt>
                <c:pt idx="19">
                  <c:v>Jalisco</c:v>
                </c:pt>
                <c:pt idx="20">
                  <c:v>Michoacán</c:v>
                </c:pt>
                <c:pt idx="21">
                  <c:v>México</c:v>
                </c:pt>
                <c:pt idx="22">
                  <c:v>Sinaloa</c:v>
                </c:pt>
                <c:pt idx="23">
                  <c:v>Tamaulipas</c:v>
                </c:pt>
                <c:pt idx="24">
                  <c:v>Baja California</c:v>
                </c:pt>
                <c:pt idx="25">
                  <c:v>Coahuila</c:v>
                </c:pt>
                <c:pt idx="26">
                  <c:v>Guanajuato</c:v>
                </c:pt>
                <c:pt idx="27">
                  <c:v>Yucatán</c:v>
                </c:pt>
                <c:pt idx="28">
                  <c:v>Distrito Federal</c:v>
                </c:pt>
                <c:pt idx="29">
                  <c:v>Colima</c:v>
                </c:pt>
                <c:pt idx="30">
                  <c:v>Morelos</c:v>
                </c:pt>
                <c:pt idx="31">
                  <c:v>Tlaxcala</c:v>
                </c:pt>
              </c:strCache>
            </c:strRef>
          </c:cat>
          <c:val>
            <c:numRef>
              <c:f>[Indicadores.xlsx]Gini_obj!$B$3:$B$34</c:f>
              <c:numCache>
                <c:formatCode>0.000</c:formatCode>
                <c:ptCount val="32"/>
                <c:pt idx="0">
                  <c:v>0.53468203544616699</c:v>
                </c:pt>
                <c:pt idx="1">
                  <c:v>0.53301787376403797</c:v>
                </c:pt>
                <c:pt idx="2">
                  <c:v>0.53298610448837302</c:v>
                </c:pt>
                <c:pt idx="3">
                  <c:v>0.526306211948395</c:v>
                </c:pt>
                <c:pt idx="4">
                  <c:v>0.51567631959915261</c:v>
                </c:pt>
                <c:pt idx="5">
                  <c:v>0.51097607612609963</c:v>
                </c:pt>
                <c:pt idx="6">
                  <c:v>0.50309824943542503</c:v>
                </c:pt>
                <c:pt idx="7">
                  <c:v>0.50033301115035711</c:v>
                </c:pt>
                <c:pt idx="8">
                  <c:v>0.49902972579002558</c:v>
                </c:pt>
                <c:pt idx="9">
                  <c:v>0.498495012521744</c:v>
                </c:pt>
                <c:pt idx="10">
                  <c:v>0.49302577972412276</c:v>
                </c:pt>
                <c:pt idx="11">
                  <c:v>0.49275818467140198</c:v>
                </c:pt>
                <c:pt idx="12">
                  <c:v>0.49205741286277832</c:v>
                </c:pt>
                <c:pt idx="13">
                  <c:v>0.48517489433288902</c:v>
                </c:pt>
                <c:pt idx="14">
                  <c:v>0.48458403348922857</c:v>
                </c:pt>
                <c:pt idx="15">
                  <c:v>0.48025411367416398</c:v>
                </c:pt>
                <c:pt idx="16">
                  <c:v>0.479191213846207</c:v>
                </c:pt>
                <c:pt idx="17">
                  <c:v>0.47701942920684964</c:v>
                </c:pt>
                <c:pt idx="18">
                  <c:v>0.47696319222450351</c:v>
                </c:pt>
                <c:pt idx="19">
                  <c:v>0.47275528311729398</c:v>
                </c:pt>
                <c:pt idx="20">
                  <c:v>0.47161209583282676</c:v>
                </c:pt>
                <c:pt idx="21">
                  <c:v>0.47026720643043479</c:v>
                </c:pt>
                <c:pt idx="22">
                  <c:v>0.46644330024719199</c:v>
                </c:pt>
                <c:pt idx="23">
                  <c:v>0.46550279855728238</c:v>
                </c:pt>
                <c:pt idx="24">
                  <c:v>0.46453768014907798</c:v>
                </c:pt>
                <c:pt idx="25">
                  <c:v>0.46358388662338301</c:v>
                </c:pt>
                <c:pt idx="26">
                  <c:v>0.46333974599838301</c:v>
                </c:pt>
                <c:pt idx="27">
                  <c:v>0.46075257658958402</c:v>
                </c:pt>
                <c:pt idx="28">
                  <c:v>0.45743528008461032</c:v>
                </c:pt>
                <c:pt idx="29">
                  <c:v>0.445076614618301</c:v>
                </c:pt>
                <c:pt idx="30">
                  <c:v>0.43333387374878057</c:v>
                </c:pt>
                <c:pt idx="31">
                  <c:v>0.41997358202934476</c:v>
                </c:pt>
              </c:numCache>
            </c:numRef>
          </c:val>
        </c:ser>
        <c:dLbls>
          <c:showLegendKey val="0"/>
          <c:showVal val="0"/>
          <c:showCatName val="0"/>
          <c:showSerName val="0"/>
          <c:showPercent val="0"/>
          <c:showBubbleSize val="0"/>
        </c:dLbls>
        <c:gapWidth val="150"/>
        <c:axId val="443880448"/>
        <c:axId val="299707200"/>
      </c:barChart>
      <c:lineChart>
        <c:grouping val="standard"/>
        <c:varyColors val="0"/>
        <c:ser>
          <c:idx val="1"/>
          <c:order val="1"/>
          <c:tx>
            <c:strRef>
              <c:f>[Indicadores.xlsx]Gini_obj!$C$2</c:f>
              <c:strCache>
                <c:ptCount val="1"/>
                <c:pt idx="0">
                  <c:v>Concentración incidencia</c:v>
                </c:pt>
              </c:strCache>
            </c:strRef>
          </c:tx>
          <c:marker>
            <c:symbol val="none"/>
          </c:marker>
          <c:cat>
            <c:strRef>
              <c:f>[Indicadores.xlsx]Gini_obj!$A$3:$A$34</c:f>
              <c:strCache>
                <c:ptCount val="32"/>
                <c:pt idx="0">
                  <c:v>Chiapas</c:v>
                </c:pt>
                <c:pt idx="1">
                  <c:v>Campeche</c:v>
                </c:pt>
                <c:pt idx="2">
                  <c:v>Guerrero</c:v>
                </c:pt>
                <c:pt idx="3">
                  <c:v>Zacatecas</c:v>
                </c:pt>
                <c:pt idx="4">
                  <c:v>Tabasco</c:v>
                </c:pt>
                <c:pt idx="5">
                  <c:v>Oaxaca</c:v>
                </c:pt>
                <c:pt idx="6">
                  <c:v>Querétaro</c:v>
                </c:pt>
                <c:pt idx="7">
                  <c:v>Chihuahua</c:v>
                </c:pt>
                <c:pt idx="8">
                  <c:v>Durango</c:v>
                </c:pt>
                <c:pt idx="9">
                  <c:v>Nayarit</c:v>
                </c:pt>
                <c:pt idx="10">
                  <c:v>Veracruz</c:v>
                </c:pt>
                <c:pt idx="11">
                  <c:v>Baja California Sur</c:v>
                </c:pt>
                <c:pt idx="12">
                  <c:v>San Luis Potosí</c:v>
                </c:pt>
                <c:pt idx="13">
                  <c:v>Puebla</c:v>
                </c:pt>
                <c:pt idx="14">
                  <c:v>Nuevo León</c:v>
                </c:pt>
                <c:pt idx="15">
                  <c:v>Hidalgo</c:v>
                </c:pt>
                <c:pt idx="16">
                  <c:v>Aguascalientes</c:v>
                </c:pt>
                <c:pt idx="17">
                  <c:v>Quintana Roo</c:v>
                </c:pt>
                <c:pt idx="18">
                  <c:v>Sonora</c:v>
                </c:pt>
                <c:pt idx="19">
                  <c:v>Jalisco</c:v>
                </c:pt>
                <c:pt idx="20">
                  <c:v>Michoacán</c:v>
                </c:pt>
                <c:pt idx="21">
                  <c:v>México</c:v>
                </c:pt>
                <c:pt idx="22">
                  <c:v>Sinaloa</c:v>
                </c:pt>
                <c:pt idx="23">
                  <c:v>Tamaulipas</c:v>
                </c:pt>
                <c:pt idx="24">
                  <c:v>Baja California</c:v>
                </c:pt>
                <c:pt idx="25">
                  <c:v>Coahuila</c:v>
                </c:pt>
                <c:pt idx="26">
                  <c:v>Guanajuato</c:v>
                </c:pt>
                <c:pt idx="27">
                  <c:v>Yucatán</c:v>
                </c:pt>
                <c:pt idx="28">
                  <c:v>Distrito Federal</c:v>
                </c:pt>
                <c:pt idx="29">
                  <c:v>Colima</c:v>
                </c:pt>
                <c:pt idx="30">
                  <c:v>Morelos</c:v>
                </c:pt>
                <c:pt idx="31">
                  <c:v>Tlaxcala</c:v>
                </c:pt>
              </c:strCache>
            </c:strRef>
          </c:cat>
          <c:val>
            <c:numRef>
              <c:f>[Indicadores.xlsx]Gini_obj!$C$3:$C$34</c:f>
              <c:numCache>
                <c:formatCode>0.00</c:formatCode>
                <c:ptCount val="32"/>
                <c:pt idx="0">
                  <c:v>4.0677966101694745</c:v>
                </c:pt>
                <c:pt idx="1">
                  <c:v>1.2942989214175717</c:v>
                </c:pt>
                <c:pt idx="2">
                  <c:v>3.0200308166409982</c:v>
                </c:pt>
                <c:pt idx="3">
                  <c:v>1.20184899845916</c:v>
                </c:pt>
                <c:pt idx="4">
                  <c:v>0.9861325115562366</c:v>
                </c:pt>
                <c:pt idx="5">
                  <c:v>7.3959938366717779</c:v>
                </c:pt>
                <c:pt idx="6">
                  <c:v>2.8659476117103231</c:v>
                </c:pt>
                <c:pt idx="7">
                  <c:v>3.7904468412942989</c:v>
                </c:pt>
                <c:pt idx="8">
                  <c:v>2.8659476117103231</c:v>
                </c:pt>
                <c:pt idx="9">
                  <c:v>1.4483821263482386</c:v>
                </c:pt>
                <c:pt idx="10">
                  <c:v>5.1771956856702621</c:v>
                </c:pt>
                <c:pt idx="11">
                  <c:v>0.86286594761171165</c:v>
                </c:pt>
                <c:pt idx="12">
                  <c:v>1.4483821263482386</c:v>
                </c:pt>
                <c:pt idx="13">
                  <c:v>5.6086286594761168</c:v>
                </c:pt>
                <c:pt idx="14">
                  <c:v>2.6194144838212567</c:v>
                </c:pt>
                <c:pt idx="15">
                  <c:v>2.927580893682594</c:v>
                </c:pt>
                <c:pt idx="16">
                  <c:v>0.55469953775038816</c:v>
                </c:pt>
                <c:pt idx="17">
                  <c:v>0.89368258859784011</c:v>
                </c:pt>
                <c:pt idx="18">
                  <c:v>2.5577812018490098</c:v>
                </c:pt>
                <c:pt idx="19">
                  <c:v>3.3590138674884438</c:v>
                </c:pt>
                <c:pt idx="20">
                  <c:v>4.1602465331278866</c:v>
                </c:pt>
                <c:pt idx="21">
                  <c:v>6.9029275808936834</c:v>
                </c:pt>
                <c:pt idx="22">
                  <c:v>2.773497688751946</c:v>
                </c:pt>
                <c:pt idx="23">
                  <c:v>1.5100154083204931</c:v>
                </c:pt>
                <c:pt idx="24">
                  <c:v>5.1771956856702621</c:v>
                </c:pt>
                <c:pt idx="25">
                  <c:v>3.235747303543913</c:v>
                </c:pt>
                <c:pt idx="26">
                  <c:v>3.4822804314329741</c:v>
                </c:pt>
                <c:pt idx="27">
                  <c:v>2.3420647149460709</c:v>
                </c:pt>
                <c:pt idx="28">
                  <c:v>10.015408320493069</c:v>
                </c:pt>
                <c:pt idx="29">
                  <c:v>1.4175654853620874</c:v>
                </c:pt>
                <c:pt idx="30">
                  <c:v>2.8659476117103231</c:v>
                </c:pt>
                <c:pt idx="31">
                  <c:v>1.7257318952234104</c:v>
                </c:pt>
              </c:numCache>
            </c:numRef>
          </c:val>
          <c:smooth val="0"/>
        </c:ser>
        <c:dLbls>
          <c:showLegendKey val="0"/>
          <c:showVal val="0"/>
          <c:showCatName val="0"/>
          <c:showSerName val="0"/>
          <c:showPercent val="0"/>
          <c:showBubbleSize val="0"/>
        </c:dLbls>
        <c:marker val="1"/>
        <c:smooth val="0"/>
        <c:axId val="445879808"/>
        <c:axId val="299707776"/>
      </c:lineChart>
      <c:catAx>
        <c:axId val="443880448"/>
        <c:scaling>
          <c:orientation val="minMax"/>
        </c:scaling>
        <c:delete val="0"/>
        <c:axPos val="b"/>
        <c:majorTickMark val="out"/>
        <c:minorTickMark val="none"/>
        <c:tickLblPos val="low"/>
        <c:txPr>
          <a:bodyPr rot="-5400000" vert="horz"/>
          <a:lstStyle/>
          <a:p>
            <a:pPr>
              <a:defRPr sz="800"/>
            </a:pPr>
            <a:endParaRPr lang="es-MX"/>
          </a:p>
        </c:txPr>
        <c:crossAx val="299707200"/>
        <c:crosses val="autoZero"/>
        <c:auto val="1"/>
        <c:lblAlgn val="ctr"/>
        <c:lblOffset val="100"/>
        <c:noMultiLvlLbl val="0"/>
      </c:catAx>
      <c:valAx>
        <c:axId val="299707200"/>
        <c:scaling>
          <c:orientation val="minMax"/>
          <c:max val="0.60000000000000164"/>
        </c:scaling>
        <c:delete val="0"/>
        <c:axPos val="l"/>
        <c:numFmt formatCode="0.0" sourceLinked="0"/>
        <c:majorTickMark val="out"/>
        <c:minorTickMark val="none"/>
        <c:tickLblPos val="nextTo"/>
        <c:txPr>
          <a:bodyPr/>
          <a:lstStyle/>
          <a:p>
            <a:pPr>
              <a:defRPr sz="800"/>
            </a:pPr>
            <a:endParaRPr lang="es-MX"/>
          </a:p>
        </c:txPr>
        <c:crossAx val="443880448"/>
        <c:crosses val="autoZero"/>
        <c:crossBetween val="between"/>
        <c:majorUnit val="0.2"/>
      </c:valAx>
      <c:valAx>
        <c:axId val="299707776"/>
        <c:scaling>
          <c:orientation val="minMax"/>
          <c:max val="15"/>
        </c:scaling>
        <c:delete val="0"/>
        <c:axPos val="r"/>
        <c:numFmt formatCode="0" sourceLinked="0"/>
        <c:majorTickMark val="out"/>
        <c:minorTickMark val="none"/>
        <c:tickLblPos val="nextTo"/>
        <c:txPr>
          <a:bodyPr/>
          <a:lstStyle/>
          <a:p>
            <a:pPr>
              <a:defRPr sz="800"/>
            </a:pPr>
            <a:endParaRPr lang="es-MX"/>
          </a:p>
        </c:txPr>
        <c:crossAx val="445879808"/>
        <c:crosses val="max"/>
        <c:crossBetween val="between"/>
        <c:majorUnit val="3"/>
      </c:valAx>
      <c:catAx>
        <c:axId val="445879808"/>
        <c:scaling>
          <c:orientation val="minMax"/>
        </c:scaling>
        <c:delete val="1"/>
        <c:axPos val="b"/>
        <c:majorTickMark val="out"/>
        <c:minorTickMark val="none"/>
        <c:tickLblPos val="none"/>
        <c:crossAx val="299707776"/>
        <c:crosses val="autoZero"/>
        <c:auto val="1"/>
        <c:lblAlgn val="ctr"/>
        <c:lblOffset val="100"/>
        <c:noMultiLvlLbl val="0"/>
      </c:catAx>
    </c:plotArea>
    <c:plotVisOnly val="1"/>
    <c:dispBlanksAs val="gap"/>
    <c:showDLblsOverMax val="0"/>
  </c:chart>
  <c:txPr>
    <a:bodyPr/>
    <a:lstStyle/>
    <a:p>
      <a:pPr>
        <a:defRPr>
          <a:latin typeface="Adobe Caslon Pro" pitchFamily="18" charset="0"/>
        </a:defRPr>
      </a:pPr>
      <a:endParaRPr lang="es-MX"/>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barChart>
        <c:barDir val="col"/>
        <c:grouping val="clustered"/>
        <c:varyColors val="0"/>
        <c:ser>
          <c:idx val="0"/>
          <c:order val="0"/>
          <c:tx>
            <c:strRef>
              <c:f>'[Indicadores.xlsx]IDH_pot (2)'!$B$2</c:f>
              <c:strCache>
                <c:ptCount val="1"/>
                <c:pt idx="0">
                  <c:v>IDH 2010</c:v>
                </c:pt>
              </c:strCache>
            </c:strRef>
          </c:tx>
          <c:invertIfNegative val="0"/>
          <c:cat>
            <c:strRef>
              <c:f>'[Indicadores.xlsx]IDH_pot (2)'!$A$3:$A$34</c:f>
              <c:strCache>
                <c:ptCount val="32"/>
                <c:pt idx="0">
                  <c:v>Distrito Federal</c:v>
                </c:pt>
                <c:pt idx="1">
                  <c:v>Nuevo León</c:v>
                </c:pt>
                <c:pt idx="2">
                  <c:v>Baja California Sur</c:v>
                </c:pt>
                <c:pt idx="3">
                  <c:v>Baja California</c:v>
                </c:pt>
                <c:pt idx="4">
                  <c:v>Sonora</c:v>
                </c:pt>
                <c:pt idx="5">
                  <c:v>Coahuila</c:v>
                </c:pt>
                <c:pt idx="6">
                  <c:v>Colima</c:v>
                </c:pt>
                <c:pt idx="7">
                  <c:v>Aguascalientes</c:v>
                </c:pt>
                <c:pt idx="8">
                  <c:v>Sinaloa</c:v>
                </c:pt>
                <c:pt idx="9">
                  <c:v>Quintana Roo</c:v>
                </c:pt>
                <c:pt idx="10">
                  <c:v>Tamaulipas</c:v>
                </c:pt>
                <c:pt idx="11">
                  <c:v>Querétaro</c:v>
                </c:pt>
                <c:pt idx="12">
                  <c:v>Morelos</c:v>
                </c:pt>
                <c:pt idx="13">
                  <c:v>México</c:v>
                </c:pt>
                <c:pt idx="14">
                  <c:v>Jalisco</c:v>
                </c:pt>
                <c:pt idx="15">
                  <c:v>Nayarit</c:v>
                </c:pt>
                <c:pt idx="16">
                  <c:v>Chihuahua</c:v>
                </c:pt>
                <c:pt idx="17">
                  <c:v>Campeche</c:v>
                </c:pt>
                <c:pt idx="18">
                  <c:v>Tabasco</c:v>
                </c:pt>
                <c:pt idx="19">
                  <c:v>Yucatán</c:v>
                </c:pt>
                <c:pt idx="20">
                  <c:v>Durango</c:v>
                </c:pt>
                <c:pt idx="21">
                  <c:v>Tlaxcala</c:v>
                </c:pt>
                <c:pt idx="22">
                  <c:v>San Luis Potosí</c:v>
                </c:pt>
                <c:pt idx="23">
                  <c:v>Hidalgo</c:v>
                </c:pt>
                <c:pt idx="24">
                  <c:v>Puebla</c:v>
                </c:pt>
                <c:pt idx="25">
                  <c:v>Guanajuato</c:v>
                </c:pt>
                <c:pt idx="26">
                  <c:v>Zacatecas</c:v>
                </c:pt>
                <c:pt idx="27">
                  <c:v>Veracruz</c:v>
                </c:pt>
                <c:pt idx="28">
                  <c:v>Michoacán</c:v>
                </c:pt>
                <c:pt idx="29">
                  <c:v>Guerrero</c:v>
                </c:pt>
                <c:pt idx="30">
                  <c:v>Oaxaca</c:v>
                </c:pt>
                <c:pt idx="31">
                  <c:v>Chiapas</c:v>
                </c:pt>
              </c:strCache>
            </c:strRef>
          </c:cat>
          <c:val>
            <c:numRef>
              <c:f>'[Indicadores.xlsx]IDH_pot (2)'!$B$3:$B$34</c:f>
              <c:numCache>
                <c:formatCode>0.0000</c:formatCode>
                <c:ptCount val="32"/>
                <c:pt idx="0">
                  <c:v>0.83065419275506902</c:v>
                </c:pt>
                <c:pt idx="1">
                  <c:v>0.78995996194929796</c:v>
                </c:pt>
                <c:pt idx="2">
                  <c:v>0.785082676420504</c:v>
                </c:pt>
                <c:pt idx="3">
                  <c:v>0.77169270148308777</c:v>
                </c:pt>
                <c:pt idx="4">
                  <c:v>0.76694104674425101</c:v>
                </c:pt>
                <c:pt idx="5">
                  <c:v>0.76335491156344515</c:v>
                </c:pt>
                <c:pt idx="6">
                  <c:v>0.75674599432100165</c:v>
                </c:pt>
                <c:pt idx="7">
                  <c:v>0.75212447797612614</c:v>
                </c:pt>
                <c:pt idx="8">
                  <c:v>0.75037447946562663</c:v>
                </c:pt>
                <c:pt idx="9">
                  <c:v>0.74875913418920015</c:v>
                </c:pt>
                <c:pt idx="10">
                  <c:v>0.74751913681313564</c:v>
                </c:pt>
                <c:pt idx="11">
                  <c:v>0.74714311909376863</c:v>
                </c:pt>
                <c:pt idx="12">
                  <c:v>0.74494251793946065</c:v>
                </c:pt>
                <c:pt idx="13">
                  <c:v>0.74418401203022189</c:v>
                </c:pt>
                <c:pt idx="14">
                  <c:v>0.74339038893987663</c:v>
                </c:pt>
                <c:pt idx="15">
                  <c:v>0.74246061782889616</c:v>
                </c:pt>
                <c:pt idx="16">
                  <c:v>0.74019078704414165</c:v>
                </c:pt>
                <c:pt idx="17">
                  <c:v>0.72909791182193251</c:v>
                </c:pt>
                <c:pt idx="18">
                  <c:v>0.72601787315298905</c:v>
                </c:pt>
                <c:pt idx="19">
                  <c:v>0.723004689388414</c:v>
                </c:pt>
                <c:pt idx="20">
                  <c:v>0.71931579067262796</c:v>
                </c:pt>
                <c:pt idx="21">
                  <c:v>0.71620813545617901</c:v>
                </c:pt>
                <c:pt idx="22">
                  <c:v>0.71439657714341864</c:v>
                </c:pt>
                <c:pt idx="23">
                  <c:v>0.71244321038902514</c:v>
                </c:pt>
                <c:pt idx="24">
                  <c:v>0.70598547233604814</c:v>
                </c:pt>
                <c:pt idx="25">
                  <c:v>0.70590405989863103</c:v>
                </c:pt>
                <c:pt idx="26">
                  <c:v>0.705671441327129</c:v>
                </c:pt>
                <c:pt idx="27">
                  <c:v>0.69965781445788977</c:v>
                </c:pt>
                <c:pt idx="28">
                  <c:v>0.69575280131540462</c:v>
                </c:pt>
                <c:pt idx="29">
                  <c:v>0.67334802562860741</c:v>
                </c:pt>
                <c:pt idx="30">
                  <c:v>0.66630490430976763</c:v>
                </c:pt>
                <c:pt idx="31">
                  <c:v>0.64684630955962463</c:v>
                </c:pt>
              </c:numCache>
            </c:numRef>
          </c:val>
        </c:ser>
        <c:dLbls>
          <c:showLegendKey val="0"/>
          <c:showVal val="0"/>
          <c:showCatName val="0"/>
          <c:showSerName val="0"/>
          <c:showPercent val="0"/>
          <c:showBubbleSize val="0"/>
        </c:dLbls>
        <c:gapWidth val="150"/>
        <c:axId val="443882496"/>
        <c:axId val="299709504"/>
      </c:barChart>
      <c:lineChart>
        <c:grouping val="standard"/>
        <c:varyColors val="0"/>
        <c:ser>
          <c:idx val="1"/>
          <c:order val="1"/>
          <c:tx>
            <c:strRef>
              <c:f>'[Indicadores.xlsx]IDH_pot (2)'!$C$2</c:f>
              <c:strCache>
                <c:ptCount val="1"/>
                <c:pt idx="0">
                  <c:v>Concentración incidencia</c:v>
                </c:pt>
              </c:strCache>
            </c:strRef>
          </c:tx>
          <c:marker>
            <c:symbol val="none"/>
          </c:marker>
          <c:cat>
            <c:strRef>
              <c:f>'[Indicadores.xlsx]IDH_pot (2)'!$A$3:$A$34</c:f>
              <c:strCache>
                <c:ptCount val="32"/>
                <c:pt idx="0">
                  <c:v>Distrito Federal</c:v>
                </c:pt>
                <c:pt idx="1">
                  <c:v>Nuevo León</c:v>
                </c:pt>
                <c:pt idx="2">
                  <c:v>Baja California Sur</c:v>
                </c:pt>
                <c:pt idx="3">
                  <c:v>Baja California</c:v>
                </c:pt>
                <c:pt idx="4">
                  <c:v>Sonora</c:v>
                </c:pt>
                <c:pt idx="5">
                  <c:v>Coahuila</c:v>
                </c:pt>
                <c:pt idx="6">
                  <c:v>Colima</c:v>
                </c:pt>
                <c:pt idx="7">
                  <c:v>Aguascalientes</c:v>
                </c:pt>
                <c:pt idx="8">
                  <c:v>Sinaloa</c:v>
                </c:pt>
                <c:pt idx="9">
                  <c:v>Quintana Roo</c:v>
                </c:pt>
                <c:pt idx="10">
                  <c:v>Tamaulipas</c:v>
                </c:pt>
                <c:pt idx="11">
                  <c:v>Querétaro</c:v>
                </c:pt>
                <c:pt idx="12">
                  <c:v>Morelos</c:v>
                </c:pt>
                <c:pt idx="13">
                  <c:v>México</c:v>
                </c:pt>
                <c:pt idx="14">
                  <c:v>Jalisco</c:v>
                </c:pt>
                <c:pt idx="15">
                  <c:v>Nayarit</c:v>
                </c:pt>
                <c:pt idx="16">
                  <c:v>Chihuahua</c:v>
                </c:pt>
                <c:pt idx="17">
                  <c:v>Campeche</c:v>
                </c:pt>
                <c:pt idx="18">
                  <c:v>Tabasco</c:v>
                </c:pt>
                <c:pt idx="19">
                  <c:v>Yucatán</c:v>
                </c:pt>
                <c:pt idx="20">
                  <c:v>Durango</c:v>
                </c:pt>
                <c:pt idx="21">
                  <c:v>Tlaxcala</c:v>
                </c:pt>
                <c:pt idx="22">
                  <c:v>San Luis Potosí</c:v>
                </c:pt>
                <c:pt idx="23">
                  <c:v>Hidalgo</c:v>
                </c:pt>
                <c:pt idx="24">
                  <c:v>Puebla</c:v>
                </c:pt>
                <c:pt idx="25">
                  <c:v>Guanajuato</c:v>
                </c:pt>
                <c:pt idx="26">
                  <c:v>Zacatecas</c:v>
                </c:pt>
                <c:pt idx="27">
                  <c:v>Veracruz</c:v>
                </c:pt>
                <c:pt idx="28">
                  <c:v>Michoacán</c:v>
                </c:pt>
                <c:pt idx="29">
                  <c:v>Guerrero</c:v>
                </c:pt>
                <c:pt idx="30">
                  <c:v>Oaxaca</c:v>
                </c:pt>
                <c:pt idx="31">
                  <c:v>Chiapas</c:v>
                </c:pt>
              </c:strCache>
            </c:strRef>
          </c:cat>
          <c:val>
            <c:numRef>
              <c:f>'[Indicadores.xlsx]IDH_pot (2)'!$C$3:$C$34</c:f>
              <c:numCache>
                <c:formatCode>0.00</c:formatCode>
                <c:ptCount val="32"/>
                <c:pt idx="0">
                  <c:v>10.015408320493069</c:v>
                </c:pt>
                <c:pt idx="1">
                  <c:v>2.6194144838212567</c:v>
                </c:pt>
                <c:pt idx="2">
                  <c:v>0.86286594761171165</c:v>
                </c:pt>
                <c:pt idx="3">
                  <c:v>5.1771956856702621</c:v>
                </c:pt>
                <c:pt idx="4">
                  <c:v>2.5577812018490098</c:v>
                </c:pt>
                <c:pt idx="5">
                  <c:v>3.235747303543913</c:v>
                </c:pt>
                <c:pt idx="6">
                  <c:v>1.4175654853620874</c:v>
                </c:pt>
                <c:pt idx="7">
                  <c:v>0.55469953775038816</c:v>
                </c:pt>
                <c:pt idx="8">
                  <c:v>2.773497688751946</c:v>
                </c:pt>
                <c:pt idx="9">
                  <c:v>0.89368258859784011</c:v>
                </c:pt>
                <c:pt idx="10">
                  <c:v>1.5100154083204931</c:v>
                </c:pt>
                <c:pt idx="11">
                  <c:v>2.8659476117103231</c:v>
                </c:pt>
                <c:pt idx="12">
                  <c:v>2.8659476117103231</c:v>
                </c:pt>
                <c:pt idx="13">
                  <c:v>6.9029275808936834</c:v>
                </c:pt>
                <c:pt idx="14">
                  <c:v>3.3590138674884438</c:v>
                </c:pt>
                <c:pt idx="15">
                  <c:v>1.4483821263482386</c:v>
                </c:pt>
                <c:pt idx="16">
                  <c:v>3.7904468412942989</c:v>
                </c:pt>
                <c:pt idx="17">
                  <c:v>1.2942989214175717</c:v>
                </c:pt>
                <c:pt idx="18">
                  <c:v>0.9861325115562366</c:v>
                </c:pt>
                <c:pt idx="19">
                  <c:v>2.3420647149460709</c:v>
                </c:pt>
                <c:pt idx="20">
                  <c:v>2.8659476117103231</c:v>
                </c:pt>
                <c:pt idx="21">
                  <c:v>1.7257318952234104</c:v>
                </c:pt>
                <c:pt idx="22">
                  <c:v>1.4483821263482386</c:v>
                </c:pt>
                <c:pt idx="23">
                  <c:v>2.927580893682594</c:v>
                </c:pt>
                <c:pt idx="24">
                  <c:v>5.6086286594761168</c:v>
                </c:pt>
                <c:pt idx="25">
                  <c:v>3.4822804314329741</c:v>
                </c:pt>
                <c:pt idx="26">
                  <c:v>1.20184899845916</c:v>
                </c:pt>
                <c:pt idx="27">
                  <c:v>5.1771956856702621</c:v>
                </c:pt>
                <c:pt idx="28">
                  <c:v>4.1602465331278866</c:v>
                </c:pt>
                <c:pt idx="29">
                  <c:v>3.0200308166409982</c:v>
                </c:pt>
                <c:pt idx="30">
                  <c:v>7.3959938366717779</c:v>
                </c:pt>
                <c:pt idx="31">
                  <c:v>4.0677966101694745</c:v>
                </c:pt>
              </c:numCache>
            </c:numRef>
          </c:val>
          <c:smooth val="0"/>
        </c:ser>
        <c:dLbls>
          <c:showLegendKey val="0"/>
          <c:showVal val="0"/>
          <c:showCatName val="0"/>
          <c:showSerName val="0"/>
          <c:showPercent val="0"/>
          <c:showBubbleSize val="0"/>
        </c:dLbls>
        <c:marker val="1"/>
        <c:smooth val="0"/>
        <c:axId val="445881344"/>
        <c:axId val="299710080"/>
      </c:lineChart>
      <c:catAx>
        <c:axId val="443882496"/>
        <c:scaling>
          <c:orientation val="minMax"/>
        </c:scaling>
        <c:delete val="0"/>
        <c:axPos val="b"/>
        <c:majorTickMark val="out"/>
        <c:minorTickMark val="none"/>
        <c:tickLblPos val="nextTo"/>
        <c:txPr>
          <a:bodyPr rot="-5400000" vert="horz"/>
          <a:lstStyle/>
          <a:p>
            <a:pPr>
              <a:defRPr sz="800"/>
            </a:pPr>
            <a:endParaRPr lang="es-MX"/>
          </a:p>
        </c:txPr>
        <c:crossAx val="299709504"/>
        <c:crosses val="autoZero"/>
        <c:auto val="1"/>
        <c:lblAlgn val="ctr"/>
        <c:lblOffset val="100"/>
        <c:noMultiLvlLbl val="0"/>
      </c:catAx>
      <c:valAx>
        <c:axId val="299709504"/>
        <c:scaling>
          <c:orientation val="minMax"/>
        </c:scaling>
        <c:delete val="0"/>
        <c:axPos val="l"/>
        <c:numFmt formatCode="0.0" sourceLinked="0"/>
        <c:majorTickMark val="out"/>
        <c:minorTickMark val="none"/>
        <c:tickLblPos val="nextTo"/>
        <c:txPr>
          <a:bodyPr/>
          <a:lstStyle/>
          <a:p>
            <a:pPr>
              <a:defRPr sz="900"/>
            </a:pPr>
            <a:endParaRPr lang="es-MX"/>
          </a:p>
        </c:txPr>
        <c:crossAx val="443882496"/>
        <c:crosses val="autoZero"/>
        <c:crossBetween val="between"/>
      </c:valAx>
      <c:valAx>
        <c:axId val="299710080"/>
        <c:scaling>
          <c:orientation val="minMax"/>
        </c:scaling>
        <c:delete val="0"/>
        <c:axPos val="r"/>
        <c:numFmt formatCode="0" sourceLinked="0"/>
        <c:majorTickMark val="out"/>
        <c:minorTickMark val="none"/>
        <c:tickLblPos val="nextTo"/>
        <c:txPr>
          <a:bodyPr/>
          <a:lstStyle/>
          <a:p>
            <a:pPr>
              <a:defRPr sz="900"/>
            </a:pPr>
            <a:endParaRPr lang="es-MX"/>
          </a:p>
        </c:txPr>
        <c:crossAx val="445881344"/>
        <c:crosses val="max"/>
        <c:crossBetween val="between"/>
      </c:valAx>
      <c:catAx>
        <c:axId val="445881344"/>
        <c:scaling>
          <c:orientation val="minMax"/>
        </c:scaling>
        <c:delete val="1"/>
        <c:axPos val="b"/>
        <c:majorTickMark val="out"/>
        <c:minorTickMark val="none"/>
        <c:tickLblPos val="none"/>
        <c:crossAx val="299710080"/>
        <c:crosses val="autoZero"/>
        <c:auto val="1"/>
        <c:lblAlgn val="ctr"/>
        <c:lblOffset val="100"/>
        <c:noMultiLvlLbl val="0"/>
      </c:catAx>
    </c:plotArea>
    <c:legend>
      <c:legendPos val="t"/>
      <c:overlay val="0"/>
    </c:legend>
    <c:plotVisOnly val="1"/>
    <c:dispBlanksAs val="gap"/>
    <c:showDLblsOverMax val="0"/>
  </c:chart>
  <c:txPr>
    <a:bodyPr/>
    <a:lstStyle/>
    <a:p>
      <a:pPr>
        <a:defRPr>
          <a:latin typeface="Adobe Caslon Pro" pitchFamily="18" charset="0"/>
        </a:defRPr>
      </a:pPr>
      <a:endParaRPr lang="es-MX"/>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0"/>
    <c:plotArea>
      <c:layout/>
      <c:barChart>
        <c:barDir val="col"/>
        <c:grouping val="clustered"/>
        <c:varyColors val="0"/>
        <c:ser>
          <c:idx val="0"/>
          <c:order val="0"/>
          <c:tx>
            <c:strRef>
              <c:f>redes_obj!$B$2</c:f>
              <c:strCache>
                <c:ptCount val="1"/>
                <c:pt idx="0">
                  <c:v>Índice de percepción de redes sociales</c:v>
                </c:pt>
              </c:strCache>
            </c:strRef>
          </c:tx>
          <c:invertIfNegative val="0"/>
          <c:cat>
            <c:strRef>
              <c:f>redes_obj!$A$3:$A$34</c:f>
              <c:strCache>
                <c:ptCount val="32"/>
                <c:pt idx="0">
                  <c:v>Nayarit</c:v>
                </c:pt>
                <c:pt idx="1">
                  <c:v>Nuevo León</c:v>
                </c:pt>
                <c:pt idx="2">
                  <c:v>Sinaloa</c:v>
                </c:pt>
                <c:pt idx="3">
                  <c:v>Sonora</c:v>
                </c:pt>
                <c:pt idx="4">
                  <c:v>Aguascalientes</c:v>
                </c:pt>
                <c:pt idx="5">
                  <c:v>Baja California</c:v>
                </c:pt>
                <c:pt idx="6">
                  <c:v>Baja California Sur</c:v>
                </c:pt>
                <c:pt idx="7">
                  <c:v>Campeche</c:v>
                </c:pt>
                <c:pt idx="8">
                  <c:v>Chiapas</c:v>
                </c:pt>
                <c:pt idx="9">
                  <c:v>Chihuahua</c:v>
                </c:pt>
                <c:pt idx="10">
                  <c:v>Coahuila</c:v>
                </c:pt>
                <c:pt idx="11">
                  <c:v>Colima</c:v>
                </c:pt>
                <c:pt idx="12">
                  <c:v>Distrito Federal</c:v>
                </c:pt>
                <c:pt idx="13">
                  <c:v>Durango</c:v>
                </c:pt>
                <c:pt idx="14">
                  <c:v>Guanajuato</c:v>
                </c:pt>
                <c:pt idx="15">
                  <c:v>Guerrero</c:v>
                </c:pt>
                <c:pt idx="16">
                  <c:v>Jalisco</c:v>
                </c:pt>
                <c:pt idx="17">
                  <c:v>Michoacán</c:v>
                </c:pt>
                <c:pt idx="18">
                  <c:v>Morelos</c:v>
                </c:pt>
                <c:pt idx="19">
                  <c:v>Puebla</c:v>
                </c:pt>
                <c:pt idx="20">
                  <c:v>Querétaro</c:v>
                </c:pt>
                <c:pt idx="21">
                  <c:v>Quintana Roo</c:v>
                </c:pt>
                <c:pt idx="22">
                  <c:v>San Luis Potosí</c:v>
                </c:pt>
                <c:pt idx="23">
                  <c:v>Tamaulipas</c:v>
                </c:pt>
                <c:pt idx="24">
                  <c:v>Tlaxcala</c:v>
                </c:pt>
                <c:pt idx="25">
                  <c:v>Veracruz</c:v>
                </c:pt>
                <c:pt idx="26">
                  <c:v>Yucatán</c:v>
                </c:pt>
                <c:pt idx="27">
                  <c:v>Zacatecas</c:v>
                </c:pt>
                <c:pt idx="28">
                  <c:v>Hidalgo</c:v>
                </c:pt>
                <c:pt idx="29">
                  <c:v>México</c:v>
                </c:pt>
                <c:pt idx="30">
                  <c:v>Oaxaca</c:v>
                </c:pt>
                <c:pt idx="31">
                  <c:v>Tabasco</c:v>
                </c:pt>
              </c:strCache>
            </c:strRef>
          </c:cat>
          <c:val>
            <c:numRef>
              <c:f>redes_obj!$B$3:$B$34</c:f>
              <c:numCache>
                <c:formatCode>0</c:formatCode>
                <c:ptCount val="32"/>
                <c:pt idx="0">
                  <c:v>5</c:v>
                </c:pt>
                <c:pt idx="1">
                  <c:v>5</c:v>
                </c:pt>
                <c:pt idx="2">
                  <c:v>5</c:v>
                </c:pt>
                <c:pt idx="3">
                  <c:v>5</c:v>
                </c:pt>
                <c:pt idx="4">
                  <c:v>3</c:v>
                </c:pt>
                <c:pt idx="5">
                  <c:v>3</c:v>
                </c:pt>
                <c:pt idx="6">
                  <c:v>3</c:v>
                </c:pt>
                <c:pt idx="7">
                  <c:v>3</c:v>
                </c:pt>
                <c:pt idx="8">
                  <c:v>3</c:v>
                </c:pt>
                <c:pt idx="9">
                  <c:v>3</c:v>
                </c:pt>
                <c:pt idx="10">
                  <c:v>3</c:v>
                </c:pt>
                <c:pt idx="11">
                  <c:v>3</c:v>
                </c:pt>
                <c:pt idx="12">
                  <c:v>3</c:v>
                </c:pt>
                <c:pt idx="13">
                  <c:v>3</c:v>
                </c:pt>
                <c:pt idx="14">
                  <c:v>3</c:v>
                </c:pt>
                <c:pt idx="15">
                  <c:v>3</c:v>
                </c:pt>
                <c:pt idx="16">
                  <c:v>3</c:v>
                </c:pt>
                <c:pt idx="17">
                  <c:v>3</c:v>
                </c:pt>
                <c:pt idx="18">
                  <c:v>3</c:v>
                </c:pt>
                <c:pt idx="19">
                  <c:v>3</c:v>
                </c:pt>
                <c:pt idx="20">
                  <c:v>3</c:v>
                </c:pt>
                <c:pt idx="21">
                  <c:v>3</c:v>
                </c:pt>
                <c:pt idx="22">
                  <c:v>3</c:v>
                </c:pt>
                <c:pt idx="23">
                  <c:v>3</c:v>
                </c:pt>
                <c:pt idx="24">
                  <c:v>3</c:v>
                </c:pt>
                <c:pt idx="25">
                  <c:v>3</c:v>
                </c:pt>
                <c:pt idx="26">
                  <c:v>3</c:v>
                </c:pt>
                <c:pt idx="27">
                  <c:v>3</c:v>
                </c:pt>
                <c:pt idx="28">
                  <c:v>1</c:v>
                </c:pt>
                <c:pt idx="29">
                  <c:v>1</c:v>
                </c:pt>
                <c:pt idx="30">
                  <c:v>1</c:v>
                </c:pt>
                <c:pt idx="31">
                  <c:v>1</c:v>
                </c:pt>
              </c:numCache>
            </c:numRef>
          </c:val>
        </c:ser>
        <c:dLbls>
          <c:showLegendKey val="0"/>
          <c:showVal val="0"/>
          <c:showCatName val="0"/>
          <c:showSerName val="0"/>
          <c:showPercent val="0"/>
          <c:showBubbleSize val="0"/>
        </c:dLbls>
        <c:gapWidth val="150"/>
        <c:axId val="441494528"/>
        <c:axId val="299711808"/>
      </c:barChart>
      <c:lineChart>
        <c:grouping val="standard"/>
        <c:varyColors val="0"/>
        <c:ser>
          <c:idx val="1"/>
          <c:order val="1"/>
          <c:tx>
            <c:strRef>
              <c:f>redes_obj!$D$2</c:f>
              <c:strCache>
                <c:ptCount val="1"/>
                <c:pt idx="0">
                  <c:v>Concentración incidencia</c:v>
                </c:pt>
              </c:strCache>
            </c:strRef>
          </c:tx>
          <c:marker>
            <c:symbol val="none"/>
          </c:marker>
          <c:cat>
            <c:strRef>
              <c:f>redes_obj!$A$3:$A$34</c:f>
              <c:strCache>
                <c:ptCount val="32"/>
                <c:pt idx="0">
                  <c:v>Nayarit</c:v>
                </c:pt>
                <c:pt idx="1">
                  <c:v>Nuevo León</c:v>
                </c:pt>
                <c:pt idx="2">
                  <c:v>Sinaloa</c:v>
                </c:pt>
                <c:pt idx="3">
                  <c:v>Sonora</c:v>
                </c:pt>
                <c:pt idx="4">
                  <c:v>Aguascalientes</c:v>
                </c:pt>
                <c:pt idx="5">
                  <c:v>Baja California</c:v>
                </c:pt>
                <c:pt idx="6">
                  <c:v>Baja California Sur</c:v>
                </c:pt>
                <c:pt idx="7">
                  <c:v>Campeche</c:v>
                </c:pt>
                <c:pt idx="8">
                  <c:v>Chiapas</c:v>
                </c:pt>
                <c:pt idx="9">
                  <c:v>Chihuahua</c:v>
                </c:pt>
                <c:pt idx="10">
                  <c:v>Coahuila</c:v>
                </c:pt>
                <c:pt idx="11">
                  <c:v>Colima</c:v>
                </c:pt>
                <c:pt idx="12">
                  <c:v>Distrito Federal</c:v>
                </c:pt>
                <c:pt idx="13">
                  <c:v>Durango</c:v>
                </c:pt>
                <c:pt idx="14">
                  <c:v>Guanajuato</c:v>
                </c:pt>
                <c:pt idx="15">
                  <c:v>Guerrero</c:v>
                </c:pt>
                <c:pt idx="16">
                  <c:v>Jalisco</c:v>
                </c:pt>
                <c:pt idx="17">
                  <c:v>Michoacán</c:v>
                </c:pt>
                <c:pt idx="18">
                  <c:v>Morelos</c:v>
                </c:pt>
                <c:pt idx="19">
                  <c:v>Puebla</c:v>
                </c:pt>
                <c:pt idx="20">
                  <c:v>Querétaro</c:v>
                </c:pt>
                <c:pt idx="21">
                  <c:v>Quintana Roo</c:v>
                </c:pt>
                <c:pt idx="22">
                  <c:v>San Luis Potosí</c:v>
                </c:pt>
                <c:pt idx="23">
                  <c:v>Tamaulipas</c:v>
                </c:pt>
                <c:pt idx="24">
                  <c:v>Tlaxcala</c:v>
                </c:pt>
                <c:pt idx="25">
                  <c:v>Veracruz</c:v>
                </c:pt>
                <c:pt idx="26">
                  <c:v>Yucatán</c:v>
                </c:pt>
                <c:pt idx="27">
                  <c:v>Zacatecas</c:v>
                </c:pt>
                <c:pt idx="28">
                  <c:v>Hidalgo</c:v>
                </c:pt>
                <c:pt idx="29">
                  <c:v>México</c:v>
                </c:pt>
                <c:pt idx="30">
                  <c:v>Oaxaca</c:v>
                </c:pt>
                <c:pt idx="31">
                  <c:v>Tabasco</c:v>
                </c:pt>
              </c:strCache>
            </c:strRef>
          </c:cat>
          <c:val>
            <c:numRef>
              <c:f>redes_obj!$D$3:$D$34</c:f>
              <c:numCache>
                <c:formatCode>0.00</c:formatCode>
                <c:ptCount val="32"/>
                <c:pt idx="0">
                  <c:v>1.4483821263482386</c:v>
                </c:pt>
                <c:pt idx="1">
                  <c:v>2.6194144838212567</c:v>
                </c:pt>
                <c:pt idx="2">
                  <c:v>2.773497688751946</c:v>
                </c:pt>
                <c:pt idx="3">
                  <c:v>2.5577812018490098</c:v>
                </c:pt>
                <c:pt idx="4">
                  <c:v>0.55469953775038816</c:v>
                </c:pt>
                <c:pt idx="5">
                  <c:v>5.1771956856702621</c:v>
                </c:pt>
                <c:pt idx="6">
                  <c:v>0.86286594761171165</c:v>
                </c:pt>
                <c:pt idx="7">
                  <c:v>1.2942989214175717</c:v>
                </c:pt>
                <c:pt idx="8">
                  <c:v>3.235747303543913</c:v>
                </c:pt>
                <c:pt idx="9">
                  <c:v>1.4175654853620874</c:v>
                </c:pt>
                <c:pt idx="10">
                  <c:v>4.0677966101694745</c:v>
                </c:pt>
                <c:pt idx="11">
                  <c:v>3.7904468412942989</c:v>
                </c:pt>
                <c:pt idx="12">
                  <c:v>10.015408320493069</c:v>
                </c:pt>
                <c:pt idx="13">
                  <c:v>2.8659476117103231</c:v>
                </c:pt>
                <c:pt idx="14">
                  <c:v>3.4822804314329741</c:v>
                </c:pt>
                <c:pt idx="15">
                  <c:v>3.0200308166409982</c:v>
                </c:pt>
                <c:pt idx="16">
                  <c:v>3.3590138674884438</c:v>
                </c:pt>
                <c:pt idx="17">
                  <c:v>4.1602465331278866</c:v>
                </c:pt>
                <c:pt idx="18">
                  <c:v>2.8659476117103231</c:v>
                </c:pt>
                <c:pt idx="19">
                  <c:v>5.6086286594761168</c:v>
                </c:pt>
                <c:pt idx="20">
                  <c:v>2.8659476117103231</c:v>
                </c:pt>
                <c:pt idx="21">
                  <c:v>0.89368258859784011</c:v>
                </c:pt>
                <c:pt idx="22">
                  <c:v>1.4483821263482386</c:v>
                </c:pt>
                <c:pt idx="23">
                  <c:v>1.5100154083204931</c:v>
                </c:pt>
                <c:pt idx="24">
                  <c:v>1.7257318952234104</c:v>
                </c:pt>
                <c:pt idx="25">
                  <c:v>5.1771956856702621</c:v>
                </c:pt>
                <c:pt idx="26">
                  <c:v>2.3420647149460709</c:v>
                </c:pt>
                <c:pt idx="27">
                  <c:v>1.20184899845916</c:v>
                </c:pt>
                <c:pt idx="28">
                  <c:v>2.927580893682594</c:v>
                </c:pt>
                <c:pt idx="29">
                  <c:v>6.9029275808936834</c:v>
                </c:pt>
                <c:pt idx="30">
                  <c:v>7.3959938366717779</c:v>
                </c:pt>
                <c:pt idx="31">
                  <c:v>0.9861325115562366</c:v>
                </c:pt>
              </c:numCache>
            </c:numRef>
          </c:val>
          <c:smooth val="0"/>
        </c:ser>
        <c:dLbls>
          <c:showLegendKey val="0"/>
          <c:showVal val="0"/>
          <c:showCatName val="0"/>
          <c:showSerName val="0"/>
          <c:showPercent val="0"/>
          <c:showBubbleSize val="0"/>
        </c:dLbls>
        <c:marker val="1"/>
        <c:smooth val="0"/>
        <c:axId val="446194176"/>
        <c:axId val="299712512"/>
      </c:lineChart>
      <c:catAx>
        <c:axId val="441494528"/>
        <c:scaling>
          <c:orientation val="minMax"/>
        </c:scaling>
        <c:delete val="0"/>
        <c:axPos val="b"/>
        <c:majorTickMark val="out"/>
        <c:minorTickMark val="none"/>
        <c:tickLblPos val="nextTo"/>
        <c:txPr>
          <a:bodyPr rot="-5400000" vert="horz"/>
          <a:lstStyle/>
          <a:p>
            <a:pPr>
              <a:defRPr sz="800"/>
            </a:pPr>
            <a:endParaRPr lang="es-MX"/>
          </a:p>
        </c:txPr>
        <c:crossAx val="299711808"/>
        <c:crosses val="autoZero"/>
        <c:auto val="1"/>
        <c:lblAlgn val="ctr"/>
        <c:lblOffset val="100"/>
        <c:noMultiLvlLbl val="0"/>
      </c:catAx>
      <c:valAx>
        <c:axId val="299711808"/>
        <c:scaling>
          <c:orientation val="minMax"/>
          <c:max val="5"/>
        </c:scaling>
        <c:delete val="1"/>
        <c:axPos val="l"/>
        <c:numFmt formatCode="0" sourceLinked="1"/>
        <c:majorTickMark val="out"/>
        <c:minorTickMark val="none"/>
        <c:tickLblPos val="nextTo"/>
        <c:crossAx val="441494528"/>
        <c:crosses val="autoZero"/>
        <c:crossBetween val="between"/>
      </c:valAx>
      <c:valAx>
        <c:axId val="299712512"/>
        <c:scaling>
          <c:orientation val="minMax"/>
        </c:scaling>
        <c:delete val="0"/>
        <c:axPos val="r"/>
        <c:numFmt formatCode="0" sourceLinked="0"/>
        <c:majorTickMark val="out"/>
        <c:minorTickMark val="none"/>
        <c:tickLblPos val="nextTo"/>
        <c:txPr>
          <a:bodyPr/>
          <a:lstStyle/>
          <a:p>
            <a:pPr>
              <a:defRPr sz="900"/>
            </a:pPr>
            <a:endParaRPr lang="es-MX"/>
          </a:p>
        </c:txPr>
        <c:crossAx val="446194176"/>
        <c:crosses val="max"/>
        <c:crossBetween val="between"/>
      </c:valAx>
      <c:catAx>
        <c:axId val="446194176"/>
        <c:scaling>
          <c:orientation val="minMax"/>
        </c:scaling>
        <c:delete val="1"/>
        <c:axPos val="b"/>
        <c:majorTickMark val="out"/>
        <c:minorTickMark val="none"/>
        <c:tickLblPos val="none"/>
        <c:crossAx val="299712512"/>
        <c:crosses val="autoZero"/>
        <c:auto val="1"/>
        <c:lblAlgn val="ctr"/>
        <c:lblOffset val="100"/>
        <c:noMultiLvlLbl val="0"/>
      </c:catAx>
    </c:plotArea>
    <c:legend>
      <c:legendPos val="t"/>
      <c:overlay val="0"/>
    </c:legend>
    <c:plotVisOnly val="1"/>
    <c:dispBlanksAs val="gap"/>
    <c:showDLblsOverMax val="0"/>
  </c:chart>
  <c:txPr>
    <a:bodyPr/>
    <a:lstStyle/>
    <a:p>
      <a:pPr>
        <a:defRPr>
          <a:latin typeface="Adobe Caslon Pro" pitchFamily="18" charset="0"/>
        </a:defRPr>
      </a:pPr>
      <a:endParaRPr lang="es-MX"/>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barChart>
        <c:barDir val="col"/>
        <c:grouping val="percentStacked"/>
        <c:varyColors val="0"/>
        <c:ser>
          <c:idx val="0"/>
          <c:order val="0"/>
          <c:tx>
            <c:strRef>
              <c:f>B.Edad!$A$28:$C$28</c:f>
              <c:strCache>
                <c:ptCount val="1"/>
                <c:pt idx="0">
                  <c:v>0-12</c:v>
                </c:pt>
              </c:strCache>
            </c:strRef>
          </c:tx>
          <c:invertIfNegative val="0"/>
          <c:cat>
            <c:numRef>
              <c:f>B.Edad!$D$27:$F$27</c:f>
              <c:numCache>
                <c:formatCode>General</c:formatCode>
                <c:ptCount val="3"/>
                <c:pt idx="0">
                  <c:v>2011</c:v>
                </c:pt>
                <c:pt idx="1">
                  <c:v>2012</c:v>
                </c:pt>
                <c:pt idx="2">
                  <c:v>2013</c:v>
                </c:pt>
              </c:numCache>
            </c:numRef>
          </c:cat>
          <c:val>
            <c:numRef>
              <c:f>B.Edad!$D$28:$F$28</c:f>
              <c:numCache>
                <c:formatCode>0%</c:formatCode>
                <c:ptCount val="3"/>
                <c:pt idx="0">
                  <c:v>0.25675386609288697</c:v>
                </c:pt>
                <c:pt idx="1">
                  <c:v>0.24920954892512528</c:v>
                </c:pt>
                <c:pt idx="2">
                  <c:v>0.22942893664672429</c:v>
                </c:pt>
              </c:numCache>
            </c:numRef>
          </c:val>
        </c:ser>
        <c:ser>
          <c:idx val="1"/>
          <c:order val="1"/>
          <c:tx>
            <c:strRef>
              <c:f>B.Edad!$A$29:$C$29</c:f>
              <c:strCache>
                <c:ptCount val="1"/>
                <c:pt idx="0">
                  <c:v>13-29</c:v>
                </c:pt>
              </c:strCache>
            </c:strRef>
          </c:tx>
          <c:invertIfNegative val="0"/>
          <c:cat>
            <c:numRef>
              <c:f>B.Edad!$D$27:$F$27</c:f>
              <c:numCache>
                <c:formatCode>General</c:formatCode>
                <c:ptCount val="3"/>
                <c:pt idx="0">
                  <c:v>2011</c:v>
                </c:pt>
                <c:pt idx="1">
                  <c:v>2012</c:v>
                </c:pt>
                <c:pt idx="2">
                  <c:v>2013</c:v>
                </c:pt>
              </c:numCache>
            </c:numRef>
          </c:cat>
          <c:val>
            <c:numRef>
              <c:f>B.Edad!$D$29:$F$29</c:f>
              <c:numCache>
                <c:formatCode>0%</c:formatCode>
                <c:ptCount val="3"/>
                <c:pt idx="0">
                  <c:v>0.3921562459367765</c:v>
                </c:pt>
                <c:pt idx="1">
                  <c:v>0.36977922597926388</c:v>
                </c:pt>
                <c:pt idx="2">
                  <c:v>0.38122889368580426</c:v>
                </c:pt>
              </c:numCache>
            </c:numRef>
          </c:val>
        </c:ser>
        <c:ser>
          <c:idx val="2"/>
          <c:order val="2"/>
          <c:tx>
            <c:strRef>
              <c:f>B.Edad!$A$30:$C$30</c:f>
              <c:strCache>
                <c:ptCount val="1"/>
                <c:pt idx="0">
                  <c:v>30-59</c:v>
                </c:pt>
              </c:strCache>
            </c:strRef>
          </c:tx>
          <c:invertIfNegative val="0"/>
          <c:cat>
            <c:numRef>
              <c:f>B.Edad!$D$27:$F$27</c:f>
              <c:numCache>
                <c:formatCode>General</c:formatCode>
                <c:ptCount val="3"/>
                <c:pt idx="0">
                  <c:v>2011</c:v>
                </c:pt>
                <c:pt idx="1">
                  <c:v>2012</c:v>
                </c:pt>
                <c:pt idx="2">
                  <c:v>2013</c:v>
                </c:pt>
              </c:numCache>
            </c:numRef>
          </c:cat>
          <c:val>
            <c:numRef>
              <c:f>B.Edad!$D$30:$F$30</c:f>
              <c:numCache>
                <c:formatCode>0%</c:formatCode>
                <c:ptCount val="3"/>
                <c:pt idx="0">
                  <c:v>0.29931129649902138</c:v>
                </c:pt>
                <c:pt idx="1">
                  <c:v>0.31317510504830098</c:v>
                </c:pt>
                <c:pt idx="2">
                  <c:v>0.32532687276172101</c:v>
                </c:pt>
              </c:numCache>
            </c:numRef>
          </c:val>
        </c:ser>
        <c:ser>
          <c:idx val="3"/>
          <c:order val="3"/>
          <c:tx>
            <c:strRef>
              <c:f>B.Edad!$A$31:$C$31</c:f>
              <c:strCache>
                <c:ptCount val="1"/>
                <c:pt idx="0">
                  <c:v>60 y más</c:v>
                </c:pt>
              </c:strCache>
            </c:strRef>
          </c:tx>
          <c:invertIfNegative val="0"/>
          <c:cat>
            <c:numRef>
              <c:f>B.Edad!$D$27:$F$27</c:f>
              <c:numCache>
                <c:formatCode>General</c:formatCode>
                <c:ptCount val="3"/>
                <c:pt idx="0">
                  <c:v>2011</c:v>
                </c:pt>
                <c:pt idx="1">
                  <c:v>2012</c:v>
                </c:pt>
                <c:pt idx="2">
                  <c:v>2013</c:v>
                </c:pt>
              </c:numCache>
            </c:numRef>
          </c:cat>
          <c:val>
            <c:numRef>
              <c:f>B.Edad!$D$31:$F$31</c:f>
              <c:numCache>
                <c:formatCode>0%</c:formatCode>
                <c:ptCount val="3"/>
                <c:pt idx="0">
                  <c:v>5.1778591471317303E-2</c:v>
                </c:pt>
                <c:pt idx="1">
                  <c:v>6.7836120047312473E-2</c:v>
                </c:pt>
                <c:pt idx="2">
                  <c:v>6.401529690575751E-2</c:v>
                </c:pt>
              </c:numCache>
            </c:numRef>
          </c:val>
        </c:ser>
        <c:dLbls>
          <c:showLegendKey val="0"/>
          <c:showVal val="1"/>
          <c:showCatName val="0"/>
          <c:showSerName val="0"/>
          <c:showPercent val="0"/>
          <c:showBubbleSize val="0"/>
        </c:dLbls>
        <c:gapWidth val="95"/>
        <c:overlap val="100"/>
        <c:axId val="445881856"/>
        <c:axId val="299714240"/>
      </c:barChart>
      <c:catAx>
        <c:axId val="445881856"/>
        <c:scaling>
          <c:orientation val="minMax"/>
        </c:scaling>
        <c:delete val="0"/>
        <c:axPos val="b"/>
        <c:numFmt formatCode="General" sourceLinked="1"/>
        <c:majorTickMark val="none"/>
        <c:minorTickMark val="none"/>
        <c:tickLblPos val="nextTo"/>
        <c:crossAx val="299714240"/>
        <c:crosses val="autoZero"/>
        <c:auto val="1"/>
        <c:lblAlgn val="ctr"/>
        <c:lblOffset val="100"/>
        <c:noMultiLvlLbl val="0"/>
      </c:catAx>
      <c:valAx>
        <c:axId val="299714240"/>
        <c:scaling>
          <c:orientation val="minMax"/>
        </c:scaling>
        <c:delete val="1"/>
        <c:axPos val="l"/>
        <c:numFmt formatCode="0%" sourceLinked="1"/>
        <c:majorTickMark val="out"/>
        <c:minorTickMark val="none"/>
        <c:tickLblPos val="none"/>
        <c:crossAx val="445881856"/>
        <c:crosses val="autoZero"/>
        <c:crossBetween val="between"/>
      </c:valAx>
    </c:plotArea>
    <c:legend>
      <c:legendPos val="b"/>
      <c:overlay val="0"/>
    </c:legend>
    <c:plotVisOnly val="1"/>
    <c:dispBlanksAs val="gap"/>
    <c:showDLblsOverMax val="0"/>
  </c:chart>
  <c:txPr>
    <a:bodyPr/>
    <a:lstStyle/>
    <a:p>
      <a:pPr>
        <a:defRPr>
          <a:latin typeface="Adobe Caslon Pro" pitchFamily="18" charset="0"/>
        </a:defRPr>
      </a:pPr>
      <a:endParaRPr lang="es-MX"/>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barChart>
        <c:barDir val="col"/>
        <c:grouping val="percentStacked"/>
        <c:varyColors val="0"/>
        <c:ser>
          <c:idx val="0"/>
          <c:order val="0"/>
          <c:tx>
            <c:strRef>
              <c:f>B.Género!$A$9</c:f>
              <c:strCache>
                <c:ptCount val="1"/>
                <c:pt idx="0">
                  <c:v>% Mujeres</c:v>
                </c:pt>
              </c:strCache>
            </c:strRef>
          </c:tx>
          <c:invertIfNegative val="0"/>
          <c:cat>
            <c:numRef>
              <c:f>B.Género!$B$8:$F$8</c:f>
              <c:numCache>
                <c:formatCode>General</c:formatCode>
                <c:ptCount val="5"/>
                <c:pt idx="0">
                  <c:v>2009</c:v>
                </c:pt>
                <c:pt idx="1">
                  <c:v>2010</c:v>
                </c:pt>
                <c:pt idx="2">
                  <c:v>2011</c:v>
                </c:pt>
                <c:pt idx="3">
                  <c:v>2012</c:v>
                </c:pt>
                <c:pt idx="4">
                  <c:v>2013</c:v>
                </c:pt>
              </c:numCache>
            </c:numRef>
          </c:cat>
          <c:val>
            <c:numRef>
              <c:f>B.Género!$B$9:$F$9</c:f>
              <c:numCache>
                <c:formatCode>0%</c:formatCode>
                <c:ptCount val="5"/>
                <c:pt idx="0">
                  <c:v>0.58537553089640348</c:v>
                </c:pt>
                <c:pt idx="1">
                  <c:v>0.55255624909275258</c:v>
                </c:pt>
                <c:pt idx="2">
                  <c:v>0.56123484966080905</c:v>
                </c:pt>
                <c:pt idx="3">
                  <c:v>0.567115167330558</c:v>
                </c:pt>
                <c:pt idx="4">
                  <c:v>0.5853566636969596</c:v>
                </c:pt>
              </c:numCache>
            </c:numRef>
          </c:val>
        </c:ser>
        <c:ser>
          <c:idx val="1"/>
          <c:order val="1"/>
          <c:tx>
            <c:strRef>
              <c:f>B.Género!$A$10</c:f>
              <c:strCache>
                <c:ptCount val="1"/>
                <c:pt idx="0">
                  <c:v>% Hombres</c:v>
                </c:pt>
              </c:strCache>
            </c:strRef>
          </c:tx>
          <c:invertIfNegative val="0"/>
          <c:cat>
            <c:numRef>
              <c:f>B.Género!$B$8:$F$8</c:f>
              <c:numCache>
                <c:formatCode>General</c:formatCode>
                <c:ptCount val="5"/>
                <c:pt idx="0">
                  <c:v>2009</c:v>
                </c:pt>
                <c:pt idx="1">
                  <c:v>2010</c:v>
                </c:pt>
                <c:pt idx="2">
                  <c:v>2011</c:v>
                </c:pt>
                <c:pt idx="3">
                  <c:v>2012</c:v>
                </c:pt>
                <c:pt idx="4">
                  <c:v>2013</c:v>
                </c:pt>
              </c:numCache>
            </c:numRef>
          </c:cat>
          <c:val>
            <c:numRef>
              <c:f>B.Género!$B$10:$F$10</c:f>
              <c:numCache>
                <c:formatCode>0%</c:formatCode>
                <c:ptCount val="5"/>
                <c:pt idx="0">
                  <c:v>0.41462446910359757</c:v>
                </c:pt>
                <c:pt idx="1">
                  <c:v>0.44744375090724298</c:v>
                </c:pt>
                <c:pt idx="2">
                  <c:v>0.438765150339191</c:v>
                </c:pt>
                <c:pt idx="3">
                  <c:v>0.43288483266944533</c:v>
                </c:pt>
                <c:pt idx="4">
                  <c:v>0.41464333630303579</c:v>
                </c:pt>
              </c:numCache>
            </c:numRef>
          </c:val>
        </c:ser>
        <c:dLbls>
          <c:showLegendKey val="0"/>
          <c:showVal val="1"/>
          <c:showCatName val="0"/>
          <c:showSerName val="0"/>
          <c:showPercent val="0"/>
          <c:showBubbleSize val="0"/>
        </c:dLbls>
        <c:gapWidth val="55"/>
        <c:overlap val="100"/>
        <c:axId val="445878784"/>
        <c:axId val="299715968"/>
      </c:barChart>
      <c:catAx>
        <c:axId val="445878784"/>
        <c:scaling>
          <c:orientation val="minMax"/>
        </c:scaling>
        <c:delete val="0"/>
        <c:axPos val="b"/>
        <c:numFmt formatCode="General" sourceLinked="1"/>
        <c:majorTickMark val="none"/>
        <c:minorTickMark val="none"/>
        <c:tickLblPos val="nextTo"/>
        <c:crossAx val="299715968"/>
        <c:crosses val="autoZero"/>
        <c:auto val="1"/>
        <c:lblAlgn val="ctr"/>
        <c:lblOffset val="100"/>
        <c:noMultiLvlLbl val="0"/>
      </c:catAx>
      <c:valAx>
        <c:axId val="299715968"/>
        <c:scaling>
          <c:orientation val="minMax"/>
        </c:scaling>
        <c:delete val="0"/>
        <c:axPos val="l"/>
        <c:numFmt formatCode="0%" sourceLinked="1"/>
        <c:majorTickMark val="none"/>
        <c:minorTickMark val="none"/>
        <c:tickLblPos val="nextTo"/>
        <c:crossAx val="445878784"/>
        <c:crosses val="autoZero"/>
        <c:crossBetween val="between"/>
      </c:valAx>
    </c:plotArea>
    <c:legend>
      <c:legendPos val="b"/>
      <c:overlay val="0"/>
    </c:legend>
    <c:plotVisOnly val="1"/>
    <c:dispBlanksAs val="gap"/>
    <c:showDLblsOverMax val="0"/>
  </c:chart>
  <c:txPr>
    <a:bodyPr/>
    <a:lstStyle/>
    <a:p>
      <a:pPr>
        <a:defRPr>
          <a:latin typeface="Adobe Caslon Pro" pitchFamily="18" charset="0"/>
        </a:defRPr>
      </a:pPr>
      <a:endParaRPr lang="es-MX"/>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0.12973962250599996"/>
          <c:y val="0.2193319227167089"/>
          <c:w val="0.78988280369394293"/>
          <c:h val="0.73246823221987312"/>
        </c:manualLayout>
      </c:layout>
      <c:pieChart>
        <c:varyColors val="1"/>
        <c:ser>
          <c:idx val="0"/>
          <c:order val="0"/>
          <c:dLbls>
            <c:dLbl>
              <c:idx val="0"/>
              <c:spPr/>
              <c:txPr>
                <a:bodyPr/>
                <a:lstStyle/>
                <a:p>
                  <a:pPr>
                    <a:defRPr>
                      <a:solidFill>
                        <a:schemeClr val="bg1"/>
                      </a:solidFill>
                    </a:defRPr>
                  </a:pPr>
                  <a:endParaRPr lang="es-MX"/>
                </a:p>
              </c:txPr>
              <c:dLblPos val="bestFit"/>
              <c:showLegendKey val="0"/>
              <c:showVal val="1"/>
              <c:showCatName val="1"/>
              <c:showSerName val="0"/>
              <c:showPercent val="0"/>
              <c:showBubbleSize val="0"/>
            </c:dLbl>
            <c:dLbl>
              <c:idx val="1"/>
              <c:layout>
                <c:manualLayout>
                  <c:x val="-8.9716353023439804E-2"/>
                  <c:y val="5.1962942967816964E-2"/>
                </c:manualLayout>
              </c:layout>
              <c:dLblPos val="bestFit"/>
              <c:showLegendKey val="0"/>
              <c:showVal val="1"/>
              <c:showCatName val="1"/>
              <c:showSerName val="0"/>
              <c:showPercent val="0"/>
              <c:showBubbleSize val="0"/>
            </c:dLbl>
            <c:dLbl>
              <c:idx val="2"/>
              <c:layout>
                <c:manualLayout>
                  <c:x val="1.7138398240760501E-2"/>
                  <c:y val="-3.5009453279046261E-2"/>
                </c:manualLayout>
              </c:layout>
              <c:dLblPos val="bestFit"/>
              <c:showLegendKey val="0"/>
              <c:showVal val="1"/>
              <c:showCatName val="1"/>
              <c:showSerName val="0"/>
              <c:showPercent val="0"/>
              <c:showBubbleSize val="0"/>
            </c:dLbl>
            <c:dLbl>
              <c:idx val="3"/>
              <c:layout>
                <c:manualLayout>
                  <c:x val="0.14324121646956317"/>
                  <c:y val="-4.2066757402691037E-2"/>
                </c:manualLayout>
              </c:layout>
              <c:dLblPos val="bestFit"/>
              <c:showLegendKey val="0"/>
              <c:showVal val="1"/>
              <c:showCatName val="1"/>
              <c:showSerName val="0"/>
              <c:showPercent val="0"/>
              <c:showBubbleSize val="0"/>
            </c:dLbl>
            <c:dLblPos val="bestFit"/>
            <c:showLegendKey val="0"/>
            <c:showVal val="1"/>
            <c:showCatName val="1"/>
            <c:showSerName val="0"/>
            <c:showPercent val="0"/>
            <c:showBubbleSize val="0"/>
            <c:showLeaderLines val="1"/>
          </c:dLbls>
          <c:cat>
            <c:strRef>
              <c:f>Hoja6!$A$21:$A$24</c:f>
              <c:strCache>
                <c:ptCount val="4"/>
                <c:pt idx="0">
                  <c:v>AC</c:v>
                </c:pt>
                <c:pt idx="1">
                  <c:v>Institución de Asistencia Privada</c:v>
                </c:pt>
                <c:pt idx="2">
                  <c:v>Asociación de Beneficiencia Privada</c:v>
                </c:pt>
                <c:pt idx="3">
                  <c:v>Otro</c:v>
                </c:pt>
              </c:strCache>
            </c:strRef>
          </c:cat>
          <c:val>
            <c:numRef>
              <c:f>Hoja6!$B$21:$B$24</c:f>
              <c:numCache>
                <c:formatCode>0.0%</c:formatCode>
                <c:ptCount val="4"/>
                <c:pt idx="0">
                  <c:v>0.91</c:v>
                </c:pt>
                <c:pt idx="1">
                  <c:v>5.3999999999999999E-2</c:v>
                </c:pt>
                <c:pt idx="2">
                  <c:v>8.0000000000000158E-3</c:v>
                </c:pt>
                <c:pt idx="3">
                  <c:v>2.8000000000000001E-2</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solidFill>
        <a:schemeClr val="tx1"/>
      </a:solidFill>
    </a:ln>
  </c:spPr>
  <c:txPr>
    <a:bodyPr/>
    <a:lstStyle/>
    <a:p>
      <a:pPr>
        <a:defRPr>
          <a:latin typeface="Adobe Caslon Pro" pitchFamily="18" charset="0"/>
        </a:defRPr>
      </a:pPr>
      <a:endParaRPr lang="es-MX"/>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col"/>
        <c:grouping val="clustered"/>
        <c:varyColors val="0"/>
        <c:ser>
          <c:idx val="0"/>
          <c:order val="0"/>
          <c:invertIfNegative val="0"/>
          <c:dPt>
            <c:idx val="5"/>
            <c:invertIfNegative val="0"/>
            <c:bubble3D val="0"/>
            <c:spPr>
              <a:solidFill>
                <a:schemeClr val="tx2">
                  <a:lumMod val="40000"/>
                  <a:lumOff val="60000"/>
                </a:schemeClr>
              </a:solidFill>
            </c:spPr>
          </c:dPt>
          <c:cat>
            <c:strRef>
              <c:f>Hoja3!$A$14:$A$19</c:f>
              <c:strCache>
                <c:ptCount val="6"/>
                <c:pt idx="0">
                  <c:v>Estados Unidos</c:v>
                </c:pt>
                <c:pt idx="1">
                  <c:v>Chile</c:v>
                </c:pt>
                <c:pt idx="2">
                  <c:v>Argentina</c:v>
                </c:pt>
                <c:pt idx="3">
                  <c:v>Brasil</c:v>
                </c:pt>
                <c:pt idx="4">
                  <c:v>India</c:v>
                </c:pt>
                <c:pt idx="5">
                  <c:v>México</c:v>
                </c:pt>
              </c:strCache>
            </c:strRef>
          </c:cat>
          <c:val>
            <c:numRef>
              <c:f>Hoja3!$B$14:$B$19</c:f>
              <c:numCache>
                <c:formatCode>General</c:formatCode>
                <c:ptCount val="6"/>
                <c:pt idx="0">
                  <c:v>65.099999999999994</c:v>
                </c:pt>
                <c:pt idx="1">
                  <c:v>63.8</c:v>
                </c:pt>
                <c:pt idx="2">
                  <c:v>29.3</c:v>
                </c:pt>
                <c:pt idx="3">
                  <c:v>17</c:v>
                </c:pt>
                <c:pt idx="4">
                  <c:v>10.3</c:v>
                </c:pt>
                <c:pt idx="5">
                  <c:v>1.7</c:v>
                </c:pt>
              </c:numCache>
            </c:numRef>
          </c:val>
        </c:ser>
        <c:dLbls>
          <c:showLegendKey val="0"/>
          <c:showVal val="0"/>
          <c:showCatName val="0"/>
          <c:showSerName val="0"/>
          <c:showPercent val="0"/>
          <c:showBubbleSize val="0"/>
        </c:dLbls>
        <c:gapWidth val="150"/>
        <c:axId val="440498688"/>
        <c:axId val="276434880"/>
      </c:barChart>
      <c:catAx>
        <c:axId val="440498688"/>
        <c:scaling>
          <c:orientation val="minMax"/>
        </c:scaling>
        <c:delete val="0"/>
        <c:axPos val="b"/>
        <c:majorTickMark val="out"/>
        <c:minorTickMark val="none"/>
        <c:tickLblPos val="nextTo"/>
        <c:txPr>
          <a:bodyPr/>
          <a:lstStyle/>
          <a:p>
            <a:pPr>
              <a:defRPr sz="800"/>
            </a:pPr>
            <a:endParaRPr lang="es-MX"/>
          </a:p>
        </c:txPr>
        <c:crossAx val="276434880"/>
        <c:crosses val="autoZero"/>
        <c:auto val="1"/>
        <c:lblAlgn val="ctr"/>
        <c:lblOffset val="100"/>
        <c:noMultiLvlLbl val="0"/>
      </c:catAx>
      <c:valAx>
        <c:axId val="276434880"/>
        <c:scaling>
          <c:orientation val="minMax"/>
        </c:scaling>
        <c:delete val="0"/>
        <c:axPos val="l"/>
        <c:numFmt formatCode="General" sourceLinked="1"/>
        <c:majorTickMark val="out"/>
        <c:minorTickMark val="none"/>
        <c:tickLblPos val="nextTo"/>
        <c:crossAx val="440498688"/>
        <c:crosses val="autoZero"/>
        <c:crossBetween val="between"/>
      </c:valAx>
    </c:plotArea>
    <c:plotVisOnly val="1"/>
    <c:dispBlanksAs val="gap"/>
    <c:showDLblsOverMax val="0"/>
  </c:chart>
  <c:txPr>
    <a:bodyPr/>
    <a:lstStyle/>
    <a:p>
      <a:pPr>
        <a:defRPr>
          <a:latin typeface="Adobe Caslon Pro" pitchFamily="18" charset="0"/>
        </a:defRPr>
      </a:pPr>
      <a:endParaRPr lang="es-MX"/>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0.50287467191601098"/>
          <c:y val="0.19949074074074122"/>
          <c:w val="0.46656977252843401"/>
          <c:h val="0.76210338291046897"/>
        </c:manualLayout>
      </c:layout>
      <c:barChart>
        <c:barDir val="bar"/>
        <c:grouping val="clustered"/>
        <c:varyColors val="0"/>
        <c:ser>
          <c:idx val="0"/>
          <c:order val="0"/>
          <c:tx>
            <c:strRef>
              <c:f>'Cuadro 3'!$C$8</c:f>
              <c:strCache>
                <c:ptCount val="1"/>
                <c:pt idx="0">
                  <c:v>2010</c:v>
                </c:pt>
              </c:strCache>
            </c:strRef>
          </c:tx>
          <c:invertIfNegative val="0"/>
          <c:dLbls>
            <c:txPr>
              <a:bodyPr rot="0" vert="horz"/>
              <a:lstStyle/>
              <a:p>
                <a:pPr>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 3'!$B$17:$B$19</c:f>
              <c:strCache>
                <c:ptCount val="3"/>
                <c:pt idx="0">
                  <c:v>Población en entidades con grado alto de percepción de redes sociales</c:v>
                </c:pt>
                <c:pt idx="1">
                  <c:v>Población en entidades con grado medio de percepción de redes sociales</c:v>
                </c:pt>
                <c:pt idx="2">
                  <c:v>Población en entidades con grado bajo de percepción de redes sociales</c:v>
                </c:pt>
              </c:strCache>
            </c:strRef>
          </c:cat>
          <c:val>
            <c:numRef>
              <c:f>'Cuadro 3'!$C$17:$C$19</c:f>
              <c:numCache>
                <c:formatCode>#,##0.0</c:formatCode>
                <c:ptCount val="3"/>
                <c:pt idx="0">
                  <c:v>9.9852361679078268</c:v>
                </c:pt>
                <c:pt idx="1">
                  <c:v>68.634628295898423</c:v>
                </c:pt>
                <c:pt idx="2">
                  <c:v>21.380134582519489</c:v>
                </c:pt>
              </c:numCache>
            </c:numRef>
          </c:val>
        </c:ser>
        <c:ser>
          <c:idx val="1"/>
          <c:order val="1"/>
          <c:tx>
            <c:strRef>
              <c:f>'Cuadro 3'!$D$8</c:f>
              <c:strCache>
                <c:ptCount val="1"/>
                <c:pt idx="0">
                  <c:v>2012</c:v>
                </c:pt>
              </c:strCache>
            </c:strRef>
          </c:tx>
          <c:invertIfNegative val="0"/>
          <c:dLbls>
            <c:txPr>
              <a:bodyPr rot="0" vert="horz"/>
              <a:lstStyle/>
              <a:p>
                <a:pPr>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'Cuadro 3'!$B$17:$B$19</c:f>
              <c:strCache>
                <c:ptCount val="3"/>
                <c:pt idx="0">
                  <c:v>Población en entidades con grado alto de percepción de redes sociales</c:v>
                </c:pt>
                <c:pt idx="1">
                  <c:v>Población en entidades con grado medio de percepción de redes sociales</c:v>
                </c:pt>
                <c:pt idx="2">
                  <c:v>Población en entidades con grado bajo de percepción de redes sociales</c:v>
                </c:pt>
              </c:strCache>
            </c:strRef>
          </c:cat>
          <c:val>
            <c:numRef>
              <c:f>'Cuadro 3'!$D$17:$D$19</c:f>
              <c:numCache>
                <c:formatCode>#,##0.0</c:formatCode>
                <c:ptCount val="3"/>
                <c:pt idx="0">
                  <c:v>0</c:v>
                </c:pt>
                <c:pt idx="1">
                  <c:v>87.204177856444304</c:v>
                </c:pt>
                <c:pt idx="2">
                  <c:v>12.795820236206072</c:v>
                </c:pt>
              </c:numCache>
            </c:numRef>
          </c:val>
        </c:ser>
        <c:dLbls>
          <c:showLegendKey val="0"/>
          <c:showVal val="0"/>
          <c:showCatName val="0"/>
          <c:showSerName val="0"/>
          <c:showPercent val="0"/>
          <c:showBubbleSize val="0"/>
        </c:dLbls>
        <c:gapWidth val="182"/>
        <c:axId val="441308672"/>
        <c:axId val="276437184"/>
      </c:barChart>
      <c:catAx>
        <c:axId val="441308672"/>
        <c:scaling>
          <c:orientation val="minMax"/>
        </c:scaling>
        <c:delete val="0"/>
        <c:axPos val="l"/>
        <c:numFmt formatCode="General" sourceLinked="1"/>
        <c:majorTickMark val="none"/>
        <c:minorTickMark val="none"/>
        <c:tickLblPos val="nextTo"/>
        <c:txPr>
          <a:bodyPr rot="-60000000" vert="horz" anchor="t" anchorCtr="0"/>
          <a:lstStyle/>
          <a:p>
            <a:pPr>
              <a:defRPr/>
            </a:pPr>
            <a:endParaRPr lang="es-MX"/>
          </a:p>
        </c:txPr>
        <c:crossAx val="276437184"/>
        <c:crosses val="autoZero"/>
        <c:auto val="1"/>
        <c:lblAlgn val="l"/>
        <c:lblOffset val="100"/>
        <c:noMultiLvlLbl val="0"/>
      </c:catAx>
      <c:valAx>
        <c:axId val="276437184"/>
        <c:scaling>
          <c:orientation val="minMax"/>
        </c:scaling>
        <c:delete val="1"/>
        <c:axPos val="b"/>
        <c:numFmt formatCode="#,##0" sourceLinked="0"/>
        <c:majorTickMark val="none"/>
        <c:minorTickMark val="none"/>
        <c:tickLblPos val="none"/>
        <c:crossAx val="441308672"/>
        <c:crosses val="autoZero"/>
        <c:crossBetween val="between"/>
      </c:valAx>
    </c:plotArea>
    <c:legend>
      <c:legendPos val="b"/>
      <c:legendEntry>
        <c:idx val="0"/>
        <c:txPr>
          <a:bodyPr rot="0" vert="horz"/>
          <a:lstStyle/>
          <a:p>
            <a:pPr>
              <a:defRPr/>
            </a:pPr>
            <a:endParaRPr lang="es-MX"/>
          </a:p>
        </c:txPr>
      </c:legendEntry>
      <c:legendEntry>
        <c:idx val="1"/>
        <c:txPr>
          <a:bodyPr rot="0" vert="horz"/>
          <a:lstStyle/>
          <a:p>
            <a:pPr>
              <a:defRPr/>
            </a:pPr>
            <a:endParaRPr lang="es-MX"/>
          </a:p>
        </c:txPr>
      </c:legendEntry>
      <c:layout>
        <c:manualLayout>
          <c:xMode val="edge"/>
          <c:yMode val="edge"/>
          <c:x val="0.51870953630796202"/>
          <c:y val="6.3445975503062066E-2"/>
          <c:w val="0.22924759405074399"/>
          <c:h val="8.9331802274715696E-2"/>
        </c:manualLayout>
      </c:layout>
      <c:overlay val="0"/>
      <c:txPr>
        <a:bodyPr rot="0" vert="horz"/>
        <a:lstStyle/>
        <a:p>
          <a:pPr>
            <a:defRPr/>
          </a:pPr>
          <a:endParaRPr lang="es-MX"/>
        </a:p>
      </c:txPr>
    </c:legend>
    <c:plotVisOnly val="1"/>
    <c:dispBlanksAs val="gap"/>
    <c:showDLblsOverMax val="0"/>
  </c:chart>
  <c:txPr>
    <a:bodyPr/>
    <a:lstStyle/>
    <a:p>
      <a:pPr>
        <a:defRPr>
          <a:latin typeface="Adobe Caslon Pro" pitchFamily="18" charset="0"/>
        </a:defRPr>
      </a:pPr>
      <a:endParaRPr lang="es-MX"/>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col"/>
        <c:grouping val="clustered"/>
        <c:varyColors val="0"/>
        <c:ser>
          <c:idx val="0"/>
          <c:order val="0"/>
          <c:invertIfNegative val="0"/>
          <c:dLbls>
            <c:dLbl>
              <c:idx val="0"/>
              <c:tx>
                <c:rich>
                  <a:bodyPr/>
                  <a:lstStyle/>
                  <a:p>
                    <a:r>
                      <a:rPr lang="en-US"/>
                      <a:t>4</a:t>
                    </a:r>
                  </a:p>
                </c:rich>
              </c:tx>
              <c:showLegendKey val="0"/>
              <c:showVal val="1"/>
              <c:showCatName val="0"/>
              <c:showSerName val="0"/>
              <c:showPercent val="0"/>
              <c:showBubbleSize val="0"/>
            </c:dLbl>
            <c:dLbl>
              <c:idx val="2"/>
              <c:tx>
                <c:rich>
                  <a:bodyPr/>
                  <a:lstStyle/>
                  <a:p>
                    <a:r>
                      <a:rPr lang="en-US"/>
                      <a:t>4</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Hoja1!$B$2:$B$4</c:f>
              <c:strCache>
                <c:ptCount val="3"/>
                <c:pt idx="0">
                  <c:v>Bajo</c:v>
                </c:pt>
                <c:pt idx="1">
                  <c:v>Medio</c:v>
                </c:pt>
                <c:pt idx="2">
                  <c:v>Alto</c:v>
                </c:pt>
              </c:strCache>
            </c:strRef>
          </c:cat>
          <c:val>
            <c:numRef>
              <c:f>Hoja1!$C$2:$C$4</c:f>
              <c:numCache>
                <c:formatCode>General</c:formatCode>
                <c:ptCount val="3"/>
                <c:pt idx="0">
                  <c:v>5</c:v>
                </c:pt>
                <c:pt idx="1">
                  <c:v>24</c:v>
                </c:pt>
                <c:pt idx="2">
                  <c:v>5</c:v>
                </c:pt>
              </c:numCache>
            </c:numRef>
          </c:val>
        </c:ser>
        <c:dLbls>
          <c:showLegendKey val="0"/>
          <c:showVal val="1"/>
          <c:showCatName val="0"/>
          <c:showSerName val="0"/>
          <c:showPercent val="0"/>
          <c:showBubbleSize val="0"/>
        </c:dLbls>
        <c:gapWidth val="75"/>
        <c:axId val="441293824"/>
        <c:axId val="276438336"/>
      </c:barChart>
      <c:catAx>
        <c:axId val="441293824"/>
        <c:scaling>
          <c:orientation val="minMax"/>
        </c:scaling>
        <c:delete val="0"/>
        <c:axPos val="b"/>
        <c:title>
          <c:tx>
            <c:rich>
              <a:bodyPr/>
              <a:lstStyle/>
              <a:p>
                <a:pPr>
                  <a:defRPr/>
                </a:pPr>
                <a:r>
                  <a:rPr lang="es-MX"/>
                  <a:t>Índice de Percepción de Redes</a:t>
                </a:r>
              </a:p>
            </c:rich>
          </c:tx>
          <c:overlay val="0"/>
        </c:title>
        <c:majorTickMark val="none"/>
        <c:minorTickMark val="none"/>
        <c:tickLblPos val="nextTo"/>
        <c:crossAx val="276438336"/>
        <c:crosses val="autoZero"/>
        <c:auto val="1"/>
        <c:lblAlgn val="ctr"/>
        <c:lblOffset val="100"/>
        <c:noMultiLvlLbl val="0"/>
      </c:catAx>
      <c:valAx>
        <c:axId val="276438336"/>
        <c:scaling>
          <c:orientation val="minMax"/>
        </c:scaling>
        <c:delete val="0"/>
        <c:axPos val="l"/>
        <c:title>
          <c:tx>
            <c:rich>
              <a:bodyPr rot="-5400000" vert="horz"/>
              <a:lstStyle/>
              <a:p>
                <a:pPr>
                  <a:defRPr/>
                </a:pPr>
                <a:r>
                  <a:rPr lang="en-US"/>
                  <a:t>Número de Entidades Federativas</a:t>
                </a:r>
              </a:p>
            </c:rich>
          </c:tx>
          <c:overlay val="0"/>
        </c:title>
        <c:numFmt formatCode="General" sourceLinked="1"/>
        <c:majorTickMark val="none"/>
        <c:minorTickMark val="none"/>
        <c:tickLblPos val="nextTo"/>
        <c:crossAx val="441293824"/>
        <c:crosses val="autoZero"/>
        <c:crossBetween val="between"/>
      </c:valAx>
    </c:plotArea>
    <c:plotVisOnly val="1"/>
    <c:dispBlanksAs val="gap"/>
    <c:showDLblsOverMax val="0"/>
  </c:chart>
  <c:spPr>
    <a:ln>
      <a:noFill/>
    </a:ln>
  </c:spPr>
  <c:txPr>
    <a:bodyPr/>
    <a:lstStyle/>
    <a:p>
      <a:pPr>
        <a:defRPr>
          <a:latin typeface="Adobe Caslon Pro" pitchFamily="18" charset="0"/>
        </a:defRPr>
      </a:pPr>
      <a:endParaRPr lang="es-MX"/>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col"/>
        <c:grouping val="clustered"/>
        <c:varyColors val="0"/>
        <c:ser>
          <c:idx val="0"/>
          <c:order val="0"/>
          <c:tx>
            <c:v>OPINIÓN</c:v>
          </c:tx>
          <c:invertIfNegative val="0"/>
          <c:dLbls>
            <c:txPr>
              <a:bodyPr rot="0" vert="horz"/>
              <a:lstStyle/>
              <a:p>
                <a:pPr>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Hoja1!$E$4:$E$6</c:f>
              <c:strCache>
                <c:ptCount val="3"/>
                <c:pt idx="0">
                  <c:v>La sociedad debe resolverlos sin ayuda del gobierno</c:v>
                </c:pt>
                <c:pt idx="1">
                  <c:v>El gobierno debe resolverlos</c:v>
                </c:pt>
                <c:pt idx="2">
                  <c:v>Deben ser resueltos conjuntamente por gobierno y sociedad</c:v>
                </c:pt>
              </c:strCache>
            </c:strRef>
          </c:cat>
          <c:val>
            <c:numRef>
              <c:f>Hoja1!$D$4:$D$6</c:f>
              <c:numCache>
                <c:formatCode>0.0%</c:formatCode>
                <c:ptCount val="3"/>
                <c:pt idx="0">
                  <c:v>0.33333333333333298</c:v>
                </c:pt>
                <c:pt idx="1">
                  <c:v>0.5</c:v>
                </c:pt>
                <c:pt idx="2">
                  <c:v>0.77700000000000602</c:v>
                </c:pt>
              </c:numCache>
            </c:numRef>
          </c:val>
        </c:ser>
        <c:dLbls>
          <c:showLegendKey val="0"/>
          <c:showVal val="0"/>
          <c:showCatName val="0"/>
          <c:showSerName val="0"/>
          <c:showPercent val="0"/>
          <c:showBubbleSize val="0"/>
        </c:dLbls>
        <c:gapWidth val="30"/>
        <c:axId val="441294336"/>
        <c:axId val="276956288"/>
        <c:extLst>
          <c:ext xmlns:c15="http://schemas.microsoft.com/office/drawing/2012/chart" uri="{02D57815-91ED-43cb-92C2-25804820EDAC}">
            <c15:filteredBarSeries>
              <c15:ser>
                <c:idx val="1"/>
                <c:order val="1"/>
                <c:spPr>
                  <a:solidFill>
                    <a:schemeClr val="accent2"/>
                  </a:solidFill>
                  <a:ln>
                    <a:noFill/>
                  </a:ln>
                  <a:effectLst/>
                </c:spPr>
                <c:invertIfNegative val="0"/>
                <c:cat>
                  <c:strRef>
                    <c:extLst>
                      <c:ext uri="{02D57815-91ED-43cb-92C2-25804820EDAC}">
                        <c15:formulaRef>
                          <c15:sqref>Hoja1!$E$4:$E$6</c15:sqref>
                        </c15:formulaRef>
                      </c:ext>
                    </c:extLst>
                    <c:strCache>
                      <c:ptCount val="3"/>
                      <c:pt idx="0">
                        <c:v>La sociedad debe resolverlos sin ayuda del gobierno</c:v>
                      </c:pt>
                      <c:pt idx="1">
                        <c:v>El gobierno debe resolverlos</c:v>
                      </c:pt>
                      <c:pt idx="2">
                        <c:v>Deben ser resueltos conjuntamente por gobierno y sociedad</c:v>
                      </c:pt>
                    </c:strCache>
                  </c:strRef>
                </c:cat>
                <c:val>
                  <c:numRef>
                    <c:extLst>
                      <c:ext uri="{02D57815-91ED-43cb-92C2-25804820EDAC}">
                        <c15:formulaRef>
                          <c15:sqref>Hoja1!$E$4:$E$6</c15:sqref>
                        </c15:formulaRef>
                      </c:ext>
                    </c:extLst>
                    <c:numCache>
                      <c:formatCode>General</c:formatCode>
                      <c:ptCount val="3"/>
                      <c:pt idx="0">
                        <c:v>0</c:v>
                      </c:pt>
                      <c:pt idx="1">
                        <c:v>0</c:v>
                      </c:pt>
                      <c:pt idx="2">
                        <c:v>0</c:v>
                      </c:pt>
                    </c:numCache>
                  </c:numRef>
                </c:val>
              </c15:ser>
            </c15:filteredBarSeries>
          </c:ext>
        </c:extLst>
      </c:barChart>
      <c:catAx>
        <c:axId val="441294336"/>
        <c:scaling>
          <c:orientation val="minMax"/>
        </c:scaling>
        <c:delete val="0"/>
        <c:axPos val="b"/>
        <c:title>
          <c:tx>
            <c:rich>
              <a:bodyPr rot="0" vert="horz"/>
              <a:lstStyle/>
              <a:p>
                <a:pPr>
                  <a:defRPr/>
                </a:pPr>
                <a:r>
                  <a:rPr lang="es-MX"/>
                  <a:t>OPINIÓN</a:t>
                </a:r>
              </a:p>
            </c:rich>
          </c:tx>
          <c:overlay val="0"/>
        </c:title>
        <c:numFmt formatCode="General" sourceLinked="1"/>
        <c:majorTickMark val="none"/>
        <c:minorTickMark val="none"/>
        <c:tickLblPos val="low"/>
        <c:txPr>
          <a:bodyPr rot="-60000000" vert="horz"/>
          <a:lstStyle/>
          <a:p>
            <a:pPr>
              <a:defRPr sz="900"/>
            </a:pPr>
            <a:endParaRPr lang="es-MX"/>
          </a:p>
        </c:txPr>
        <c:crossAx val="276956288"/>
        <c:crosses val="autoZero"/>
        <c:auto val="0"/>
        <c:lblAlgn val="ctr"/>
        <c:lblOffset val="100"/>
        <c:noMultiLvlLbl val="0"/>
      </c:catAx>
      <c:valAx>
        <c:axId val="276956288"/>
        <c:scaling>
          <c:orientation val="minMax"/>
        </c:scaling>
        <c:delete val="1"/>
        <c:axPos val="l"/>
        <c:numFmt formatCode="0.0%" sourceLinked="1"/>
        <c:majorTickMark val="none"/>
        <c:minorTickMark val="none"/>
        <c:tickLblPos val="none"/>
        <c:crossAx val="441294336"/>
        <c:crosses val="autoZero"/>
        <c:crossBetween val="between"/>
      </c:valAx>
    </c:plotArea>
    <c:plotVisOnly val="1"/>
    <c:dispBlanksAs val="gap"/>
    <c:showDLblsOverMax val="0"/>
  </c:chart>
  <c:txPr>
    <a:bodyPr/>
    <a:lstStyle/>
    <a:p>
      <a:pPr>
        <a:defRPr>
          <a:latin typeface="Adobe Caslon Pro" pitchFamily="18" charset="0"/>
        </a:defRPr>
      </a:pPr>
      <a:endParaRPr lang="es-MX"/>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P069_ABAJO!$B$7</c:f>
              <c:strCache>
                <c:ptCount val="1"/>
                <c:pt idx="0">
                  <c:v>Total</c:v>
                </c:pt>
              </c:strCache>
            </c:strRef>
          </c:tx>
          <c:spPr>
            <a:solidFill>
              <a:schemeClr val="accent1"/>
            </a:solidFill>
            <a:ln>
              <a:noFill/>
            </a:ln>
            <a:effectLst/>
          </c:spPr>
          <c:invertIfNegative val="0"/>
          <c:dLbls>
            <c:spPr>
              <a:noFill/>
              <a:ln>
                <a:noFill/>
              </a:ln>
              <a:effectLst/>
            </c:spPr>
            <c:txPr>
              <a:bodyPr rot="0" vert="horz"/>
              <a:lstStyle/>
              <a:p>
                <a:pPr>
                  <a:defRPr sz="900"/>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P069_ABAJO!$C$5:$L$5</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P069_ABAJO!$C$7:$L$7</c:f>
              <c:numCache>
                <c:formatCode>#,##0.0</c:formatCode>
                <c:ptCount val="10"/>
                <c:pt idx="0">
                  <c:v>109343.9</c:v>
                </c:pt>
                <c:pt idx="1">
                  <c:v>123946.7</c:v>
                </c:pt>
                <c:pt idx="2">
                  <c:v>141377.70000000001</c:v>
                </c:pt>
                <c:pt idx="3">
                  <c:v>159174.29999999999</c:v>
                </c:pt>
                <c:pt idx="4">
                  <c:v>203345.26603899128</c:v>
                </c:pt>
                <c:pt idx="5">
                  <c:v>236209.08457636548</c:v>
                </c:pt>
                <c:pt idx="6">
                  <c:v>271699.72008978622</c:v>
                </c:pt>
                <c:pt idx="7">
                  <c:v>281331.61524513987</c:v>
                </c:pt>
                <c:pt idx="8">
                  <c:v>310302.04866039485</c:v>
                </c:pt>
                <c:pt idx="9">
                  <c:v>350566.565028249</c:v>
                </c:pt>
              </c:numCache>
            </c:numRef>
          </c:val>
        </c:ser>
        <c:dLbls>
          <c:showLegendKey val="0"/>
          <c:showVal val="0"/>
          <c:showCatName val="0"/>
          <c:showSerName val="0"/>
          <c:showPercent val="0"/>
          <c:showBubbleSize val="0"/>
        </c:dLbls>
        <c:gapWidth val="20"/>
        <c:overlap val="-27"/>
        <c:axId val="441309696"/>
        <c:axId val="276957440"/>
      </c:barChart>
      <c:catAx>
        <c:axId val="441309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MX"/>
          </a:p>
        </c:txPr>
        <c:crossAx val="276957440"/>
        <c:crosses val="autoZero"/>
        <c:auto val="1"/>
        <c:lblAlgn val="ctr"/>
        <c:lblOffset val="100"/>
        <c:noMultiLvlLbl val="0"/>
      </c:catAx>
      <c:valAx>
        <c:axId val="276957440"/>
        <c:scaling>
          <c:orientation val="minMax"/>
        </c:scaling>
        <c:delete val="1"/>
        <c:axPos val="l"/>
        <c:numFmt formatCode="0" sourceLinked="0"/>
        <c:majorTickMark val="none"/>
        <c:minorTickMark val="none"/>
        <c:tickLblPos val="none"/>
        <c:crossAx val="441309696"/>
        <c:crosses val="autoZero"/>
        <c:crossBetween val="between"/>
        <c:majorUnit val="100000"/>
        <c:dispUnits>
          <c:builtInUnit val="thousands"/>
        </c:dispUnits>
      </c:valAx>
      <c:spPr>
        <a:noFill/>
        <a:ln>
          <a:noFill/>
        </a:ln>
        <a:effectLst/>
      </c:spPr>
    </c:plotArea>
    <c:plotVisOnly val="1"/>
    <c:dispBlanksAs val="gap"/>
    <c:showDLblsOverMax val="0"/>
  </c:chart>
  <c:spPr>
    <a:noFill/>
    <a:ln w="9525" cap="flat" cmpd="sng" algn="ctr">
      <a:solidFill>
        <a:schemeClr val="tx1"/>
      </a:solidFill>
      <a:round/>
    </a:ln>
    <a:effectLst/>
  </c:spPr>
  <c:txPr>
    <a:bodyPr/>
    <a:lstStyle/>
    <a:p>
      <a:pPr>
        <a:defRPr>
          <a:latin typeface="Adobe Caslon Pro" pitchFamily="18" charset="0"/>
        </a:defRPr>
      </a:pPr>
      <a:endParaRPr lang="es-MX"/>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barChart>
        <c:barDir val="col"/>
        <c:grouping val="stacked"/>
        <c:varyColors val="0"/>
        <c:ser>
          <c:idx val="0"/>
          <c:order val="0"/>
          <c:tx>
            <c:strRef>
              <c:f>[P071_ARRIBA.xlsx]P071_ARRIBA!$B$8</c:f>
              <c:strCache>
                <c:ptCount val="1"/>
                <c:pt idx="0">
                  <c:v>Desarrollo Social</c:v>
                </c:pt>
              </c:strCache>
            </c:strRef>
          </c:tx>
          <c:invertIfNegative val="0"/>
          <c:cat>
            <c:numRef>
              <c:f>[P071_ARRIBA.xlsx]P071_ARRIBA!$C$5:$P$5</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[P071_ARRIBA.xlsx]P071_ARRIBA!$C$8:$P$8</c:f>
              <c:numCache>
                <c:formatCode>#,##0.0</c:formatCode>
                <c:ptCount val="14"/>
                <c:pt idx="0">
                  <c:v>4103.6472300000014</c:v>
                </c:pt>
                <c:pt idx="1">
                  <c:v>5105.7329</c:v>
                </c:pt>
                <c:pt idx="2">
                  <c:v>6864.5220000000054</c:v>
                </c:pt>
                <c:pt idx="3">
                  <c:v>8746.5263000000014</c:v>
                </c:pt>
                <c:pt idx="4">
                  <c:v>9950.004999999981</c:v>
                </c:pt>
                <c:pt idx="5">
                  <c:v>11185.381799999985</c:v>
                </c:pt>
                <c:pt idx="6">
                  <c:v>13634.536699999981</c:v>
                </c:pt>
                <c:pt idx="7">
                  <c:v>15853.240000000014</c:v>
                </c:pt>
                <c:pt idx="8">
                  <c:v>20513.240000000009</c:v>
                </c:pt>
                <c:pt idx="9">
                  <c:v>24650.34</c:v>
                </c:pt>
                <c:pt idx="10">
                  <c:v>31608.3</c:v>
                </c:pt>
                <c:pt idx="11">
                  <c:v>33862.5</c:v>
                </c:pt>
                <c:pt idx="12">
                  <c:v>34252.111973040002</c:v>
                </c:pt>
                <c:pt idx="13">
                  <c:v>36555.316239141022</c:v>
                </c:pt>
              </c:numCache>
            </c:numRef>
          </c:val>
        </c:ser>
        <c:ser>
          <c:idx val="1"/>
          <c:order val="1"/>
          <c:tx>
            <c:strRef>
              <c:f>[P071_ARRIBA.xlsx]P071_ARRIBA!$B$9</c:f>
              <c:strCache>
                <c:ptCount val="1"/>
                <c:pt idx="0">
                  <c:v>Salud</c:v>
                </c:pt>
              </c:strCache>
            </c:strRef>
          </c:tx>
          <c:invertIfNegative val="0"/>
          <c:cat>
            <c:numRef>
              <c:f>[P071_ARRIBA.xlsx]P071_ARRIBA!$C$5:$P$5</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[P071_ARRIBA.xlsx]P071_ARRIBA!$C$9:$P$9</c:f>
              <c:numCache>
                <c:formatCode>#,##0.0</c:formatCode>
                <c:ptCount val="14"/>
                <c:pt idx="0">
                  <c:v>1267.1212501024499</c:v>
                </c:pt>
                <c:pt idx="1">
                  <c:v>1608.68996135</c:v>
                </c:pt>
                <c:pt idx="2">
                  <c:v>1910.5751455764998</c:v>
                </c:pt>
                <c:pt idx="3">
                  <c:v>2340.6033417799999</c:v>
                </c:pt>
                <c:pt idx="4">
                  <c:v>3246.2799927699998</c:v>
                </c:pt>
                <c:pt idx="5">
                  <c:v>3793.6763751199987</c:v>
                </c:pt>
                <c:pt idx="6">
                  <c:v>3774.07384245</c:v>
                </c:pt>
                <c:pt idx="7">
                  <c:v>3744.16</c:v>
                </c:pt>
                <c:pt idx="8">
                  <c:v>3568.92</c:v>
                </c:pt>
                <c:pt idx="9">
                  <c:v>3482.15</c:v>
                </c:pt>
                <c:pt idx="10">
                  <c:v>4605.55</c:v>
                </c:pt>
                <c:pt idx="11">
                  <c:v>4854.8586376015255</c:v>
                </c:pt>
                <c:pt idx="12">
                  <c:v>4999.9000000000005</c:v>
                </c:pt>
                <c:pt idx="13">
                  <c:v>2436.6999999999998</c:v>
                </c:pt>
              </c:numCache>
            </c:numRef>
          </c:val>
        </c:ser>
        <c:ser>
          <c:idx val="2"/>
          <c:order val="2"/>
          <c:tx>
            <c:strRef>
              <c:f>[P071_ARRIBA.xlsx]P071_ARRIBA!$B$10</c:f>
              <c:strCache>
                <c:ptCount val="1"/>
                <c:pt idx="0">
                  <c:v>Educación Pública</c:v>
                </c:pt>
              </c:strCache>
            </c:strRef>
          </c:tx>
          <c:invertIfNegative val="0"/>
          <c:cat>
            <c:numRef>
              <c:f>[P071_ARRIBA.xlsx]P071_ARRIBA!$C$5:$P$5</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[P071_ARRIBA.xlsx]P071_ARRIBA!$C$10:$P$10</c:f>
              <c:numCache>
                <c:formatCode>#,##0.0</c:formatCode>
                <c:ptCount val="14"/>
                <c:pt idx="0">
                  <c:v>4216.1315198975544</c:v>
                </c:pt>
                <c:pt idx="1">
                  <c:v>5678.5771386500001</c:v>
                </c:pt>
                <c:pt idx="2">
                  <c:v>8228.7028544235</c:v>
                </c:pt>
                <c:pt idx="3">
                  <c:v>11243.97035822</c:v>
                </c:pt>
                <c:pt idx="4">
                  <c:v>12455.41500723</c:v>
                </c:pt>
                <c:pt idx="5">
                  <c:v>14985.14182488</c:v>
                </c:pt>
                <c:pt idx="6">
                  <c:v>16117.089457550126</c:v>
                </c:pt>
                <c:pt idx="7">
                  <c:v>17171.8</c:v>
                </c:pt>
                <c:pt idx="8">
                  <c:v>17624.34</c:v>
                </c:pt>
                <c:pt idx="9">
                  <c:v>18566.39</c:v>
                </c:pt>
                <c:pt idx="10">
                  <c:v>21135.08</c:v>
                </c:pt>
                <c:pt idx="11">
                  <c:v>20401.8</c:v>
                </c:pt>
                <c:pt idx="12">
                  <c:v>20401.82692625</c:v>
                </c:pt>
                <c:pt idx="13">
                  <c:v>27314.743167000001</c:v>
                </c:pt>
              </c:numCache>
            </c:numRef>
          </c:val>
        </c:ser>
        <c:dLbls>
          <c:showLegendKey val="0"/>
          <c:showVal val="0"/>
          <c:showCatName val="0"/>
          <c:showSerName val="0"/>
          <c:showPercent val="0"/>
          <c:showBubbleSize val="0"/>
        </c:dLbls>
        <c:gapWidth val="20"/>
        <c:overlap val="100"/>
        <c:axId val="441492992"/>
        <c:axId val="276959168"/>
      </c:barChart>
      <c:catAx>
        <c:axId val="441492992"/>
        <c:scaling>
          <c:orientation val="minMax"/>
        </c:scaling>
        <c:delete val="0"/>
        <c:axPos val="b"/>
        <c:numFmt formatCode="General" sourceLinked="1"/>
        <c:majorTickMark val="none"/>
        <c:minorTickMark val="none"/>
        <c:tickLblPos val="nextTo"/>
        <c:txPr>
          <a:bodyPr rot="-60000000" vert="horz"/>
          <a:lstStyle/>
          <a:p>
            <a:pPr>
              <a:defRPr sz="900"/>
            </a:pPr>
            <a:endParaRPr lang="es-MX"/>
          </a:p>
        </c:txPr>
        <c:crossAx val="276959168"/>
        <c:crosses val="autoZero"/>
        <c:auto val="1"/>
        <c:lblAlgn val="ctr"/>
        <c:lblOffset val="100"/>
        <c:noMultiLvlLbl val="0"/>
      </c:catAx>
      <c:valAx>
        <c:axId val="276959168"/>
        <c:scaling>
          <c:orientation val="minMax"/>
        </c:scaling>
        <c:delete val="0"/>
        <c:axPos val="l"/>
        <c:numFmt formatCode="#,##0" sourceLinked="0"/>
        <c:majorTickMark val="none"/>
        <c:minorTickMark val="none"/>
        <c:tickLblPos val="nextTo"/>
        <c:txPr>
          <a:bodyPr rot="-60000000" vert="horz"/>
          <a:lstStyle/>
          <a:p>
            <a:pPr>
              <a:defRPr/>
            </a:pPr>
            <a:endParaRPr lang="es-MX"/>
          </a:p>
        </c:txPr>
        <c:crossAx val="441492992"/>
        <c:crosses val="autoZero"/>
        <c:crossBetween val="between"/>
        <c:dispUnits>
          <c:builtInUnit val="thousands"/>
        </c:dispUnits>
      </c:valAx>
    </c:plotArea>
    <c:legend>
      <c:legendPos val="b"/>
      <c:overlay val="0"/>
      <c:txPr>
        <a:bodyPr rot="0" vert="horz"/>
        <a:lstStyle/>
        <a:p>
          <a:pPr>
            <a:defRPr/>
          </a:pPr>
          <a:endParaRPr lang="es-MX"/>
        </a:p>
      </c:txPr>
    </c:legend>
    <c:plotVisOnly val="1"/>
    <c:dispBlanksAs val="gap"/>
    <c:showDLblsOverMax val="0"/>
  </c:chart>
  <c:txPr>
    <a:bodyPr/>
    <a:lstStyle/>
    <a:p>
      <a:pPr>
        <a:defRPr>
          <a:latin typeface="Adobe Caslon Pro" pitchFamily="18" charset="0"/>
        </a:defRPr>
      </a:pPr>
      <a:endParaRPr lang="es-MX"/>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manualLayout>
          <c:layoutTarget val="inner"/>
          <c:xMode val="edge"/>
          <c:yMode val="edge"/>
          <c:x val="0.11004427476868522"/>
          <c:y val="8.8948177475006607E-2"/>
          <c:w val="0.64108244858654495"/>
          <c:h val="0.68179836688794659"/>
        </c:manualLayout>
      </c:layout>
      <c:barChart>
        <c:barDir val="col"/>
        <c:grouping val="percentStacked"/>
        <c:varyColors val="0"/>
        <c:ser>
          <c:idx val="4"/>
          <c:order val="0"/>
          <c:tx>
            <c:strRef>
              <c:f>'[Anexo estadístico 2010-2012.xlsx]Gráficas'!$S$12</c:f>
              <c:strCache>
                <c:ptCount val="1"/>
                <c:pt idx="0">
                  <c:v>No pobre y no vulnerable</c:v>
                </c:pt>
              </c:strCache>
            </c:strRef>
          </c:tx>
          <c:invertIfNegative val="0"/>
          <c:dLbls>
            <c:txPr>
              <a:bodyPr/>
              <a:lstStyle/>
              <a:p>
                <a:pPr>
                  <a:defRPr sz="900"/>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[1]Gráficas!$T$7:$W$7</c:f>
              <c:strCache>
                <c:ptCount val="4"/>
                <c:pt idx="0">
                  <c:v>Nacional</c:v>
                </c:pt>
                <c:pt idx="1">
                  <c:v>Adultos mayores</c:v>
                </c:pt>
                <c:pt idx="2">
                  <c:v>Indígenas</c:v>
                </c:pt>
                <c:pt idx="3">
                  <c:v>Menores de 18 años</c:v>
                </c:pt>
              </c:strCache>
            </c:strRef>
          </c:cat>
          <c:val>
            <c:numRef>
              <c:f>[1]Gráficas!$T$12:$W$12</c:f>
              <c:numCache>
                <c:formatCode>#,##0.0</c:formatCode>
                <c:ptCount val="4"/>
                <c:pt idx="0" formatCode="0.0">
                  <c:v>19.8</c:v>
                </c:pt>
                <c:pt idx="1">
                  <c:v>19</c:v>
                </c:pt>
                <c:pt idx="2">
                  <c:v>5.3</c:v>
                </c:pt>
                <c:pt idx="3">
                  <c:v>16.399999999999999</c:v>
                </c:pt>
              </c:numCache>
            </c:numRef>
          </c:val>
        </c:ser>
        <c:ser>
          <c:idx val="3"/>
          <c:order val="1"/>
          <c:tx>
            <c:strRef>
              <c:f>'[Anexo estadístico 2010-2012.xlsx]Gráficas'!$S$11</c:f>
              <c:strCache>
                <c:ptCount val="1"/>
                <c:pt idx="0">
                  <c:v>Vulnerable por ingresos</c:v>
                </c:pt>
              </c:strCache>
            </c:strRef>
          </c:tx>
          <c:invertIfNegative val="0"/>
          <c:dLbls>
            <c:txPr>
              <a:bodyPr/>
              <a:lstStyle/>
              <a:p>
                <a:pPr>
                  <a:defRPr sz="900"/>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[1]Gráficas!$T$7:$W$7</c:f>
              <c:strCache>
                <c:ptCount val="4"/>
                <c:pt idx="0">
                  <c:v>Nacional</c:v>
                </c:pt>
                <c:pt idx="1">
                  <c:v>Adultos mayores</c:v>
                </c:pt>
                <c:pt idx="2">
                  <c:v>Indígenas</c:v>
                </c:pt>
                <c:pt idx="3">
                  <c:v>Menores de 18 años</c:v>
                </c:pt>
              </c:strCache>
            </c:strRef>
          </c:cat>
          <c:val>
            <c:numRef>
              <c:f>[1]Gráficas!$T$11:$W$11</c:f>
              <c:numCache>
                <c:formatCode>#,##0.0</c:formatCode>
                <c:ptCount val="4"/>
                <c:pt idx="0" formatCode="0.0">
                  <c:v>6.2</c:v>
                </c:pt>
                <c:pt idx="1">
                  <c:v>5.9</c:v>
                </c:pt>
                <c:pt idx="2">
                  <c:v>2.2000000000000002</c:v>
                </c:pt>
                <c:pt idx="3">
                  <c:v>7.5</c:v>
                </c:pt>
              </c:numCache>
            </c:numRef>
          </c:val>
        </c:ser>
        <c:ser>
          <c:idx val="2"/>
          <c:order val="2"/>
          <c:tx>
            <c:strRef>
              <c:f>'[Anexo estadístico 2010-2012.xlsx]Gráficas'!$S$10</c:f>
              <c:strCache>
                <c:ptCount val="1"/>
                <c:pt idx="0">
                  <c:v>Vulnerable por carencias sociales</c:v>
                </c:pt>
              </c:strCache>
            </c:strRef>
          </c:tx>
          <c:invertIfNegative val="0"/>
          <c:dLbls>
            <c:txPr>
              <a:bodyPr/>
              <a:lstStyle/>
              <a:p>
                <a:pPr>
                  <a:defRPr sz="900">
                    <a:solidFill>
                      <a:schemeClr val="bg1"/>
                    </a:solidFill>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[1]Gráficas!$T$7:$W$7</c:f>
              <c:strCache>
                <c:ptCount val="4"/>
                <c:pt idx="0">
                  <c:v>Nacional</c:v>
                </c:pt>
                <c:pt idx="1">
                  <c:v>Adultos mayores</c:v>
                </c:pt>
                <c:pt idx="2">
                  <c:v>Indígenas</c:v>
                </c:pt>
                <c:pt idx="3">
                  <c:v>Menores de 18 años</c:v>
                </c:pt>
              </c:strCache>
            </c:strRef>
          </c:cat>
          <c:val>
            <c:numRef>
              <c:f>[1]Gráficas!$T$10:$W$10</c:f>
              <c:numCache>
                <c:formatCode>#,##0.0</c:formatCode>
                <c:ptCount val="4"/>
                <c:pt idx="0" formatCode="0.0">
                  <c:v>28.6</c:v>
                </c:pt>
                <c:pt idx="1">
                  <c:v>29.3</c:v>
                </c:pt>
                <c:pt idx="2">
                  <c:v>20.3</c:v>
                </c:pt>
                <c:pt idx="3">
                  <c:v>22.4</c:v>
                </c:pt>
              </c:numCache>
            </c:numRef>
          </c:val>
        </c:ser>
        <c:ser>
          <c:idx val="0"/>
          <c:order val="3"/>
          <c:tx>
            <c:strRef>
              <c:f>'[Anexo estadístico 2010-2012.xlsx]Gráficas'!$S$8</c:f>
              <c:strCache>
                <c:ptCount val="1"/>
                <c:pt idx="0">
                  <c:v>Pobreza moderada</c:v>
                </c:pt>
              </c:strCache>
            </c:strRef>
          </c:tx>
          <c:invertIfNegative val="0"/>
          <c:dLbls>
            <c:txPr>
              <a:bodyPr/>
              <a:lstStyle/>
              <a:p>
                <a:pPr>
                  <a:defRPr sz="900">
                    <a:solidFill>
                      <a:schemeClr val="bg1"/>
                    </a:solidFill>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[1]Gráficas!$T$7:$W$7</c:f>
              <c:strCache>
                <c:ptCount val="4"/>
                <c:pt idx="0">
                  <c:v>Nacional</c:v>
                </c:pt>
                <c:pt idx="1">
                  <c:v>Adultos mayores</c:v>
                </c:pt>
                <c:pt idx="2">
                  <c:v>Indígenas</c:v>
                </c:pt>
                <c:pt idx="3">
                  <c:v>Menores de 18 años</c:v>
                </c:pt>
              </c:strCache>
            </c:strRef>
          </c:cat>
          <c:val>
            <c:numRef>
              <c:f>[1]Gráficas!$T$8:$W$8</c:f>
              <c:numCache>
                <c:formatCode>#,##0.0</c:formatCode>
                <c:ptCount val="4"/>
                <c:pt idx="0" formatCode="0.0">
                  <c:v>35.700000000000003</c:v>
                </c:pt>
                <c:pt idx="1">
                  <c:v>36.1</c:v>
                </c:pt>
                <c:pt idx="2">
                  <c:v>41.7</c:v>
                </c:pt>
                <c:pt idx="3">
                  <c:v>41.7</c:v>
                </c:pt>
              </c:numCache>
            </c:numRef>
          </c:val>
        </c:ser>
        <c:ser>
          <c:idx val="1"/>
          <c:order val="4"/>
          <c:tx>
            <c:strRef>
              <c:f>'[Anexo estadístico 2010-2012.xlsx]Gráficas'!$S$9</c:f>
              <c:strCache>
                <c:ptCount val="1"/>
                <c:pt idx="0">
                  <c:v>Pobreza extrema</c:v>
                </c:pt>
              </c:strCache>
            </c:strRef>
          </c:tx>
          <c:invertIfNegative val="0"/>
          <c:dLbls>
            <c:txPr>
              <a:bodyPr/>
              <a:lstStyle/>
              <a:p>
                <a:pPr>
                  <a:defRPr sz="900">
                    <a:solidFill>
                      <a:schemeClr val="bg1"/>
                    </a:solidFill>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[1]Gráficas!$T$7:$W$7</c:f>
              <c:strCache>
                <c:ptCount val="4"/>
                <c:pt idx="0">
                  <c:v>Nacional</c:v>
                </c:pt>
                <c:pt idx="1">
                  <c:v>Adultos mayores</c:v>
                </c:pt>
                <c:pt idx="2">
                  <c:v>Indígenas</c:v>
                </c:pt>
                <c:pt idx="3">
                  <c:v>Menores de 18 años</c:v>
                </c:pt>
              </c:strCache>
            </c:strRef>
          </c:cat>
          <c:val>
            <c:numRef>
              <c:f>[1]Gráficas!$T$9:$W$9</c:f>
              <c:numCache>
                <c:formatCode>#,##0.0</c:formatCode>
                <c:ptCount val="4"/>
                <c:pt idx="0" formatCode="0.0">
                  <c:v>9.8000000000000007</c:v>
                </c:pt>
                <c:pt idx="1">
                  <c:v>9.7000000000000011</c:v>
                </c:pt>
                <c:pt idx="2">
                  <c:v>30.6</c:v>
                </c:pt>
                <c:pt idx="3">
                  <c:v>12.1</c:v>
                </c:pt>
              </c:numCache>
            </c:numRef>
          </c:val>
        </c:ser>
        <c:dLbls>
          <c:showLegendKey val="0"/>
          <c:showVal val="1"/>
          <c:showCatName val="0"/>
          <c:showSerName val="0"/>
          <c:showPercent val="0"/>
          <c:showBubbleSize val="0"/>
        </c:dLbls>
        <c:gapWidth val="75"/>
        <c:overlap val="100"/>
        <c:axId val="441494016"/>
        <c:axId val="276960896"/>
      </c:barChart>
      <c:catAx>
        <c:axId val="441494016"/>
        <c:scaling>
          <c:orientation val="minMax"/>
        </c:scaling>
        <c:delete val="0"/>
        <c:axPos val="b"/>
        <c:numFmt formatCode="General" sourceLinked="1"/>
        <c:majorTickMark val="none"/>
        <c:minorTickMark val="none"/>
        <c:tickLblPos val="nextTo"/>
        <c:txPr>
          <a:bodyPr rot="0" vert="horz"/>
          <a:lstStyle/>
          <a:p>
            <a:pPr>
              <a:defRPr sz="900"/>
            </a:pPr>
            <a:endParaRPr lang="es-MX"/>
          </a:p>
        </c:txPr>
        <c:crossAx val="276960896"/>
        <c:crosses val="autoZero"/>
        <c:auto val="1"/>
        <c:lblAlgn val="ctr"/>
        <c:lblOffset val="100"/>
        <c:noMultiLvlLbl val="0"/>
      </c:catAx>
      <c:valAx>
        <c:axId val="276960896"/>
        <c:scaling>
          <c:orientation val="minMax"/>
        </c:scaling>
        <c:delete val="0"/>
        <c:axPos val="l"/>
        <c:numFmt formatCode="0%" sourceLinked="1"/>
        <c:majorTickMark val="none"/>
        <c:minorTickMark val="none"/>
        <c:tickLblPos val="nextTo"/>
        <c:txPr>
          <a:bodyPr rot="0" vert="horz"/>
          <a:lstStyle/>
          <a:p>
            <a:pPr>
              <a:defRPr/>
            </a:pPr>
            <a:endParaRPr lang="es-MX"/>
          </a:p>
        </c:txPr>
        <c:crossAx val="441494016"/>
        <c:crosses val="autoZero"/>
        <c:crossBetween val="between"/>
        <c:majorUnit val="0.25"/>
      </c:valAx>
    </c:plotArea>
    <c:legend>
      <c:legendPos val="b"/>
      <c:layout>
        <c:manualLayout>
          <c:xMode val="edge"/>
          <c:yMode val="edge"/>
          <c:x val="0.78686645987433257"/>
          <c:y val="8.3153255772803747E-2"/>
          <c:w val="0.20851509114482547"/>
          <c:h val="0.71462360198605768"/>
        </c:manualLayout>
      </c:layout>
      <c:overlay val="0"/>
      <c:txPr>
        <a:bodyPr/>
        <a:lstStyle/>
        <a:p>
          <a:pPr>
            <a:defRPr sz="800"/>
          </a:pPr>
          <a:endParaRPr lang="es-MX"/>
        </a:p>
      </c:txPr>
    </c:legend>
    <c:plotVisOnly val="1"/>
    <c:dispBlanksAs val="gap"/>
    <c:showDLblsOverMax val="0"/>
  </c:chart>
  <c:txPr>
    <a:bodyPr/>
    <a:lstStyle/>
    <a:p>
      <a:pPr>
        <a:defRPr>
          <a:latin typeface="Adobe Caslon Pro" pitchFamily="18" charset="0"/>
        </a:defRPr>
      </a:pPr>
      <a:endParaRPr lang="es-MX"/>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540B81-3FC3-4AA3-9DE9-16371D4956ED}" type="doc">
      <dgm:prSet loTypeId="urn:microsoft.com/office/officeart/2009/3/layout/BlockDescendingList" loCatId="list" qsTypeId="urn:microsoft.com/office/officeart/2005/8/quickstyle/simple2" qsCatId="simple" csTypeId="urn:microsoft.com/office/officeart/2005/8/colors/accent1_2" csCatId="accent1" phldr="1"/>
      <dgm:spPr/>
      <dgm:t>
        <a:bodyPr/>
        <a:lstStyle/>
        <a:p>
          <a:endParaRPr lang="es-MX"/>
        </a:p>
      </dgm:t>
    </dgm:pt>
    <dgm:pt modelId="{4E394CD4-3992-4DCB-B17F-2ECE70BF3BCF}">
      <dgm:prSet phldrT="[Texto]" custT="1"/>
      <dgm:spPr/>
      <dgm:t>
        <a:bodyPr/>
        <a:lstStyle/>
        <a:p>
          <a:r>
            <a:rPr lang="es-MX" sz="1600">
              <a:solidFill>
                <a:schemeClr val="bg1"/>
              </a:solidFill>
              <a:latin typeface="Adobe Caslon Pro" pitchFamily="18" charset="0"/>
            </a:rPr>
            <a:t>Óptimo</a:t>
          </a:r>
        </a:p>
      </dgm:t>
    </dgm:pt>
    <dgm:pt modelId="{47BAD3C0-F953-496E-BD7A-6AFBB55B0A12}" type="parTrans" cxnId="{B81BB410-9188-4614-BF76-69F382D98850}">
      <dgm:prSet/>
      <dgm:spPr/>
      <dgm:t>
        <a:bodyPr/>
        <a:lstStyle/>
        <a:p>
          <a:endParaRPr lang="es-MX" sz="2000">
            <a:solidFill>
              <a:schemeClr val="tx1"/>
            </a:solidFill>
            <a:latin typeface="Adobe Caslon Pro" pitchFamily="18" charset="0"/>
          </a:endParaRPr>
        </a:p>
      </dgm:t>
    </dgm:pt>
    <dgm:pt modelId="{0E56CB9F-B49F-4256-8049-6D41B07DFF99}" type="sibTrans" cxnId="{B81BB410-9188-4614-BF76-69F382D98850}">
      <dgm:prSet/>
      <dgm:spPr/>
      <dgm:t>
        <a:bodyPr/>
        <a:lstStyle/>
        <a:p>
          <a:endParaRPr lang="es-MX" sz="2000">
            <a:solidFill>
              <a:schemeClr val="tx1"/>
            </a:solidFill>
            <a:latin typeface="Adobe Caslon Pro" pitchFamily="18" charset="0"/>
          </a:endParaRPr>
        </a:p>
      </dgm:t>
    </dgm:pt>
    <dgm:pt modelId="{2E2DC558-5BB8-4BBE-8887-09BB29792369}">
      <dgm:prSet phldrT="[Texto]" custT="1"/>
      <dgm:spPr/>
      <dgm:t>
        <a:bodyPr/>
        <a:lstStyle/>
        <a:p>
          <a:endParaRPr lang="es-MX" sz="1000">
            <a:solidFill>
              <a:schemeClr val="tx1"/>
            </a:solidFill>
            <a:latin typeface="Adobe Caslon Pro" pitchFamily="18" charset="0"/>
          </a:endParaRPr>
        </a:p>
        <a:p>
          <a:r>
            <a:rPr lang="es-MX" sz="1000">
              <a:solidFill>
                <a:schemeClr val="tx1"/>
              </a:solidFill>
              <a:latin typeface="Adobe Caslon Pro" pitchFamily="18" charset="0"/>
            </a:rPr>
            <a:t>Más de 3 años de operación</a:t>
          </a:r>
        </a:p>
      </dgm:t>
    </dgm:pt>
    <dgm:pt modelId="{7604DDB0-1991-431D-BFF8-DC78375BF080}" type="parTrans" cxnId="{49A50919-DE34-49C0-BB7D-942FBCF945E3}">
      <dgm:prSet/>
      <dgm:spPr/>
      <dgm:t>
        <a:bodyPr/>
        <a:lstStyle/>
        <a:p>
          <a:endParaRPr lang="es-MX" sz="2000">
            <a:solidFill>
              <a:schemeClr val="tx1"/>
            </a:solidFill>
            <a:latin typeface="Adobe Caslon Pro" pitchFamily="18" charset="0"/>
          </a:endParaRPr>
        </a:p>
      </dgm:t>
    </dgm:pt>
    <dgm:pt modelId="{F5935BAF-1946-4227-8A3D-D575ABE7CC02}" type="sibTrans" cxnId="{49A50919-DE34-49C0-BB7D-942FBCF945E3}">
      <dgm:prSet/>
      <dgm:spPr/>
      <dgm:t>
        <a:bodyPr/>
        <a:lstStyle/>
        <a:p>
          <a:endParaRPr lang="es-MX" sz="2000">
            <a:solidFill>
              <a:schemeClr val="tx1"/>
            </a:solidFill>
            <a:latin typeface="Adobe Caslon Pro" pitchFamily="18" charset="0"/>
          </a:endParaRPr>
        </a:p>
      </dgm:t>
    </dgm:pt>
    <dgm:pt modelId="{29A144CA-436E-416C-8276-3B5BA35D89D0}">
      <dgm:prSet phldrT="[Texto]" custT="1"/>
      <dgm:spPr/>
      <dgm:t>
        <a:bodyPr/>
        <a:lstStyle/>
        <a:p>
          <a:r>
            <a:rPr lang="es-MX" sz="1000">
              <a:solidFill>
                <a:schemeClr val="tx1"/>
              </a:solidFill>
              <a:latin typeface="Adobe Caslon Pro" pitchFamily="18" charset="0"/>
            </a:rPr>
            <a:t> </a:t>
          </a:r>
        </a:p>
      </dgm:t>
    </dgm:pt>
    <dgm:pt modelId="{B69B31AD-8886-4CB9-A6AA-09C92E166B71}" type="parTrans" cxnId="{C9D0E14B-44D2-4BA5-BEF5-4DCE2539AA83}">
      <dgm:prSet/>
      <dgm:spPr/>
      <dgm:t>
        <a:bodyPr/>
        <a:lstStyle/>
        <a:p>
          <a:endParaRPr lang="es-MX" sz="2000">
            <a:solidFill>
              <a:schemeClr val="tx1"/>
            </a:solidFill>
            <a:latin typeface="Adobe Caslon Pro" pitchFamily="18" charset="0"/>
          </a:endParaRPr>
        </a:p>
      </dgm:t>
    </dgm:pt>
    <dgm:pt modelId="{935EBBCC-3BF2-4FF0-8117-DBAC03F38EC5}" type="sibTrans" cxnId="{C9D0E14B-44D2-4BA5-BEF5-4DCE2539AA83}">
      <dgm:prSet/>
      <dgm:spPr/>
      <dgm:t>
        <a:bodyPr/>
        <a:lstStyle/>
        <a:p>
          <a:endParaRPr lang="es-MX" sz="2000">
            <a:solidFill>
              <a:schemeClr val="tx1"/>
            </a:solidFill>
            <a:latin typeface="Adobe Caslon Pro" pitchFamily="18" charset="0"/>
          </a:endParaRPr>
        </a:p>
      </dgm:t>
    </dgm:pt>
    <dgm:pt modelId="{32FEB192-55FC-43E5-AB72-724BAF7DE2C2}">
      <dgm:prSet phldrT="[Texto]" custT="1"/>
      <dgm:spPr/>
      <dgm:t>
        <a:bodyPr/>
        <a:lstStyle/>
        <a:p>
          <a:endParaRPr lang="es-MX" sz="1000">
            <a:solidFill>
              <a:schemeClr val="tx1"/>
            </a:solidFill>
            <a:latin typeface="Adobe Caslon Pro" pitchFamily="18" charset="0"/>
          </a:endParaRPr>
        </a:p>
        <a:p>
          <a:r>
            <a:rPr lang="es-MX" sz="1000">
              <a:solidFill>
                <a:schemeClr val="tx1"/>
              </a:solidFill>
              <a:latin typeface="Adobe Caslon Pro" pitchFamily="18" charset="0"/>
            </a:rPr>
            <a:t>Consejo directivo o patronato voluntarios cuyos miembros son distintos al equipo profesional</a:t>
          </a:r>
        </a:p>
      </dgm:t>
    </dgm:pt>
    <dgm:pt modelId="{1C48E4C6-5852-4908-85DB-46B7FE4D4C3F}" type="parTrans" cxnId="{D7F0B8DD-79A0-4667-A017-38E7DE0F709E}">
      <dgm:prSet/>
      <dgm:spPr/>
      <dgm:t>
        <a:bodyPr/>
        <a:lstStyle/>
        <a:p>
          <a:endParaRPr lang="es-MX" sz="2000">
            <a:solidFill>
              <a:schemeClr val="tx1"/>
            </a:solidFill>
            <a:latin typeface="Adobe Caslon Pro" pitchFamily="18" charset="0"/>
          </a:endParaRPr>
        </a:p>
      </dgm:t>
    </dgm:pt>
    <dgm:pt modelId="{2EF5EDA0-C4BC-4FBA-B6C1-1EEC7415EDA1}" type="sibTrans" cxnId="{D7F0B8DD-79A0-4667-A017-38E7DE0F709E}">
      <dgm:prSet/>
      <dgm:spPr/>
      <dgm:t>
        <a:bodyPr/>
        <a:lstStyle/>
        <a:p>
          <a:endParaRPr lang="es-MX" sz="2000">
            <a:solidFill>
              <a:schemeClr val="tx1"/>
            </a:solidFill>
            <a:latin typeface="Adobe Caslon Pro" pitchFamily="18" charset="0"/>
          </a:endParaRPr>
        </a:p>
      </dgm:t>
    </dgm:pt>
    <dgm:pt modelId="{66A93451-B8A2-43C3-A8C7-D49D3E622A18}">
      <dgm:prSet phldrT="[Texto]" custT="1"/>
      <dgm:spPr/>
      <dgm:t>
        <a:bodyPr/>
        <a:lstStyle/>
        <a:p>
          <a:r>
            <a:rPr lang="es-MX" sz="1000">
              <a:solidFill>
                <a:schemeClr val="tx1"/>
              </a:solidFill>
              <a:latin typeface="Adobe Caslon Pro" pitchFamily="18" charset="0"/>
            </a:rPr>
            <a:t> </a:t>
          </a:r>
        </a:p>
      </dgm:t>
    </dgm:pt>
    <dgm:pt modelId="{EC06CB15-DA7C-454D-AF36-9543270ABECF}" type="parTrans" cxnId="{ED701A69-9720-4853-8F79-8310C48F0B0D}">
      <dgm:prSet/>
      <dgm:spPr/>
      <dgm:t>
        <a:bodyPr/>
        <a:lstStyle/>
        <a:p>
          <a:endParaRPr lang="es-MX" sz="2000">
            <a:solidFill>
              <a:schemeClr val="tx1"/>
            </a:solidFill>
            <a:latin typeface="Adobe Caslon Pro" pitchFamily="18" charset="0"/>
          </a:endParaRPr>
        </a:p>
      </dgm:t>
    </dgm:pt>
    <dgm:pt modelId="{AAF81A22-8F72-4E60-B0FD-24A143BA1C46}" type="sibTrans" cxnId="{ED701A69-9720-4853-8F79-8310C48F0B0D}">
      <dgm:prSet/>
      <dgm:spPr/>
      <dgm:t>
        <a:bodyPr/>
        <a:lstStyle/>
        <a:p>
          <a:endParaRPr lang="es-MX" sz="2000">
            <a:solidFill>
              <a:schemeClr val="tx1"/>
            </a:solidFill>
            <a:latin typeface="Adobe Caslon Pro" pitchFamily="18" charset="0"/>
          </a:endParaRPr>
        </a:p>
      </dgm:t>
    </dgm:pt>
    <dgm:pt modelId="{7679571A-B1D6-4758-B955-751AD31C89DB}">
      <dgm:prSet phldrT="[Texto]" custT="1"/>
      <dgm:spPr/>
      <dgm:t>
        <a:bodyPr/>
        <a:lstStyle/>
        <a:p>
          <a:r>
            <a:rPr lang="es-MX" sz="1600">
              <a:solidFill>
                <a:schemeClr val="bg1"/>
              </a:solidFill>
              <a:latin typeface="Adobe Caslon Pro" pitchFamily="18" charset="0"/>
            </a:rPr>
            <a:t>Básico</a:t>
          </a:r>
        </a:p>
      </dgm:t>
    </dgm:pt>
    <dgm:pt modelId="{F1AAE4A2-13CE-4869-B9D7-8248D49FFAD0}" type="parTrans" cxnId="{15A2C625-DD8E-4687-BAAA-049B7FBFC7FA}">
      <dgm:prSet/>
      <dgm:spPr/>
      <dgm:t>
        <a:bodyPr/>
        <a:lstStyle/>
        <a:p>
          <a:endParaRPr lang="es-MX" sz="2000">
            <a:solidFill>
              <a:schemeClr val="tx1"/>
            </a:solidFill>
            <a:latin typeface="Adobe Caslon Pro" pitchFamily="18" charset="0"/>
          </a:endParaRPr>
        </a:p>
      </dgm:t>
    </dgm:pt>
    <dgm:pt modelId="{EE54C6C2-FBA5-4D5B-B471-AE6EAB756B3A}" type="sibTrans" cxnId="{15A2C625-DD8E-4687-BAAA-049B7FBFC7FA}">
      <dgm:prSet/>
      <dgm:spPr/>
      <dgm:t>
        <a:bodyPr/>
        <a:lstStyle/>
        <a:p>
          <a:endParaRPr lang="es-MX" sz="2000">
            <a:solidFill>
              <a:schemeClr val="tx1"/>
            </a:solidFill>
            <a:latin typeface="Adobe Caslon Pro" pitchFamily="18" charset="0"/>
          </a:endParaRPr>
        </a:p>
      </dgm:t>
    </dgm:pt>
    <dgm:pt modelId="{CECC6E7C-3362-44DF-B5D0-18122DD08BCC}">
      <dgm:prSet phldrT="[Texto]" custT="1"/>
      <dgm:spPr/>
      <dgm:t>
        <a:bodyPr/>
        <a:lstStyle/>
        <a:p>
          <a:endParaRPr lang="es-MX" sz="900">
            <a:solidFill>
              <a:schemeClr val="tx1"/>
            </a:solidFill>
            <a:latin typeface="Adobe Caslon Pro" pitchFamily="18" charset="0"/>
          </a:endParaRPr>
        </a:p>
        <a:p>
          <a:r>
            <a:rPr lang="es-MX" sz="900">
              <a:solidFill>
                <a:schemeClr val="tx1"/>
              </a:solidFill>
              <a:latin typeface="Adobe Caslon Pro" pitchFamily="18" charset="0"/>
            </a:rPr>
            <a:t>Acta constitutiva registrada ante notario</a:t>
          </a:r>
        </a:p>
      </dgm:t>
    </dgm:pt>
    <dgm:pt modelId="{02258A9A-F897-4AD3-94B6-DDE77451A927}" type="parTrans" cxnId="{A415BB4D-BE60-4D88-8826-6593E319FE8A}">
      <dgm:prSet/>
      <dgm:spPr/>
      <dgm:t>
        <a:bodyPr/>
        <a:lstStyle/>
        <a:p>
          <a:endParaRPr lang="es-MX" sz="2000">
            <a:solidFill>
              <a:schemeClr val="tx1"/>
            </a:solidFill>
            <a:latin typeface="Adobe Caslon Pro" pitchFamily="18" charset="0"/>
          </a:endParaRPr>
        </a:p>
      </dgm:t>
    </dgm:pt>
    <dgm:pt modelId="{9CC79FD0-B743-4D96-BC74-A2D59B928CA2}" type="sibTrans" cxnId="{A415BB4D-BE60-4D88-8826-6593E319FE8A}">
      <dgm:prSet/>
      <dgm:spPr/>
      <dgm:t>
        <a:bodyPr/>
        <a:lstStyle/>
        <a:p>
          <a:endParaRPr lang="es-MX" sz="2000">
            <a:solidFill>
              <a:schemeClr val="tx1"/>
            </a:solidFill>
            <a:latin typeface="Adobe Caslon Pro" pitchFamily="18" charset="0"/>
          </a:endParaRPr>
        </a:p>
      </dgm:t>
    </dgm:pt>
    <dgm:pt modelId="{8743C0B2-12DE-4D40-A7EA-EA014EE8BDD6}">
      <dgm:prSet phldrT="[Texto]" custT="1"/>
      <dgm:spPr/>
      <dgm:t>
        <a:bodyPr/>
        <a:lstStyle/>
        <a:p>
          <a:endParaRPr lang="es-MX" sz="900">
            <a:solidFill>
              <a:schemeClr val="tx1"/>
            </a:solidFill>
            <a:latin typeface="Adobe Caslon Pro" pitchFamily="18" charset="0"/>
          </a:endParaRPr>
        </a:p>
      </dgm:t>
    </dgm:pt>
    <dgm:pt modelId="{AC0183D2-E9E2-4794-934E-42C9012D225C}" type="parTrans" cxnId="{BB8D2366-552F-492E-B464-492D690F9677}">
      <dgm:prSet/>
      <dgm:spPr/>
      <dgm:t>
        <a:bodyPr/>
        <a:lstStyle/>
        <a:p>
          <a:endParaRPr lang="es-MX" sz="2000">
            <a:solidFill>
              <a:schemeClr val="tx1"/>
            </a:solidFill>
            <a:latin typeface="Adobe Caslon Pro" pitchFamily="18" charset="0"/>
          </a:endParaRPr>
        </a:p>
      </dgm:t>
    </dgm:pt>
    <dgm:pt modelId="{CECD180A-487A-4D65-8818-C30DE13C2A1B}" type="sibTrans" cxnId="{BB8D2366-552F-492E-B464-492D690F9677}">
      <dgm:prSet/>
      <dgm:spPr/>
      <dgm:t>
        <a:bodyPr/>
        <a:lstStyle/>
        <a:p>
          <a:endParaRPr lang="es-MX" sz="2000">
            <a:solidFill>
              <a:schemeClr val="tx1"/>
            </a:solidFill>
            <a:latin typeface="Adobe Caslon Pro" pitchFamily="18" charset="0"/>
          </a:endParaRPr>
        </a:p>
      </dgm:t>
    </dgm:pt>
    <dgm:pt modelId="{4A6CBE20-B2B3-4B1A-8165-950C7F342E82}">
      <dgm:prSet phldrT="[Texto]" custT="1"/>
      <dgm:spPr/>
      <dgm:t>
        <a:bodyPr/>
        <a:lstStyle/>
        <a:p>
          <a:r>
            <a:rPr lang="es-MX" sz="900">
              <a:solidFill>
                <a:schemeClr val="tx1"/>
              </a:solidFill>
              <a:latin typeface="Adobe Caslon Pro" pitchFamily="18" charset="0"/>
            </a:rPr>
            <a:t>Autorización de la SHCP como donataria autorizada</a:t>
          </a:r>
        </a:p>
      </dgm:t>
    </dgm:pt>
    <dgm:pt modelId="{5507FAEE-ED42-4AE8-A557-3E1CED5B0827}" type="parTrans" cxnId="{D049B557-D591-47DE-83B3-13CE0A64874B}">
      <dgm:prSet/>
      <dgm:spPr/>
      <dgm:t>
        <a:bodyPr/>
        <a:lstStyle/>
        <a:p>
          <a:endParaRPr lang="es-MX" sz="2000">
            <a:solidFill>
              <a:schemeClr val="tx1"/>
            </a:solidFill>
            <a:latin typeface="Adobe Caslon Pro" pitchFamily="18" charset="0"/>
          </a:endParaRPr>
        </a:p>
      </dgm:t>
    </dgm:pt>
    <dgm:pt modelId="{17C64D04-F9A5-46C8-9B5A-BB35A7E8BF14}" type="sibTrans" cxnId="{D049B557-D591-47DE-83B3-13CE0A64874B}">
      <dgm:prSet/>
      <dgm:spPr/>
      <dgm:t>
        <a:bodyPr/>
        <a:lstStyle/>
        <a:p>
          <a:endParaRPr lang="es-MX" sz="2000">
            <a:solidFill>
              <a:schemeClr val="tx1"/>
            </a:solidFill>
            <a:latin typeface="Adobe Caslon Pro" pitchFamily="18" charset="0"/>
          </a:endParaRPr>
        </a:p>
      </dgm:t>
    </dgm:pt>
    <dgm:pt modelId="{CE3B36D8-C4A9-4893-93E5-D812B8EF5750}">
      <dgm:prSet phldrT="[Texto]" custT="1"/>
      <dgm:spPr/>
      <dgm:t>
        <a:bodyPr/>
        <a:lstStyle/>
        <a:p>
          <a:r>
            <a:rPr lang="es-MX" sz="900">
              <a:solidFill>
                <a:schemeClr val="tx1"/>
              </a:solidFill>
              <a:latin typeface="Adobe Caslon Pro" pitchFamily="18" charset="0"/>
            </a:rPr>
            <a:t>Domicilio y teléfono verificables</a:t>
          </a:r>
        </a:p>
      </dgm:t>
    </dgm:pt>
    <dgm:pt modelId="{584B577D-D5D2-44CD-86C1-591BA39394F0}" type="parTrans" cxnId="{E38461AD-2072-4305-A669-B3F65288BAC8}">
      <dgm:prSet/>
      <dgm:spPr/>
      <dgm:t>
        <a:bodyPr/>
        <a:lstStyle/>
        <a:p>
          <a:endParaRPr lang="es-MX" sz="2000">
            <a:solidFill>
              <a:schemeClr val="tx1"/>
            </a:solidFill>
            <a:latin typeface="Adobe Caslon Pro" pitchFamily="18" charset="0"/>
          </a:endParaRPr>
        </a:p>
      </dgm:t>
    </dgm:pt>
    <dgm:pt modelId="{1DC05E37-4072-4CF0-B055-86E21ED027C7}" type="sibTrans" cxnId="{E38461AD-2072-4305-A669-B3F65288BAC8}">
      <dgm:prSet/>
      <dgm:spPr/>
      <dgm:t>
        <a:bodyPr/>
        <a:lstStyle/>
        <a:p>
          <a:endParaRPr lang="es-MX" sz="2000">
            <a:solidFill>
              <a:schemeClr val="tx1"/>
            </a:solidFill>
            <a:latin typeface="Adobe Caslon Pro" pitchFamily="18" charset="0"/>
          </a:endParaRPr>
        </a:p>
      </dgm:t>
    </dgm:pt>
    <dgm:pt modelId="{B54C5903-A49C-417A-BE58-33D1F06FA0E9}">
      <dgm:prSet phldrT="[Texto]" custT="1"/>
      <dgm:spPr/>
      <dgm:t>
        <a:bodyPr/>
        <a:lstStyle/>
        <a:p>
          <a:r>
            <a:rPr lang="es-MX" sz="900">
              <a:solidFill>
                <a:schemeClr val="tx1"/>
              </a:solidFill>
              <a:latin typeface="Adobe Caslon Pro" pitchFamily="18" charset="0"/>
            </a:rPr>
            <a:t>Informe anual de actividades y estados financieros auditados</a:t>
          </a:r>
        </a:p>
      </dgm:t>
    </dgm:pt>
    <dgm:pt modelId="{E6079FD7-7234-4EBA-8BB8-9C7269325673}" type="parTrans" cxnId="{DEA304F3-B278-488A-A432-702125E8CB0C}">
      <dgm:prSet/>
      <dgm:spPr/>
      <dgm:t>
        <a:bodyPr/>
        <a:lstStyle/>
        <a:p>
          <a:endParaRPr lang="es-MX" sz="2000">
            <a:solidFill>
              <a:schemeClr val="tx1"/>
            </a:solidFill>
            <a:latin typeface="Adobe Caslon Pro" pitchFamily="18" charset="0"/>
          </a:endParaRPr>
        </a:p>
      </dgm:t>
    </dgm:pt>
    <dgm:pt modelId="{55F43F47-CDFC-460E-A97F-35C3B64BAFCF}" type="sibTrans" cxnId="{DEA304F3-B278-488A-A432-702125E8CB0C}">
      <dgm:prSet/>
      <dgm:spPr/>
      <dgm:t>
        <a:bodyPr/>
        <a:lstStyle/>
        <a:p>
          <a:endParaRPr lang="es-MX" sz="2000">
            <a:solidFill>
              <a:schemeClr val="tx1"/>
            </a:solidFill>
            <a:latin typeface="Adobe Caslon Pro" pitchFamily="18" charset="0"/>
          </a:endParaRPr>
        </a:p>
      </dgm:t>
    </dgm:pt>
    <dgm:pt modelId="{FDCBEC9F-B182-4D69-A26E-9EC4AF5E08D6}">
      <dgm:prSet phldrT="[Texto]" custT="1"/>
      <dgm:spPr/>
      <dgm:t>
        <a:bodyPr/>
        <a:lstStyle/>
        <a:p>
          <a:r>
            <a:rPr lang="es-MX" sz="1000">
              <a:solidFill>
                <a:schemeClr val="tx1"/>
              </a:solidFill>
              <a:latin typeface="Adobe Caslon Pro" pitchFamily="18" charset="0"/>
            </a:rPr>
            <a:t>Peronsal profesional capacitado</a:t>
          </a:r>
        </a:p>
      </dgm:t>
    </dgm:pt>
    <dgm:pt modelId="{6C19E4E4-0B16-47D9-8CC8-E0778774C05E}" type="parTrans" cxnId="{0AD5A7D2-2B62-4C22-8FD3-277077E98612}">
      <dgm:prSet/>
      <dgm:spPr/>
      <dgm:t>
        <a:bodyPr/>
        <a:lstStyle/>
        <a:p>
          <a:endParaRPr lang="es-MX" sz="2000">
            <a:solidFill>
              <a:schemeClr val="tx1"/>
            </a:solidFill>
            <a:latin typeface="Adobe Caslon Pro" pitchFamily="18" charset="0"/>
          </a:endParaRPr>
        </a:p>
      </dgm:t>
    </dgm:pt>
    <dgm:pt modelId="{E4A31841-57BF-41C1-AF28-0B6CECA124B5}" type="sibTrans" cxnId="{0AD5A7D2-2B62-4C22-8FD3-277077E98612}">
      <dgm:prSet/>
      <dgm:spPr/>
      <dgm:t>
        <a:bodyPr/>
        <a:lstStyle/>
        <a:p>
          <a:endParaRPr lang="es-MX" sz="2000">
            <a:solidFill>
              <a:schemeClr val="tx1"/>
            </a:solidFill>
            <a:latin typeface="Adobe Caslon Pro" pitchFamily="18" charset="0"/>
          </a:endParaRPr>
        </a:p>
      </dgm:t>
    </dgm:pt>
    <dgm:pt modelId="{878C9D57-64D8-4A39-A98A-3BD249829657}">
      <dgm:prSet phldrT="[Texto]" custT="1"/>
      <dgm:spPr/>
      <dgm:t>
        <a:bodyPr/>
        <a:lstStyle/>
        <a:p>
          <a:r>
            <a:rPr lang="es-MX" sz="1000">
              <a:solidFill>
                <a:schemeClr val="tx1"/>
              </a:solidFill>
              <a:latin typeface="Adobe Caslon Pro" pitchFamily="18" charset="0"/>
            </a:rPr>
            <a:t>Voluntarios trabajando en los programas de nómina</a:t>
          </a:r>
        </a:p>
      </dgm:t>
    </dgm:pt>
    <dgm:pt modelId="{4D2C905B-4303-4CF1-8106-0802B589A6ED}" type="parTrans" cxnId="{0F3D7210-8D87-414C-94AE-7F8C2DAC107B}">
      <dgm:prSet/>
      <dgm:spPr/>
      <dgm:t>
        <a:bodyPr/>
        <a:lstStyle/>
        <a:p>
          <a:endParaRPr lang="es-MX" sz="2000">
            <a:solidFill>
              <a:schemeClr val="tx1"/>
            </a:solidFill>
            <a:latin typeface="Adobe Caslon Pro" pitchFamily="18" charset="0"/>
          </a:endParaRPr>
        </a:p>
      </dgm:t>
    </dgm:pt>
    <dgm:pt modelId="{5A93F2C1-2C39-46A1-AD4A-0EBF6EC53890}" type="sibTrans" cxnId="{0F3D7210-8D87-414C-94AE-7F8C2DAC107B}">
      <dgm:prSet/>
      <dgm:spPr/>
      <dgm:t>
        <a:bodyPr/>
        <a:lstStyle/>
        <a:p>
          <a:endParaRPr lang="es-MX" sz="2000">
            <a:solidFill>
              <a:schemeClr val="tx1"/>
            </a:solidFill>
            <a:latin typeface="Adobe Caslon Pro" pitchFamily="18" charset="0"/>
          </a:endParaRPr>
        </a:p>
      </dgm:t>
    </dgm:pt>
    <dgm:pt modelId="{E580A1C1-1ECE-4755-9FFC-B31CC1D5F6F1}">
      <dgm:prSet phldrT="[Texto]" custT="1"/>
      <dgm:spPr/>
      <dgm:t>
        <a:bodyPr/>
        <a:lstStyle/>
        <a:p>
          <a:r>
            <a:rPr lang="es-MX" sz="1000">
              <a:solidFill>
                <a:schemeClr val="tx1"/>
              </a:solidFill>
              <a:latin typeface="Adobe Caslon Pro" pitchFamily="18" charset="0"/>
            </a:rPr>
            <a:t> </a:t>
          </a:r>
        </a:p>
      </dgm:t>
    </dgm:pt>
    <dgm:pt modelId="{0278FA21-59F8-406D-8163-AD4D77B64E49}" type="parTrans" cxnId="{DF9F0D70-61B7-4607-92C9-200E4DA2B311}">
      <dgm:prSet/>
      <dgm:spPr/>
      <dgm:t>
        <a:bodyPr/>
        <a:lstStyle/>
        <a:p>
          <a:endParaRPr lang="es-MX" sz="2000">
            <a:solidFill>
              <a:schemeClr val="tx1"/>
            </a:solidFill>
            <a:latin typeface="Adobe Caslon Pro" pitchFamily="18" charset="0"/>
          </a:endParaRPr>
        </a:p>
      </dgm:t>
    </dgm:pt>
    <dgm:pt modelId="{7C8188C1-197F-4492-90C8-51508641D8EC}" type="sibTrans" cxnId="{DF9F0D70-61B7-4607-92C9-200E4DA2B311}">
      <dgm:prSet/>
      <dgm:spPr/>
      <dgm:t>
        <a:bodyPr/>
        <a:lstStyle/>
        <a:p>
          <a:endParaRPr lang="es-MX" sz="2000">
            <a:solidFill>
              <a:schemeClr val="tx1"/>
            </a:solidFill>
            <a:latin typeface="Adobe Caslon Pro" pitchFamily="18" charset="0"/>
          </a:endParaRPr>
        </a:p>
      </dgm:t>
    </dgm:pt>
    <dgm:pt modelId="{870CB151-0724-482A-8B29-77CE149B4BB1}">
      <dgm:prSet phldrT="[Texto]" custT="1"/>
      <dgm:spPr/>
      <dgm:t>
        <a:bodyPr/>
        <a:lstStyle/>
        <a:p>
          <a:r>
            <a:rPr lang="es-MX" sz="1000">
              <a:solidFill>
                <a:schemeClr val="tx1"/>
              </a:solidFill>
              <a:latin typeface="Adobe Caslon Pro" pitchFamily="18" charset="0"/>
            </a:rPr>
            <a:t>Más de 3 fuentes distintas de ingresos</a:t>
          </a:r>
        </a:p>
      </dgm:t>
    </dgm:pt>
    <dgm:pt modelId="{48EC4909-1B76-4E8D-A2BA-3DF2545AE929}" type="parTrans" cxnId="{B222ED3E-E01E-4E6B-B53F-92E448490D0C}">
      <dgm:prSet/>
      <dgm:spPr/>
      <dgm:t>
        <a:bodyPr/>
        <a:lstStyle/>
        <a:p>
          <a:endParaRPr lang="es-MX" sz="2000">
            <a:solidFill>
              <a:schemeClr val="tx1"/>
            </a:solidFill>
            <a:latin typeface="Adobe Caslon Pro" pitchFamily="18" charset="0"/>
          </a:endParaRPr>
        </a:p>
      </dgm:t>
    </dgm:pt>
    <dgm:pt modelId="{261ED58B-8131-4B20-B7B9-BEA95C230E41}" type="sibTrans" cxnId="{B222ED3E-E01E-4E6B-B53F-92E448490D0C}">
      <dgm:prSet/>
      <dgm:spPr/>
      <dgm:t>
        <a:bodyPr/>
        <a:lstStyle/>
        <a:p>
          <a:endParaRPr lang="es-MX" sz="2000">
            <a:solidFill>
              <a:schemeClr val="tx1"/>
            </a:solidFill>
            <a:latin typeface="Adobe Caslon Pro" pitchFamily="18" charset="0"/>
          </a:endParaRPr>
        </a:p>
      </dgm:t>
    </dgm:pt>
    <dgm:pt modelId="{9C3CD616-34ED-4E0D-BAC5-2E463E5D3B06}">
      <dgm:prSet phldrT="[Texto]" custT="1"/>
      <dgm:spPr/>
      <dgm:t>
        <a:bodyPr/>
        <a:lstStyle/>
        <a:p>
          <a:r>
            <a:rPr lang="es-MX" sz="1600">
              <a:solidFill>
                <a:schemeClr val="bg1"/>
              </a:solidFill>
              <a:latin typeface="Adobe Caslon Pro" pitchFamily="18" charset="0"/>
            </a:rPr>
            <a:t>Medio</a:t>
          </a:r>
        </a:p>
      </dgm:t>
    </dgm:pt>
    <dgm:pt modelId="{F0F541FC-750A-4178-918D-039392D6220B}" type="sibTrans" cxnId="{3DD72D8D-0234-4C39-8E89-7E02A0D6CAEE}">
      <dgm:prSet/>
      <dgm:spPr/>
      <dgm:t>
        <a:bodyPr/>
        <a:lstStyle/>
        <a:p>
          <a:endParaRPr lang="es-MX" sz="2000">
            <a:solidFill>
              <a:schemeClr val="tx1"/>
            </a:solidFill>
            <a:latin typeface="Adobe Caslon Pro" pitchFamily="18" charset="0"/>
          </a:endParaRPr>
        </a:p>
      </dgm:t>
    </dgm:pt>
    <dgm:pt modelId="{A2D5048E-759E-4160-8D89-C4C4AE66DE36}" type="parTrans" cxnId="{3DD72D8D-0234-4C39-8E89-7E02A0D6CAEE}">
      <dgm:prSet/>
      <dgm:spPr/>
      <dgm:t>
        <a:bodyPr/>
        <a:lstStyle/>
        <a:p>
          <a:endParaRPr lang="es-MX" sz="2000">
            <a:solidFill>
              <a:schemeClr val="tx1"/>
            </a:solidFill>
            <a:latin typeface="Adobe Caslon Pro" pitchFamily="18" charset="0"/>
          </a:endParaRPr>
        </a:p>
      </dgm:t>
    </dgm:pt>
    <dgm:pt modelId="{B2C04F56-0371-41AB-B13F-AC0634187FAD}" type="pres">
      <dgm:prSet presAssocID="{12540B81-3FC3-4AA3-9DE9-16371D4956ED}" presName="Name0" presStyleCnt="0">
        <dgm:presLayoutVars>
          <dgm:chMax val="7"/>
          <dgm:chPref val="7"/>
          <dgm:dir/>
          <dgm:animLvl val="lvl"/>
        </dgm:presLayoutVars>
      </dgm:prSet>
      <dgm:spPr/>
      <dgm:t>
        <a:bodyPr/>
        <a:lstStyle/>
        <a:p>
          <a:endParaRPr lang="es-MX"/>
        </a:p>
      </dgm:t>
    </dgm:pt>
    <dgm:pt modelId="{A3CA5F48-D6ED-4317-939A-FD9B78820186}" type="pres">
      <dgm:prSet presAssocID="{4E394CD4-3992-4DCB-B17F-2ECE70BF3BCF}" presName="parentText_1" presStyleLbl="node1" presStyleIdx="0" presStyleCnt="3">
        <dgm:presLayoutVars>
          <dgm:chMax val="1"/>
          <dgm:chPref val="1"/>
          <dgm:bulletEnabled val="1"/>
        </dgm:presLayoutVars>
      </dgm:prSet>
      <dgm:spPr/>
      <dgm:t>
        <a:bodyPr/>
        <a:lstStyle/>
        <a:p>
          <a:endParaRPr lang="es-MX"/>
        </a:p>
      </dgm:t>
    </dgm:pt>
    <dgm:pt modelId="{99C2DED9-81C1-4BB4-A3E8-6CECF5C5FC0D}" type="pres">
      <dgm:prSet presAssocID="{4E394CD4-3992-4DCB-B17F-2ECE70BF3BCF}" presName="childText_1" presStyleLbl="node1" presStyleIdx="0" presStyleCnt="3" custScaleX="125162" custScaleY="85401" custLinFactNeighborX="-40109" custLinFactNeighborY="1701">
        <dgm:presLayoutVars>
          <dgm:chMax val="0"/>
          <dgm:chPref val="0"/>
          <dgm:bulletEnabled val="1"/>
        </dgm:presLayoutVars>
      </dgm:prSet>
      <dgm:spPr/>
      <dgm:t>
        <a:bodyPr/>
        <a:lstStyle/>
        <a:p>
          <a:endParaRPr lang="es-MX"/>
        </a:p>
      </dgm:t>
    </dgm:pt>
    <dgm:pt modelId="{BDC4A86B-583A-4A87-82DF-945C8EB1B8A7}" type="pres">
      <dgm:prSet presAssocID="{4E394CD4-3992-4DCB-B17F-2ECE70BF3BCF}" presName="accentShape_1" presStyleCnt="0"/>
      <dgm:spPr/>
    </dgm:pt>
    <dgm:pt modelId="{B37E948C-ED89-46A6-8A7A-9194B1B7CB35}" type="pres">
      <dgm:prSet presAssocID="{4E394CD4-3992-4DCB-B17F-2ECE70BF3BCF}" presName="imageRepeatNode" presStyleLbl="node1" presStyleIdx="0" presStyleCnt="3" custScaleX="130430" custScaleY="87967" custLinFactNeighborX="-24164" custLinFactNeighborY="5225"/>
      <dgm:spPr/>
      <dgm:t>
        <a:bodyPr/>
        <a:lstStyle/>
        <a:p>
          <a:endParaRPr lang="es-MX"/>
        </a:p>
      </dgm:t>
    </dgm:pt>
    <dgm:pt modelId="{7B2E6842-E1CE-4B0A-BEAF-45F05DF9A4A6}" type="pres">
      <dgm:prSet presAssocID="{9C3CD616-34ED-4E0D-BAC5-2E463E5D3B06}" presName="parentText_2" presStyleLbl="node1" presStyleIdx="0" presStyleCnt="3">
        <dgm:presLayoutVars>
          <dgm:chMax val="1"/>
          <dgm:chPref val="1"/>
          <dgm:bulletEnabled val="1"/>
        </dgm:presLayoutVars>
      </dgm:prSet>
      <dgm:spPr/>
      <dgm:t>
        <a:bodyPr/>
        <a:lstStyle/>
        <a:p>
          <a:endParaRPr lang="es-MX"/>
        </a:p>
      </dgm:t>
    </dgm:pt>
    <dgm:pt modelId="{083A8836-EB63-43B6-8D15-4999CB0AF15A}" type="pres">
      <dgm:prSet presAssocID="{9C3CD616-34ED-4E0D-BAC5-2E463E5D3B06}" presName="childText_2" presStyleLbl="node2" presStyleIdx="0" presStyleCnt="0" custScaleX="125496" custScaleY="105647" custLinFactNeighborX="-2197" custLinFactNeighborY="-1396">
        <dgm:presLayoutVars>
          <dgm:chMax val="0"/>
          <dgm:chPref val="0"/>
          <dgm:bulletEnabled val="1"/>
        </dgm:presLayoutVars>
      </dgm:prSet>
      <dgm:spPr/>
      <dgm:t>
        <a:bodyPr/>
        <a:lstStyle/>
        <a:p>
          <a:endParaRPr lang="es-MX"/>
        </a:p>
      </dgm:t>
    </dgm:pt>
    <dgm:pt modelId="{CC52772C-09CD-4F52-A4E4-AA485A93F130}" type="pres">
      <dgm:prSet presAssocID="{9C3CD616-34ED-4E0D-BAC5-2E463E5D3B06}" presName="accentShape_2" presStyleCnt="0"/>
      <dgm:spPr/>
    </dgm:pt>
    <dgm:pt modelId="{833E21D5-4FDA-44BE-BB50-5E00CAC0B98B}" type="pres">
      <dgm:prSet presAssocID="{9C3CD616-34ED-4E0D-BAC5-2E463E5D3B06}" presName="imageRepeatNode" presStyleLbl="node1" presStyleIdx="1" presStyleCnt="3" custScaleX="130430" custScaleY="98256"/>
      <dgm:spPr/>
      <dgm:t>
        <a:bodyPr/>
        <a:lstStyle/>
        <a:p>
          <a:endParaRPr lang="es-MX"/>
        </a:p>
      </dgm:t>
    </dgm:pt>
    <dgm:pt modelId="{1A3B77EA-3FA2-4203-94FF-E7FACE696D28}" type="pres">
      <dgm:prSet presAssocID="{7679571A-B1D6-4758-B955-751AD31C89DB}" presName="parentText_3" presStyleLbl="node1" presStyleIdx="1" presStyleCnt="3">
        <dgm:presLayoutVars>
          <dgm:chMax val="1"/>
          <dgm:chPref val="1"/>
          <dgm:bulletEnabled val="1"/>
        </dgm:presLayoutVars>
      </dgm:prSet>
      <dgm:spPr/>
      <dgm:t>
        <a:bodyPr/>
        <a:lstStyle/>
        <a:p>
          <a:endParaRPr lang="es-MX"/>
        </a:p>
      </dgm:t>
    </dgm:pt>
    <dgm:pt modelId="{580B75DE-DAB2-4D12-99F4-8A8FC96ECED9}" type="pres">
      <dgm:prSet presAssocID="{7679571A-B1D6-4758-B955-751AD31C89DB}" presName="childText_3" presStyleLbl="node2" presStyleIdx="0" presStyleCnt="0" custScaleX="128618" custLinFactNeighborX="29170" custLinFactNeighborY="0">
        <dgm:presLayoutVars>
          <dgm:chMax val="0"/>
          <dgm:chPref val="0"/>
          <dgm:bulletEnabled val="1"/>
        </dgm:presLayoutVars>
      </dgm:prSet>
      <dgm:spPr/>
      <dgm:t>
        <a:bodyPr/>
        <a:lstStyle/>
        <a:p>
          <a:endParaRPr lang="es-MX"/>
        </a:p>
      </dgm:t>
    </dgm:pt>
    <dgm:pt modelId="{E1C34972-8ECC-4FDF-BAF1-D59A07CB01CE}" type="pres">
      <dgm:prSet presAssocID="{7679571A-B1D6-4758-B955-751AD31C89DB}" presName="accentShape_3" presStyleCnt="0"/>
      <dgm:spPr/>
    </dgm:pt>
    <dgm:pt modelId="{5F8267D6-DD7B-42A6-8756-121DBC87375D}" type="pres">
      <dgm:prSet presAssocID="{7679571A-B1D6-4758-B955-751AD31C89DB}" presName="imageRepeatNode" presStyleLbl="node1" presStyleIdx="2" presStyleCnt="3" custScaleX="130430" custLinFactNeighborX="24163" custLinFactNeighborY="-1401"/>
      <dgm:spPr/>
      <dgm:t>
        <a:bodyPr/>
        <a:lstStyle/>
        <a:p>
          <a:endParaRPr lang="es-MX"/>
        </a:p>
      </dgm:t>
    </dgm:pt>
  </dgm:ptLst>
  <dgm:cxnLst>
    <dgm:cxn modelId="{C8BB1FD1-B868-4581-AA22-BF6B49ADE903}" type="presOf" srcId="{66A93451-B8A2-43C3-A8C7-D49D3E622A18}" destId="{083A8836-EB63-43B6-8D15-4999CB0AF15A}" srcOrd="0" destOrd="4" presId="urn:microsoft.com/office/officeart/2009/3/layout/BlockDescendingList"/>
    <dgm:cxn modelId="{DEA304F3-B278-488A-A432-702125E8CB0C}" srcId="{7679571A-B1D6-4758-B955-751AD31C89DB}" destId="{B54C5903-A49C-417A-BE58-33D1F06FA0E9}" srcOrd="3" destOrd="0" parTransId="{E6079FD7-7234-4EBA-8BB8-9C7269325673}" sibTransId="{55F43F47-CDFC-460E-A97F-35C3B64BAFCF}"/>
    <dgm:cxn modelId="{0F3D7210-8D87-414C-94AE-7F8C2DAC107B}" srcId="{9C3CD616-34ED-4E0D-BAC5-2E463E5D3B06}" destId="{878C9D57-64D8-4A39-A98A-3BD249829657}" srcOrd="2" destOrd="0" parTransId="{4D2C905B-4303-4CF1-8106-0802B589A6ED}" sibTransId="{5A93F2C1-2C39-46A1-AD4A-0EBF6EC53890}"/>
    <dgm:cxn modelId="{EDFED41B-E04D-4385-BCDB-05597B93B631}" type="presOf" srcId="{9C3CD616-34ED-4E0D-BAC5-2E463E5D3B06}" destId="{833E21D5-4FDA-44BE-BB50-5E00CAC0B98B}" srcOrd="1" destOrd="0" presId="urn:microsoft.com/office/officeart/2009/3/layout/BlockDescendingList"/>
    <dgm:cxn modelId="{3DD72D8D-0234-4C39-8E89-7E02A0D6CAEE}" srcId="{12540B81-3FC3-4AA3-9DE9-16371D4956ED}" destId="{9C3CD616-34ED-4E0D-BAC5-2E463E5D3B06}" srcOrd="1" destOrd="0" parTransId="{A2D5048E-759E-4160-8D89-C4C4AE66DE36}" sibTransId="{F0F541FC-750A-4178-918D-039392D6220B}"/>
    <dgm:cxn modelId="{627E09ED-53D6-4870-BD50-CACB8FC3CA31}" type="presOf" srcId="{FDCBEC9F-B182-4D69-A26E-9EC4AF5E08D6}" destId="{083A8836-EB63-43B6-8D15-4999CB0AF15A}" srcOrd="0" destOrd="1" presId="urn:microsoft.com/office/officeart/2009/3/layout/BlockDescendingList"/>
    <dgm:cxn modelId="{A415BB4D-BE60-4D88-8826-6593E319FE8A}" srcId="{7679571A-B1D6-4758-B955-751AD31C89DB}" destId="{CECC6E7C-3362-44DF-B5D0-18122DD08BCC}" srcOrd="0" destOrd="0" parTransId="{02258A9A-F897-4AD3-94B6-DDE77451A927}" sibTransId="{9CC79FD0-B743-4D96-BC74-A2D59B928CA2}"/>
    <dgm:cxn modelId="{C026CF1B-B385-4E0F-B802-513AAB54371C}" type="presOf" srcId="{4E394CD4-3992-4DCB-B17F-2ECE70BF3BCF}" destId="{B37E948C-ED89-46A6-8A7A-9194B1B7CB35}" srcOrd="1" destOrd="0" presId="urn:microsoft.com/office/officeart/2009/3/layout/BlockDescendingList"/>
    <dgm:cxn modelId="{825BF8D2-E440-4ED9-A41F-727E01623525}" type="presOf" srcId="{CE3B36D8-C4A9-4893-93E5-D812B8EF5750}" destId="{580B75DE-DAB2-4D12-99F4-8A8FC96ECED9}" srcOrd="0" destOrd="2" presId="urn:microsoft.com/office/officeart/2009/3/layout/BlockDescendingList"/>
    <dgm:cxn modelId="{E38461AD-2072-4305-A669-B3F65288BAC8}" srcId="{7679571A-B1D6-4758-B955-751AD31C89DB}" destId="{CE3B36D8-C4A9-4893-93E5-D812B8EF5750}" srcOrd="2" destOrd="0" parTransId="{584B577D-D5D2-44CD-86C1-591BA39394F0}" sibTransId="{1DC05E37-4072-4CF0-B055-86E21ED027C7}"/>
    <dgm:cxn modelId="{51C6850A-DB03-4E4D-B6A8-D1083DF40A19}" type="presOf" srcId="{29A144CA-436E-416C-8276-3B5BA35D89D0}" destId="{99C2DED9-81C1-4BB4-A3E8-6CECF5C5FC0D}" srcOrd="0" destOrd="2" presId="urn:microsoft.com/office/officeart/2009/3/layout/BlockDescendingList"/>
    <dgm:cxn modelId="{919863AA-BBE3-41A4-BA49-B83F30E32CB8}" type="presOf" srcId="{7679571A-B1D6-4758-B955-751AD31C89DB}" destId="{5F8267D6-DD7B-42A6-8756-121DBC87375D}" srcOrd="1" destOrd="0" presId="urn:microsoft.com/office/officeart/2009/3/layout/BlockDescendingList"/>
    <dgm:cxn modelId="{B222ED3E-E01E-4E6B-B53F-92E448490D0C}" srcId="{4E394CD4-3992-4DCB-B17F-2ECE70BF3BCF}" destId="{870CB151-0724-482A-8B29-77CE149B4BB1}" srcOrd="1" destOrd="0" parTransId="{48EC4909-1B76-4E8D-A2BA-3DF2545AE929}" sibTransId="{261ED58B-8131-4B20-B7B9-BEA95C230E41}"/>
    <dgm:cxn modelId="{0AD5A7D2-2B62-4C22-8FD3-277077E98612}" srcId="{9C3CD616-34ED-4E0D-BAC5-2E463E5D3B06}" destId="{FDCBEC9F-B182-4D69-A26E-9EC4AF5E08D6}" srcOrd="1" destOrd="0" parTransId="{6C19E4E4-0B16-47D9-8CC8-E0778774C05E}" sibTransId="{E4A31841-57BF-41C1-AF28-0B6CECA124B5}"/>
    <dgm:cxn modelId="{C9D0E14B-44D2-4BA5-BEF5-4DCE2539AA83}" srcId="{4E394CD4-3992-4DCB-B17F-2ECE70BF3BCF}" destId="{29A144CA-436E-416C-8276-3B5BA35D89D0}" srcOrd="2" destOrd="0" parTransId="{B69B31AD-8886-4CB9-A6AA-09C92E166B71}" sibTransId="{935EBBCC-3BF2-4FF0-8117-DBAC03F38EC5}"/>
    <dgm:cxn modelId="{D5635C64-C389-413E-BAB2-EFC74DAD6E93}" type="presOf" srcId="{E580A1C1-1ECE-4755-9FFC-B31CC1D5F6F1}" destId="{083A8836-EB63-43B6-8D15-4999CB0AF15A}" srcOrd="0" destOrd="3" presId="urn:microsoft.com/office/officeart/2009/3/layout/BlockDescendingList"/>
    <dgm:cxn modelId="{D7F0B8DD-79A0-4667-A017-38E7DE0F709E}" srcId="{9C3CD616-34ED-4E0D-BAC5-2E463E5D3B06}" destId="{32FEB192-55FC-43E5-AB72-724BAF7DE2C2}" srcOrd="0" destOrd="0" parTransId="{1C48E4C6-5852-4908-85DB-46B7FE4D4C3F}" sibTransId="{2EF5EDA0-C4BC-4FBA-B6C1-1EEC7415EDA1}"/>
    <dgm:cxn modelId="{DF9F0D70-61B7-4607-92C9-200E4DA2B311}" srcId="{9C3CD616-34ED-4E0D-BAC5-2E463E5D3B06}" destId="{E580A1C1-1ECE-4755-9FFC-B31CC1D5F6F1}" srcOrd="3" destOrd="0" parTransId="{0278FA21-59F8-406D-8163-AD4D77B64E49}" sibTransId="{7C8188C1-197F-4492-90C8-51508641D8EC}"/>
    <dgm:cxn modelId="{BB8D2366-552F-492E-B464-492D690F9677}" srcId="{7679571A-B1D6-4758-B955-751AD31C89DB}" destId="{8743C0B2-12DE-4D40-A7EA-EA014EE8BDD6}" srcOrd="4" destOrd="0" parTransId="{AC0183D2-E9E2-4794-934E-42C9012D225C}" sibTransId="{CECD180A-487A-4D65-8818-C30DE13C2A1B}"/>
    <dgm:cxn modelId="{49A50919-DE34-49C0-BB7D-942FBCF945E3}" srcId="{4E394CD4-3992-4DCB-B17F-2ECE70BF3BCF}" destId="{2E2DC558-5BB8-4BBE-8887-09BB29792369}" srcOrd="0" destOrd="0" parTransId="{7604DDB0-1991-431D-BFF8-DC78375BF080}" sibTransId="{F5935BAF-1946-4227-8A3D-D575ABE7CC02}"/>
    <dgm:cxn modelId="{15A2C625-DD8E-4687-BAAA-049B7FBFC7FA}" srcId="{12540B81-3FC3-4AA3-9DE9-16371D4956ED}" destId="{7679571A-B1D6-4758-B955-751AD31C89DB}" srcOrd="2" destOrd="0" parTransId="{F1AAE4A2-13CE-4869-B9D7-8248D49FFAD0}" sibTransId="{EE54C6C2-FBA5-4D5B-B471-AE6EAB756B3A}"/>
    <dgm:cxn modelId="{3EBCC68F-4E00-4BF9-8A49-8A8D3D6CD633}" type="presOf" srcId="{9C3CD616-34ED-4E0D-BAC5-2E463E5D3B06}" destId="{7B2E6842-E1CE-4B0A-BEAF-45F05DF9A4A6}" srcOrd="0" destOrd="0" presId="urn:microsoft.com/office/officeart/2009/3/layout/BlockDescendingList"/>
    <dgm:cxn modelId="{CDEF1865-6A45-47F2-AD69-D80D435528EB}" type="presOf" srcId="{878C9D57-64D8-4A39-A98A-3BD249829657}" destId="{083A8836-EB63-43B6-8D15-4999CB0AF15A}" srcOrd="0" destOrd="2" presId="urn:microsoft.com/office/officeart/2009/3/layout/BlockDescendingList"/>
    <dgm:cxn modelId="{ED701A69-9720-4853-8F79-8310C48F0B0D}" srcId="{9C3CD616-34ED-4E0D-BAC5-2E463E5D3B06}" destId="{66A93451-B8A2-43C3-A8C7-D49D3E622A18}" srcOrd="4" destOrd="0" parTransId="{EC06CB15-DA7C-454D-AF36-9543270ABECF}" sibTransId="{AAF81A22-8F72-4E60-B0FD-24A143BA1C46}"/>
    <dgm:cxn modelId="{11B6DE6D-D117-4C17-A501-687BB136BF68}" type="presOf" srcId="{2E2DC558-5BB8-4BBE-8887-09BB29792369}" destId="{99C2DED9-81C1-4BB4-A3E8-6CECF5C5FC0D}" srcOrd="0" destOrd="0" presId="urn:microsoft.com/office/officeart/2009/3/layout/BlockDescendingList"/>
    <dgm:cxn modelId="{222BF191-05AD-437F-910C-21B742598487}" type="presOf" srcId="{32FEB192-55FC-43E5-AB72-724BAF7DE2C2}" destId="{083A8836-EB63-43B6-8D15-4999CB0AF15A}" srcOrd="0" destOrd="0" presId="urn:microsoft.com/office/officeart/2009/3/layout/BlockDescendingList"/>
    <dgm:cxn modelId="{B81BB410-9188-4614-BF76-69F382D98850}" srcId="{12540B81-3FC3-4AA3-9DE9-16371D4956ED}" destId="{4E394CD4-3992-4DCB-B17F-2ECE70BF3BCF}" srcOrd="0" destOrd="0" parTransId="{47BAD3C0-F953-496E-BD7A-6AFBB55B0A12}" sibTransId="{0E56CB9F-B49F-4256-8049-6D41B07DFF99}"/>
    <dgm:cxn modelId="{384D1927-63C5-47C6-9742-4388AF060410}" type="presOf" srcId="{12540B81-3FC3-4AA3-9DE9-16371D4956ED}" destId="{B2C04F56-0371-41AB-B13F-AC0634187FAD}" srcOrd="0" destOrd="0" presId="urn:microsoft.com/office/officeart/2009/3/layout/BlockDescendingList"/>
    <dgm:cxn modelId="{75297D30-1994-48C2-999F-1204B40FA055}" type="presOf" srcId="{7679571A-B1D6-4758-B955-751AD31C89DB}" destId="{1A3B77EA-3FA2-4203-94FF-E7FACE696D28}" srcOrd="0" destOrd="0" presId="urn:microsoft.com/office/officeart/2009/3/layout/BlockDescendingList"/>
    <dgm:cxn modelId="{195141F8-6126-4DB2-BD2F-28691EB2715C}" type="presOf" srcId="{8743C0B2-12DE-4D40-A7EA-EA014EE8BDD6}" destId="{580B75DE-DAB2-4D12-99F4-8A8FC96ECED9}" srcOrd="0" destOrd="4" presId="urn:microsoft.com/office/officeart/2009/3/layout/BlockDescendingList"/>
    <dgm:cxn modelId="{C5561831-9C47-4B07-8500-729E7A76EB1C}" type="presOf" srcId="{B54C5903-A49C-417A-BE58-33D1F06FA0E9}" destId="{580B75DE-DAB2-4D12-99F4-8A8FC96ECED9}" srcOrd="0" destOrd="3" presId="urn:microsoft.com/office/officeart/2009/3/layout/BlockDescendingList"/>
    <dgm:cxn modelId="{927B7DBA-9600-4937-96B8-5EEE563401F0}" type="presOf" srcId="{CECC6E7C-3362-44DF-B5D0-18122DD08BCC}" destId="{580B75DE-DAB2-4D12-99F4-8A8FC96ECED9}" srcOrd="0" destOrd="0" presId="urn:microsoft.com/office/officeart/2009/3/layout/BlockDescendingList"/>
    <dgm:cxn modelId="{74341789-951C-476C-8F6C-844369CB4E5C}" type="presOf" srcId="{4A6CBE20-B2B3-4B1A-8165-950C7F342E82}" destId="{580B75DE-DAB2-4D12-99F4-8A8FC96ECED9}" srcOrd="0" destOrd="1" presId="urn:microsoft.com/office/officeart/2009/3/layout/BlockDescendingList"/>
    <dgm:cxn modelId="{D049B557-D591-47DE-83B3-13CE0A64874B}" srcId="{7679571A-B1D6-4758-B955-751AD31C89DB}" destId="{4A6CBE20-B2B3-4B1A-8165-950C7F342E82}" srcOrd="1" destOrd="0" parTransId="{5507FAEE-ED42-4AE8-A557-3E1CED5B0827}" sibTransId="{17C64D04-F9A5-46C8-9B5A-BB35A7E8BF14}"/>
    <dgm:cxn modelId="{72CDA290-7B66-441A-B6FB-5D9F0A00C90C}" type="presOf" srcId="{4E394CD4-3992-4DCB-B17F-2ECE70BF3BCF}" destId="{A3CA5F48-D6ED-4317-939A-FD9B78820186}" srcOrd="0" destOrd="0" presId="urn:microsoft.com/office/officeart/2009/3/layout/BlockDescendingList"/>
    <dgm:cxn modelId="{B18A72B2-47CD-4279-A763-8CC8FD5FFBA7}" type="presOf" srcId="{870CB151-0724-482A-8B29-77CE149B4BB1}" destId="{99C2DED9-81C1-4BB4-A3E8-6CECF5C5FC0D}" srcOrd="0" destOrd="1" presId="urn:microsoft.com/office/officeart/2009/3/layout/BlockDescendingList"/>
    <dgm:cxn modelId="{E9C567AB-FBD2-450A-A036-32715DF27EE8}" type="presParOf" srcId="{B2C04F56-0371-41AB-B13F-AC0634187FAD}" destId="{A3CA5F48-D6ED-4317-939A-FD9B78820186}" srcOrd="0" destOrd="0" presId="urn:microsoft.com/office/officeart/2009/3/layout/BlockDescendingList"/>
    <dgm:cxn modelId="{C9AB1C0E-0798-4BE2-A240-28322491A1F1}" type="presParOf" srcId="{B2C04F56-0371-41AB-B13F-AC0634187FAD}" destId="{99C2DED9-81C1-4BB4-A3E8-6CECF5C5FC0D}" srcOrd="1" destOrd="0" presId="urn:microsoft.com/office/officeart/2009/3/layout/BlockDescendingList"/>
    <dgm:cxn modelId="{51275CEA-91F8-4270-BFDF-BE661605CB5E}" type="presParOf" srcId="{B2C04F56-0371-41AB-B13F-AC0634187FAD}" destId="{BDC4A86B-583A-4A87-82DF-945C8EB1B8A7}" srcOrd="2" destOrd="0" presId="urn:microsoft.com/office/officeart/2009/3/layout/BlockDescendingList"/>
    <dgm:cxn modelId="{D0549A1E-DC89-446C-9678-F6C6E3434F0A}" type="presParOf" srcId="{BDC4A86B-583A-4A87-82DF-945C8EB1B8A7}" destId="{B37E948C-ED89-46A6-8A7A-9194B1B7CB35}" srcOrd="0" destOrd="0" presId="urn:microsoft.com/office/officeart/2009/3/layout/BlockDescendingList"/>
    <dgm:cxn modelId="{8C7064A9-9F4F-452A-B8CE-BB3EC98A4F1A}" type="presParOf" srcId="{B2C04F56-0371-41AB-B13F-AC0634187FAD}" destId="{7B2E6842-E1CE-4B0A-BEAF-45F05DF9A4A6}" srcOrd="3" destOrd="0" presId="urn:microsoft.com/office/officeart/2009/3/layout/BlockDescendingList"/>
    <dgm:cxn modelId="{4AE71CD4-A9BE-4E21-A929-9144D1E2FFE3}" type="presParOf" srcId="{B2C04F56-0371-41AB-B13F-AC0634187FAD}" destId="{083A8836-EB63-43B6-8D15-4999CB0AF15A}" srcOrd="4" destOrd="0" presId="urn:microsoft.com/office/officeart/2009/3/layout/BlockDescendingList"/>
    <dgm:cxn modelId="{81EC13CF-2A4B-4B36-A301-58761513680D}" type="presParOf" srcId="{B2C04F56-0371-41AB-B13F-AC0634187FAD}" destId="{CC52772C-09CD-4F52-A4E4-AA485A93F130}" srcOrd="5" destOrd="0" presId="urn:microsoft.com/office/officeart/2009/3/layout/BlockDescendingList"/>
    <dgm:cxn modelId="{6BC9BE72-4CD6-4F64-B040-0327A4AADAAF}" type="presParOf" srcId="{CC52772C-09CD-4F52-A4E4-AA485A93F130}" destId="{833E21D5-4FDA-44BE-BB50-5E00CAC0B98B}" srcOrd="0" destOrd="0" presId="urn:microsoft.com/office/officeart/2009/3/layout/BlockDescendingList"/>
    <dgm:cxn modelId="{0123C96A-8999-408A-ACCD-A816AA247079}" type="presParOf" srcId="{B2C04F56-0371-41AB-B13F-AC0634187FAD}" destId="{1A3B77EA-3FA2-4203-94FF-E7FACE696D28}" srcOrd="6" destOrd="0" presId="urn:microsoft.com/office/officeart/2009/3/layout/BlockDescendingList"/>
    <dgm:cxn modelId="{B8E328C3-E542-4DFF-B9B8-2989A81DD40B}" type="presParOf" srcId="{B2C04F56-0371-41AB-B13F-AC0634187FAD}" destId="{580B75DE-DAB2-4D12-99F4-8A8FC96ECED9}" srcOrd="7" destOrd="0" presId="urn:microsoft.com/office/officeart/2009/3/layout/BlockDescendingList"/>
    <dgm:cxn modelId="{1740E4BA-56B3-42C1-BD58-B5AB51ADC204}" type="presParOf" srcId="{B2C04F56-0371-41AB-B13F-AC0634187FAD}" destId="{E1C34972-8ECC-4FDF-BAF1-D59A07CB01CE}" srcOrd="8" destOrd="0" presId="urn:microsoft.com/office/officeart/2009/3/layout/BlockDescendingList"/>
    <dgm:cxn modelId="{53391063-F3AB-46DE-8D6F-901C7C6F7A8C}" type="presParOf" srcId="{E1C34972-8ECC-4FDF-BAF1-D59A07CB01CE}" destId="{5F8267D6-DD7B-42A6-8756-121DBC87375D}" srcOrd="0" destOrd="0" presId="urn:microsoft.com/office/officeart/2009/3/layout/BlockDescendingLis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296B6A8-565E-45CA-B6D3-27D6BB85CB01}"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s-MX"/>
        </a:p>
      </dgm:t>
    </dgm:pt>
    <dgm:pt modelId="{F8C0E07A-AAD0-4BE8-812F-2F9A330577B5}">
      <dgm:prSet phldrT="[Texto]" custT="1"/>
      <dgm:spPr/>
      <dgm:t>
        <a:bodyPr/>
        <a:lstStyle/>
        <a:p>
          <a:r>
            <a:rPr lang="es-MX" sz="1000">
              <a:solidFill>
                <a:schemeClr val="bg1"/>
              </a:solidFill>
              <a:latin typeface="Adobe Caslon Pro" pitchFamily="18" charset="0"/>
            </a:rPr>
            <a:t>1. La preocupación por la </a:t>
          </a:r>
          <a:r>
            <a:rPr lang="es-MX" sz="1000" b="1">
              <a:solidFill>
                <a:schemeClr val="bg1"/>
              </a:solidFill>
              <a:latin typeface="Adobe Caslon Pro" pitchFamily="18" charset="0"/>
            </a:rPr>
            <a:t>disposición de los recursos </a:t>
          </a:r>
          <a:r>
            <a:rPr lang="es-MX" sz="1000">
              <a:solidFill>
                <a:schemeClr val="bg1"/>
              </a:solidFill>
              <a:latin typeface="Adobe Caslon Pro" pitchFamily="18" charset="0"/>
            </a:rPr>
            <a:t>y </a:t>
          </a:r>
          <a:r>
            <a:rPr lang="es-MX" sz="1000" b="1">
              <a:solidFill>
                <a:schemeClr val="bg1"/>
              </a:solidFill>
              <a:latin typeface="Adobe Caslon Pro" pitchFamily="18" charset="0"/>
            </a:rPr>
            <a:t>estructuras</a:t>
          </a:r>
          <a:r>
            <a:rPr lang="es-MX" sz="1000">
              <a:solidFill>
                <a:schemeClr val="bg1"/>
              </a:solidFill>
              <a:latin typeface="Adobe Caslon Pro" pitchFamily="18" charset="0"/>
            </a:rPr>
            <a:t> necesarias para que tenga lugar</a:t>
          </a:r>
        </a:p>
      </dgm:t>
    </dgm:pt>
    <dgm:pt modelId="{665B4DC9-74D2-45AF-A88A-4A22E22ECAEC}" type="parTrans" cxnId="{C941C0C9-F9BB-4553-A9AE-F16A4A006B8D}">
      <dgm:prSet/>
      <dgm:spPr/>
      <dgm:t>
        <a:bodyPr/>
        <a:lstStyle/>
        <a:p>
          <a:endParaRPr lang="es-MX" sz="1800">
            <a:latin typeface="Adobe Caslon Pro" pitchFamily="18" charset="0"/>
          </a:endParaRPr>
        </a:p>
      </dgm:t>
    </dgm:pt>
    <dgm:pt modelId="{7DFCB7BB-C14E-4037-AC83-1A2E0F212A53}" type="sibTrans" cxnId="{C941C0C9-F9BB-4553-A9AE-F16A4A006B8D}">
      <dgm:prSet custT="1"/>
      <dgm:spPr/>
      <dgm:t>
        <a:bodyPr/>
        <a:lstStyle/>
        <a:p>
          <a:endParaRPr lang="es-MX" sz="1100">
            <a:latin typeface="Adobe Caslon Pro" pitchFamily="18" charset="0"/>
          </a:endParaRPr>
        </a:p>
      </dgm:t>
    </dgm:pt>
    <dgm:pt modelId="{36374319-D966-496D-8C21-03DFBEC58BC5}">
      <dgm:prSet phldrT="[Texto]" custT="1"/>
      <dgm:spPr/>
      <dgm:t>
        <a:bodyPr/>
        <a:lstStyle/>
        <a:p>
          <a:r>
            <a:rPr lang="es-MX" sz="1000">
              <a:solidFill>
                <a:schemeClr val="bg1"/>
              </a:solidFill>
              <a:latin typeface="Adobe Caslon Pro" pitchFamily="18" charset="0"/>
            </a:rPr>
            <a:t>2. La </a:t>
          </a:r>
          <a:r>
            <a:rPr lang="es-MX" sz="1000" b="1">
              <a:solidFill>
                <a:schemeClr val="bg1"/>
              </a:solidFill>
              <a:latin typeface="Adobe Caslon Pro" pitchFamily="18" charset="0"/>
            </a:rPr>
            <a:t>coordinación</a:t>
          </a:r>
          <a:r>
            <a:rPr lang="es-MX" sz="1000">
              <a:solidFill>
                <a:schemeClr val="bg1"/>
              </a:solidFill>
              <a:latin typeface="Adobe Caslon Pro" pitchFamily="18" charset="0"/>
            </a:rPr>
            <a:t> de sus </a:t>
          </a:r>
          <a:r>
            <a:rPr lang="es-MX" sz="1000" b="1">
              <a:solidFill>
                <a:schemeClr val="bg1"/>
              </a:solidFill>
              <a:latin typeface="Adobe Caslon Pro" pitchFamily="18" charset="0"/>
            </a:rPr>
            <a:t>actividades</a:t>
          </a:r>
          <a:r>
            <a:rPr lang="es-MX" sz="1000">
              <a:solidFill>
                <a:schemeClr val="bg1"/>
              </a:solidFill>
              <a:latin typeface="Adobe Caslon Pro" pitchFamily="18" charset="0"/>
            </a:rPr>
            <a:t> y sus correspondientes interacciones</a:t>
          </a:r>
        </a:p>
      </dgm:t>
    </dgm:pt>
    <dgm:pt modelId="{6DA7394F-0A08-4F69-95F4-3FB5290CFEC9}" type="parTrans" cxnId="{0BDE2A42-2FE6-4ED7-84DB-CFAE332D4315}">
      <dgm:prSet/>
      <dgm:spPr/>
      <dgm:t>
        <a:bodyPr/>
        <a:lstStyle/>
        <a:p>
          <a:endParaRPr lang="es-MX" sz="1800">
            <a:latin typeface="Adobe Caslon Pro" pitchFamily="18" charset="0"/>
          </a:endParaRPr>
        </a:p>
      </dgm:t>
    </dgm:pt>
    <dgm:pt modelId="{9CB2745E-A923-4890-AD0A-973EF7AEC212}" type="sibTrans" cxnId="{0BDE2A42-2FE6-4ED7-84DB-CFAE332D4315}">
      <dgm:prSet custT="1"/>
      <dgm:spPr/>
      <dgm:t>
        <a:bodyPr/>
        <a:lstStyle/>
        <a:p>
          <a:endParaRPr lang="es-MX" sz="1100">
            <a:latin typeface="Adobe Caslon Pro" pitchFamily="18" charset="0"/>
          </a:endParaRPr>
        </a:p>
      </dgm:t>
    </dgm:pt>
    <dgm:pt modelId="{1C5D6371-373F-43EB-BF10-BC4F83236130}">
      <dgm:prSet phldrT="[Texto]" custT="1"/>
      <dgm:spPr/>
      <dgm:t>
        <a:bodyPr/>
        <a:lstStyle/>
        <a:p>
          <a:r>
            <a:rPr lang="es-MX" sz="1000">
              <a:solidFill>
                <a:schemeClr val="bg1"/>
              </a:solidFill>
              <a:latin typeface="Adobe Caslon Pro" pitchFamily="18" charset="0"/>
            </a:rPr>
            <a:t>3. La </a:t>
          </a:r>
          <a:r>
            <a:rPr lang="es-MX" sz="1000" b="1">
              <a:solidFill>
                <a:schemeClr val="bg1"/>
              </a:solidFill>
              <a:latin typeface="Adobe Caslon Pro" pitchFamily="18" charset="0"/>
            </a:rPr>
            <a:t>rendición de cuentas </a:t>
          </a:r>
          <a:r>
            <a:rPr lang="es-MX" sz="1000">
              <a:solidFill>
                <a:schemeClr val="bg1"/>
              </a:solidFill>
              <a:latin typeface="Adobe Caslon Pro" pitchFamily="18" charset="0"/>
            </a:rPr>
            <a:t>ante los agentes interesados por los efectos que se espera que el proceso desencadene</a:t>
          </a:r>
        </a:p>
      </dgm:t>
    </dgm:pt>
    <dgm:pt modelId="{928A8231-E395-450A-BC82-A95A1D3AFB26}" type="parTrans" cxnId="{1A38409B-0124-46CB-B611-B0BFA03315AF}">
      <dgm:prSet/>
      <dgm:spPr/>
      <dgm:t>
        <a:bodyPr/>
        <a:lstStyle/>
        <a:p>
          <a:endParaRPr lang="es-MX" sz="1800">
            <a:latin typeface="Adobe Caslon Pro" pitchFamily="18" charset="0"/>
          </a:endParaRPr>
        </a:p>
      </dgm:t>
    </dgm:pt>
    <dgm:pt modelId="{1287CE27-31DF-460E-A8B1-3CEDA61B61A5}" type="sibTrans" cxnId="{1A38409B-0124-46CB-B611-B0BFA03315AF}">
      <dgm:prSet custT="1"/>
      <dgm:spPr/>
      <dgm:t>
        <a:bodyPr/>
        <a:lstStyle/>
        <a:p>
          <a:endParaRPr lang="es-MX" sz="1100">
            <a:latin typeface="Adobe Caslon Pro" pitchFamily="18" charset="0"/>
          </a:endParaRPr>
        </a:p>
      </dgm:t>
    </dgm:pt>
    <dgm:pt modelId="{9EA27CC5-12FF-4037-8BCF-7C19F0B764AC}" type="pres">
      <dgm:prSet presAssocID="{8296B6A8-565E-45CA-B6D3-27D6BB85CB01}" presName="cycle" presStyleCnt="0">
        <dgm:presLayoutVars>
          <dgm:dir/>
          <dgm:resizeHandles val="exact"/>
        </dgm:presLayoutVars>
      </dgm:prSet>
      <dgm:spPr/>
      <dgm:t>
        <a:bodyPr/>
        <a:lstStyle/>
        <a:p>
          <a:endParaRPr lang="es-MX"/>
        </a:p>
      </dgm:t>
    </dgm:pt>
    <dgm:pt modelId="{878A4FF1-FB0B-4FFD-9F56-3FE71E047E12}" type="pres">
      <dgm:prSet presAssocID="{F8C0E07A-AAD0-4BE8-812F-2F9A330577B5}" presName="node" presStyleLbl="node1" presStyleIdx="0" presStyleCnt="3" custScaleX="121602" custScaleY="117826" custRadScaleRad="83919" custRadScaleInc="5136">
        <dgm:presLayoutVars>
          <dgm:bulletEnabled val="1"/>
        </dgm:presLayoutVars>
      </dgm:prSet>
      <dgm:spPr/>
      <dgm:t>
        <a:bodyPr/>
        <a:lstStyle/>
        <a:p>
          <a:endParaRPr lang="es-MX"/>
        </a:p>
      </dgm:t>
    </dgm:pt>
    <dgm:pt modelId="{E677F16F-22F2-439F-ADCD-EAC095ED3178}" type="pres">
      <dgm:prSet presAssocID="{7DFCB7BB-C14E-4037-AC83-1A2E0F212A53}" presName="sibTrans" presStyleLbl="sibTrans2D1" presStyleIdx="0" presStyleCnt="3"/>
      <dgm:spPr/>
      <dgm:t>
        <a:bodyPr/>
        <a:lstStyle/>
        <a:p>
          <a:endParaRPr lang="es-MX"/>
        </a:p>
      </dgm:t>
    </dgm:pt>
    <dgm:pt modelId="{9F37483C-6E08-4D08-9EC1-2D9FA5A9E401}" type="pres">
      <dgm:prSet presAssocID="{7DFCB7BB-C14E-4037-AC83-1A2E0F212A53}" presName="connectorText" presStyleLbl="sibTrans2D1" presStyleIdx="0" presStyleCnt="3"/>
      <dgm:spPr/>
      <dgm:t>
        <a:bodyPr/>
        <a:lstStyle/>
        <a:p>
          <a:endParaRPr lang="es-MX"/>
        </a:p>
      </dgm:t>
    </dgm:pt>
    <dgm:pt modelId="{B4A1078F-F966-4AE6-9FEA-E6A1237A5307}" type="pres">
      <dgm:prSet presAssocID="{36374319-D966-496D-8C21-03DFBEC58BC5}" presName="node" presStyleLbl="node1" presStyleIdx="1" presStyleCnt="3" custScaleX="120727" custScaleY="120763" custRadScaleRad="140936" custRadScaleInc="-31294">
        <dgm:presLayoutVars>
          <dgm:bulletEnabled val="1"/>
        </dgm:presLayoutVars>
      </dgm:prSet>
      <dgm:spPr/>
      <dgm:t>
        <a:bodyPr/>
        <a:lstStyle/>
        <a:p>
          <a:endParaRPr lang="es-MX"/>
        </a:p>
      </dgm:t>
    </dgm:pt>
    <dgm:pt modelId="{D4F8C7B8-8B06-4E73-8A2C-DBB8496CA3B1}" type="pres">
      <dgm:prSet presAssocID="{9CB2745E-A923-4890-AD0A-973EF7AEC212}" presName="sibTrans" presStyleLbl="sibTrans2D1" presStyleIdx="1" presStyleCnt="3"/>
      <dgm:spPr/>
      <dgm:t>
        <a:bodyPr/>
        <a:lstStyle/>
        <a:p>
          <a:endParaRPr lang="es-MX"/>
        </a:p>
      </dgm:t>
    </dgm:pt>
    <dgm:pt modelId="{939AF8D8-77A4-45D9-81B9-FDA43193225F}" type="pres">
      <dgm:prSet presAssocID="{9CB2745E-A923-4890-AD0A-973EF7AEC212}" presName="connectorText" presStyleLbl="sibTrans2D1" presStyleIdx="1" presStyleCnt="3"/>
      <dgm:spPr/>
      <dgm:t>
        <a:bodyPr/>
        <a:lstStyle/>
        <a:p>
          <a:endParaRPr lang="es-MX"/>
        </a:p>
      </dgm:t>
    </dgm:pt>
    <dgm:pt modelId="{B30D4CA3-1F3E-43DD-B0FA-44D0578D1501}" type="pres">
      <dgm:prSet presAssocID="{1C5D6371-373F-43EB-BF10-BC4F83236130}" presName="node" presStyleLbl="node1" presStyleIdx="2" presStyleCnt="3" custScaleX="117963" custScaleY="117804" custRadScaleRad="133360" custRadScaleInc="23881">
        <dgm:presLayoutVars>
          <dgm:bulletEnabled val="1"/>
        </dgm:presLayoutVars>
      </dgm:prSet>
      <dgm:spPr/>
      <dgm:t>
        <a:bodyPr/>
        <a:lstStyle/>
        <a:p>
          <a:endParaRPr lang="es-MX"/>
        </a:p>
      </dgm:t>
    </dgm:pt>
    <dgm:pt modelId="{9BC70145-9F88-41E7-9D89-0001F438AE33}" type="pres">
      <dgm:prSet presAssocID="{1287CE27-31DF-460E-A8B1-3CEDA61B61A5}" presName="sibTrans" presStyleLbl="sibTrans2D1" presStyleIdx="2" presStyleCnt="3"/>
      <dgm:spPr/>
      <dgm:t>
        <a:bodyPr/>
        <a:lstStyle/>
        <a:p>
          <a:endParaRPr lang="es-MX"/>
        </a:p>
      </dgm:t>
    </dgm:pt>
    <dgm:pt modelId="{70320BDF-8A26-4649-ADAD-6C2738B16089}" type="pres">
      <dgm:prSet presAssocID="{1287CE27-31DF-460E-A8B1-3CEDA61B61A5}" presName="connectorText" presStyleLbl="sibTrans2D1" presStyleIdx="2" presStyleCnt="3"/>
      <dgm:spPr/>
      <dgm:t>
        <a:bodyPr/>
        <a:lstStyle/>
        <a:p>
          <a:endParaRPr lang="es-MX"/>
        </a:p>
      </dgm:t>
    </dgm:pt>
  </dgm:ptLst>
  <dgm:cxnLst>
    <dgm:cxn modelId="{1A38409B-0124-46CB-B611-B0BFA03315AF}" srcId="{8296B6A8-565E-45CA-B6D3-27D6BB85CB01}" destId="{1C5D6371-373F-43EB-BF10-BC4F83236130}" srcOrd="2" destOrd="0" parTransId="{928A8231-E395-450A-BC82-A95A1D3AFB26}" sibTransId="{1287CE27-31DF-460E-A8B1-3CEDA61B61A5}"/>
    <dgm:cxn modelId="{1016F437-9F0E-4A80-9642-369D86ECE4D7}" type="presOf" srcId="{1287CE27-31DF-460E-A8B1-3CEDA61B61A5}" destId="{9BC70145-9F88-41E7-9D89-0001F438AE33}" srcOrd="0" destOrd="0" presId="urn:microsoft.com/office/officeart/2005/8/layout/cycle2"/>
    <dgm:cxn modelId="{858EB9E1-6624-48AC-8D2B-A2955E0BF07A}" type="presOf" srcId="{9CB2745E-A923-4890-AD0A-973EF7AEC212}" destId="{939AF8D8-77A4-45D9-81B9-FDA43193225F}" srcOrd="1" destOrd="0" presId="urn:microsoft.com/office/officeart/2005/8/layout/cycle2"/>
    <dgm:cxn modelId="{0BDE2A42-2FE6-4ED7-84DB-CFAE332D4315}" srcId="{8296B6A8-565E-45CA-B6D3-27D6BB85CB01}" destId="{36374319-D966-496D-8C21-03DFBEC58BC5}" srcOrd="1" destOrd="0" parTransId="{6DA7394F-0A08-4F69-95F4-3FB5290CFEC9}" sibTransId="{9CB2745E-A923-4890-AD0A-973EF7AEC212}"/>
    <dgm:cxn modelId="{C941C0C9-F9BB-4553-A9AE-F16A4A006B8D}" srcId="{8296B6A8-565E-45CA-B6D3-27D6BB85CB01}" destId="{F8C0E07A-AAD0-4BE8-812F-2F9A330577B5}" srcOrd="0" destOrd="0" parTransId="{665B4DC9-74D2-45AF-A88A-4A22E22ECAEC}" sibTransId="{7DFCB7BB-C14E-4037-AC83-1A2E0F212A53}"/>
    <dgm:cxn modelId="{CAA86401-79AE-4EAE-A198-42CBD7722515}" type="presOf" srcId="{1287CE27-31DF-460E-A8B1-3CEDA61B61A5}" destId="{70320BDF-8A26-4649-ADAD-6C2738B16089}" srcOrd="1" destOrd="0" presId="urn:microsoft.com/office/officeart/2005/8/layout/cycle2"/>
    <dgm:cxn modelId="{193DA305-3535-4D9B-BD6D-897EA795A792}" type="presOf" srcId="{F8C0E07A-AAD0-4BE8-812F-2F9A330577B5}" destId="{878A4FF1-FB0B-4FFD-9F56-3FE71E047E12}" srcOrd="0" destOrd="0" presId="urn:microsoft.com/office/officeart/2005/8/layout/cycle2"/>
    <dgm:cxn modelId="{C3C28AB6-B4A6-4C43-8091-FD639E2105B0}" type="presOf" srcId="{36374319-D966-496D-8C21-03DFBEC58BC5}" destId="{B4A1078F-F966-4AE6-9FEA-E6A1237A5307}" srcOrd="0" destOrd="0" presId="urn:microsoft.com/office/officeart/2005/8/layout/cycle2"/>
    <dgm:cxn modelId="{8FFA3A72-6844-484C-BF04-2A8BF5C0AE49}" type="presOf" srcId="{1C5D6371-373F-43EB-BF10-BC4F83236130}" destId="{B30D4CA3-1F3E-43DD-B0FA-44D0578D1501}" srcOrd="0" destOrd="0" presId="urn:microsoft.com/office/officeart/2005/8/layout/cycle2"/>
    <dgm:cxn modelId="{DA52F3AC-9068-4262-A5DA-D8C6503F843B}" type="presOf" srcId="{8296B6A8-565E-45CA-B6D3-27D6BB85CB01}" destId="{9EA27CC5-12FF-4037-8BCF-7C19F0B764AC}" srcOrd="0" destOrd="0" presId="urn:microsoft.com/office/officeart/2005/8/layout/cycle2"/>
    <dgm:cxn modelId="{9A1281FA-2491-4BC4-82A5-A26CD582FCC4}" type="presOf" srcId="{7DFCB7BB-C14E-4037-AC83-1A2E0F212A53}" destId="{E677F16F-22F2-439F-ADCD-EAC095ED3178}" srcOrd="0" destOrd="0" presId="urn:microsoft.com/office/officeart/2005/8/layout/cycle2"/>
    <dgm:cxn modelId="{D80D1B85-1B03-49B8-95EB-C78D214D9369}" type="presOf" srcId="{7DFCB7BB-C14E-4037-AC83-1A2E0F212A53}" destId="{9F37483C-6E08-4D08-9EC1-2D9FA5A9E401}" srcOrd="1" destOrd="0" presId="urn:microsoft.com/office/officeart/2005/8/layout/cycle2"/>
    <dgm:cxn modelId="{06A01200-3F14-4A70-92C9-66DCBB8C7ED9}" type="presOf" srcId="{9CB2745E-A923-4890-AD0A-973EF7AEC212}" destId="{D4F8C7B8-8B06-4E73-8A2C-DBB8496CA3B1}" srcOrd="0" destOrd="0" presId="urn:microsoft.com/office/officeart/2005/8/layout/cycle2"/>
    <dgm:cxn modelId="{1125D84D-B31A-4F01-ADF3-70B3D24BC09B}" type="presParOf" srcId="{9EA27CC5-12FF-4037-8BCF-7C19F0B764AC}" destId="{878A4FF1-FB0B-4FFD-9F56-3FE71E047E12}" srcOrd="0" destOrd="0" presId="urn:microsoft.com/office/officeart/2005/8/layout/cycle2"/>
    <dgm:cxn modelId="{EEECF43E-4709-41AB-A244-7B62A6F7B1E3}" type="presParOf" srcId="{9EA27CC5-12FF-4037-8BCF-7C19F0B764AC}" destId="{E677F16F-22F2-439F-ADCD-EAC095ED3178}" srcOrd="1" destOrd="0" presId="urn:microsoft.com/office/officeart/2005/8/layout/cycle2"/>
    <dgm:cxn modelId="{50D0D069-5C91-4A8C-A983-DB01DDBB5D04}" type="presParOf" srcId="{E677F16F-22F2-439F-ADCD-EAC095ED3178}" destId="{9F37483C-6E08-4D08-9EC1-2D9FA5A9E401}" srcOrd="0" destOrd="0" presId="urn:microsoft.com/office/officeart/2005/8/layout/cycle2"/>
    <dgm:cxn modelId="{641BDABA-6AFE-4803-98F5-556C86DCE3F3}" type="presParOf" srcId="{9EA27CC5-12FF-4037-8BCF-7C19F0B764AC}" destId="{B4A1078F-F966-4AE6-9FEA-E6A1237A5307}" srcOrd="2" destOrd="0" presId="urn:microsoft.com/office/officeart/2005/8/layout/cycle2"/>
    <dgm:cxn modelId="{B60F7B0B-684C-4477-919C-5F97DCBDE05D}" type="presParOf" srcId="{9EA27CC5-12FF-4037-8BCF-7C19F0B764AC}" destId="{D4F8C7B8-8B06-4E73-8A2C-DBB8496CA3B1}" srcOrd="3" destOrd="0" presId="urn:microsoft.com/office/officeart/2005/8/layout/cycle2"/>
    <dgm:cxn modelId="{CF6CB042-816A-4B09-81A5-10545E817B88}" type="presParOf" srcId="{D4F8C7B8-8B06-4E73-8A2C-DBB8496CA3B1}" destId="{939AF8D8-77A4-45D9-81B9-FDA43193225F}" srcOrd="0" destOrd="0" presId="urn:microsoft.com/office/officeart/2005/8/layout/cycle2"/>
    <dgm:cxn modelId="{071FB04D-CB2F-46E8-95B0-4FBE7E5E35B6}" type="presParOf" srcId="{9EA27CC5-12FF-4037-8BCF-7C19F0B764AC}" destId="{B30D4CA3-1F3E-43DD-B0FA-44D0578D1501}" srcOrd="4" destOrd="0" presId="urn:microsoft.com/office/officeart/2005/8/layout/cycle2"/>
    <dgm:cxn modelId="{E8083EE4-A2C2-4827-9ECB-1D2AEC1E6C8E}" type="presParOf" srcId="{9EA27CC5-12FF-4037-8BCF-7C19F0B764AC}" destId="{9BC70145-9F88-41E7-9D89-0001F438AE33}" srcOrd="5" destOrd="0" presId="urn:microsoft.com/office/officeart/2005/8/layout/cycle2"/>
    <dgm:cxn modelId="{7DFF1407-FFAC-443B-8AEF-1EED18D62A36}" type="presParOf" srcId="{9BC70145-9F88-41E7-9D89-0001F438AE33}" destId="{70320BDF-8A26-4649-ADAD-6C2738B16089}" srcOrd="0" destOrd="0" presId="urn:microsoft.com/office/officeart/2005/8/layout/cycle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D0FA20F-E682-4652-B2B5-FDC5D57FE58F}" type="doc">
      <dgm:prSet loTypeId="urn:microsoft.com/office/officeart/2005/8/layout/chart3" loCatId="relationship" qsTypeId="urn:microsoft.com/office/officeart/2005/8/quickstyle/simple3" qsCatId="simple" csTypeId="urn:microsoft.com/office/officeart/2005/8/colors/accent1_2" csCatId="accent1" phldr="1"/>
      <dgm:spPr/>
      <dgm:t>
        <a:bodyPr/>
        <a:lstStyle/>
        <a:p>
          <a:endParaRPr lang="es-MX"/>
        </a:p>
      </dgm:t>
    </dgm:pt>
    <dgm:pt modelId="{C1F1D96A-A496-45E1-8ABA-9031F275015F}">
      <dgm:prSet phldrT="[Texto]" custT="1"/>
      <dgm:spPr/>
      <dgm:t>
        <a:bodyPr/>
        <a:lstStyle/>
        <a:p>
          <a:pPr algn="ctr"/>
          <a:r>
            <a:rPr lang="es-MX" sz="800">
              <a:latin typeface="Adobe Caslon Pro" pitchFamily="18" charset="0"/>
            </a:rPr>
            <a:t>ASOCIACIÓN</a:t>
          </a:r>
          <a:r>
            <a:rPr lang="es-MX" sz="900">
              <a:latin typeface="Adobe Caslon Pro" pitchFamily="18" charset="0"/>
            </a:rPr>
            <a:t> </a:t>
          </a:r>
          <a:r>
            <a:rPr lang="es-MX" sz="900" b="1">
              <a:latin typeface="Adobe Caslon Pro" pitchFamily="18" charset="0"/>
            </a:rPr>
            <a:t>Confianza</a:t>
          </a:r>
        </a:p>
        <a:p>
          <a:pPr algn="ctr"/>
          <a:r>
            <a:rPr lang="es-MX" sz="700" b="1">
              <a:latin typeface="Adobe Caslon Pro" pitchFamily="18" charset="0"/>
            </a:rPr>
            <a:t>5. </a:t>
          </a:r>
          <a:r>
            <a:rPr lang="es-MX" sz="700">
              <a:latin typeface="Adobe Caslon Pro" pitchFamily="18" charset="0"/>
            </a:rPr>
            <a:t>Compartir objetivos y proyecto</a:t>
          </a:r>
          <a:endParaRPr lang="es-MX" sz="700" b="1">
            <a:latin typeface="Adobe Caslon Pro" pitchFamily="18" charset="0"/>
          </a:endParaRPr>
        </a:p>
      </dgm:t>
    </dgm:pt>
    <dgm:pt modelId="{D840519F-521C-4755-B4E9-F3E554B1D537}" type="parTrans" cxnId="{84B0249C-3C69-45B6-9B43-3D8DA1D857E0}">
      <dgm:prSet/>
      <dgm:spPr/>
      <dgm:t>
        <a:bodyPr/>
        <a:lstStyle/>
        <a:p>
          <a:pPr algn="ctr"/>
          <a:endParaRPr lang="es-MX" sz="2000">
            <a:latin typeface="Adobe Caslon Pro" pitchFamily="18" charset="0"/>
          </a:endParaRPr>
        </a:p>
      </dgm:t>
    </dgm:pt>
    <dgm:pt modelId="{C769B04B-AF44-4FC6-A5E7-ACEC4C19CB38}" type="sibTrans" cxnId="{84B0249C-3C69-45B6-9B43-3D8DA1D857E0}">
      <dgm:prSet/>
      <dgm:spPr/>
      <dgm:t>
        <a:bodyPr/>
        <a:lstStyle/>
        <a:p>
          <a:pPr algn="ctr"/>
          <a:endParaRPr lang="es-MX" sz="2000">
            <a:latin typeface="Adobe Caslon Pro" pitchFamily="18" charset="0"/>
          </a:endParaRPr>
        </a:p>
      </dgm:t>
    </dgm:pt>
    <dgm:pt modelId="{FEE7C3FF-A2B8-4DBE-8D52-B92383DAAB3F}">
      <dgm:prSet phldrT="[Texto]" custT="1"/>
      <dgm:spPr/>
      <dgm:t>
        <a:bodyPr/>
        <a:lstStyle/>
        <a:p>
          <a:pPr algn="ctr"/>
          <a:r>
            <a:rPr lang="es-MX" sz="800">
              <a:latin typeface="Adobe Caslon Pro" pitchFamily="18" charset="0"/>
            </a:rPr>
            <a:t>COOPERACIÓN </a:t>
          </a:r>
          <a:r>
            <a:rPr lang="es-MX" sz="900" b="1">
              <a:latin typeface="Adobe Caslon Pro" pitchFamily="18" charset="0"/>
            </a:rPr>
            <a:t>Solidaridad</a:t>
          </a:r>
        </a:p>
        <a:p>
          <a:pPr algn="ctr"/>
          <a:r>
            <a:rPr lang="es-MX" sz="700" b="1">
              <a:latin typeface="Adobe Caslon Pro" pitchFamily="18" charset="0"/>
            </a:rPr>
            <a:t>4. </a:t>
          </a:r>
          <a:r>
            <a:rPr lang="es-MX" sz="700">
              <a:latin typeface="Adobe Caslon Pro" pitchFamily="18" charset="0"/>
            </a:rPr>
            <a:t>Compartir actividades y recursos</a:t>
          </a:r>
          <a:endParaRPr lang="es-MX" sz="700" b="1">
            <a:latin typeface="Adobe Caslon Pro" pitchFamily="18" charset="0"/>
          </a:endParaRPr>
        </a:p>
      </dgm:t>
    </dgm:pt>
    <dgm:pt modelId="{1A72B2AD-C081-4788-B4A9-3A5AB024E17B}" type="parTrans" cxnId="{B8830BAF-D52D-4B1B-BD8F-0F8FB41CA8E9}">
      <dgm:prSet/>
      <dgm:spPr/>
      <dgm:t>
        <a:bodyPr/>
        <a:lstStyle/>
        <a:p>
          <a:pPr algn="ctr"/>
          <a:endParaRPr lang="es-MX" sz="2000">
            <a:latin typeface="Adobe Caslon Pro" pitchFamily="18" charset="0"/>
          </a:endParaRPr>
        </a:p>
      </dgm:t>
    </dgm:pt>
    <dgm:pt modelId="{C16C0728-201F-4115-84E1-F682A080FA60}" type="sibTrans" cxnId="{B8830BAF-D52D-4B1B-BD8F-0F8FB41CA8E9}">
      <dgm:prSet/>
      <dgm:spPr/>
      <dgm:t>
        <a:bodyPr/>
        <a:lstStyle/>
        <a:p>
          <a:pPr algn="ctr"/>
          <a:endParaRPr lang="es-MX" sz="2000">
            <a:latin typeface="Adobe Caslon Pro" pitchFamily="18" charset="0"/>
          </a:endParaRPr>
        </a:p>
      </dgm:t>
    </dgm:pt>
    <dgm:pt modelId="{FF4C27D9-7612-43FE-A715-CA598B72F0A1}">
      <dgm:prSet phldrT="[Texto]" custT="1"/>
      <dgm:spPr/>
      <dgm:t>
        <a:bodyPr/>
        <a:lstStyle/>
        <a:p>
          <a:pPr algn="ctr"/>
          <a:r>
            <a:rPr lang="es-MX" sz="800">
              <a:latin typeface="Adobe Caslon Pro" pitchFamily="18" charset="0"/>
            </a:rPr>
            <a:t>COLABORACIÓN </a:t>
          </a:r>
          <a:r>
            <a:rPr lang="es-MX" sz="900" b="1">
              <a:latin typeface="Adobe Caslon Pro" pitchFamily="18" charset="0"/>
            </a:rPr>
            <a:t>Reciprocidad</a:t>
          </a:r>
        </a:p>
        <a:p>
          <a:pPr algn="ctr"/>
          <a:r>
            <a:rPr lang="es-MX" sz="700" b="1">
              <a:latin typeface="Adobe Caslon Pro" pitchFamily="18" charset="0"/>
            </a:rPr>
            <a:t>3. </a:t>
          </a:r>
          <a:r>
            <a:rPr lang="es-MX" sz="700">
              <a:latin typeface="Adobe Caslon Pro" pitchFamily="18" charset="0"/>
            </a:rPr>
            <a:t>Prestar ayuda esporádicamente</a:t>
          </a:r>
          <a:endParaRPr lang="es-MX" sz="700" b="1">
            <a:latin typeface="Adobe Caslon Pro" pitchFamily="18" charset="0"/>
          </a:endParaRPr>
        </a:p>
      </dgm:t>
    </dgm:pt>
    <dgm:pt modelId="{BF1D2E41-0D84-495E-B26C-780E15C2DA79}" type="parTrans" cxnId="{DACFC4D8-C958-4C2C-BB6F-0A14D1AB79FB}">
      <dgm:prSet/>
      <dgm:spPr/>
      <dgm:t>
        <a:bodyPr/>
        <a:lstStyle/>
        <a:p>
          <a:pPr algn="ctr"/>
          <a:endParaRPr lang="es-MX" sz="2000">
            <a:latin typeface="Adobe Caslon Pro" pitchFamily="18" charset="0"/>
          </a:endParaRPr>
        </a:p>
      </dgm:t>
    </dgm:pt>
    <dgm:pt modelId="{8F09C83F-0C61-43EB-B341-156530C89FAC}" type="sibTrans" cxnId="{DACFC4D8-C958-4C2C-BB6F-0A14D1AB79FB}">
      <dgm:prSet/>
      <dgm:spPr/>
      <dgm:t>
        <a:bodyPr/>
        <a:lstStyle/>
        <a:p>
          <a:pPr algn="ctr"/>
          <a:endParaRPr lang="es-MX" sz="2000">
            <a:latin typeface="Adobe Caslon Pro" pitchFamily="18" charset="0"/>
          </a:endParaRPr>
        </a:p>
      </dgm:t>
    </dgm:pt>
    <dgm:pt modelId="{ABDE7FD4-A9C7-4A85-9C44-F57FD70239E2}">
      <dgm:prSet phldrT="[Texto]" custT="1"/>
      <dgm:spPr/>
      <dgm:t>
        <a:bodyPr/>
        <a:lstStyle/>
        <a:p>
          <a:pPr algn="ctr"/>
          <a:r>
            <a:rPr lang="es-MX" sz="700">
              <a:latin typeface="Adobe Caslon Pro" pitchFamily="18" charset="0"/>
            </a:rPr>
            <a:t>CONOCIMIENTO</a:t>
          </a:r>
          <a:r>
            <a:rPr lang="es-MX" sz="900">
              <a:latin typeface="Adobe Caslon Pro" pitchFamily="18" charset="0"/>
            </a:rPr>
            <a:t> </a:t>
          </a:r>
          <a:r>
            <a:rPr lang="es-MX" sz="900" b="1">
              <a:latin typeface="Adobe Caslon Pro" pitchFamily="18" charset="0"/>
            </a:rPr>
            <a:t>Interés</a:t>
          </a:r>
        </a:p>
        <a:p>
          <a:pPr algn="ctr"/>
          <a:r>
            <a:rPr lang="es-MX" sz="700" b="1">
              <a:latin typeface="Adobe Caslon Pro" pitchFamily="18" charset="0"/>
            </a:rPr>
            <a:t>2. </a:t>
          </a:r>
          <a:r>
            <a:rPr lang="es-MX" sz="700">
              <a:latin typeface="Adobe Caslon Pro" pitchFamily="18" charset="0"/>
            </a:rPr>
            <a:t>Conocer lo que hace el otro</a:t>
          </a:r>
          <a:endParaRPr lang="es-MX" sz="700" b="1">
            <a:latin typeface="Adobe Caslon Pro" pitchFamily="18" charset="0"/>
          </a:endParaRPr>
        </a:p>
      </dgm:t>
    </dgm:pt>
    <dgm:pt modelId="{C5C2FA21-BE71-4623-9424-952B372EFD76}" type="parTrans" cxnId="{9D685878-E4BA-45F1-95ED-50407479B985}">
      <dgm:prSet/>
      <dgm:spPr/>
      <dgm:t>
        <a:bodyPr/>
        <a:lstStyle/>
        <a:p>
          <a:pPr algn="ctr"/>
          <a:endParaRPr lang="es-MX" sz="2000">
            <a:latin typeface="Adobe Caslon Pro" pitchFamily="18" charset="0"/>
          </a:endParaRPr>
        </a:p>
      </dgm:t>
    </dgm:pt>
    <dgm:pt modelId="{3726F729-D6ED-4E44-8925-7D2EDC090528}" type="sibTrans" cxnId="{9D685878-E4BA-45F1-95ED-50407479B985}">
      <dgm:prSet/>
      <dgm:spPr/>
      <dgm:t>
        <a:bodyPr/>
        <a:lstStyle/>
        <a:p>
          <a:pPr algn="ctr"/>
          <a:endParaRPr lang="es-MX" sz="2000">
            <a:latin typeface="Adobe Caslon Pro" pitchFamily="18" charset="0"/>
          </a:endParaRPr>
        </a:p>
      </dgm:t>
    </dgm:pt>
    <dgm:pt modelId="{BDA99ED1-2D36-4181-857E-D88610643B6D}">
      <dgm:prSet phldrT="[Texto]" custT="1"/>
      <dgm:spPr/>
      <dgm:t>
        <a:bodyPr/>
        <a:lstStyle/>
        <a:p>
          <a:pPr algn="ctr"/>
          <a:r>
            <a:rPr lang="es-MX" sz="700">
              <a:latin typeface="Adobe Caslon Pro" pitchFamily="18" charset="0"/>
            </a:rPr>
            <a:t>RECONOCIMIENTO</a:t>
          </a:r>
          <a:r>
            <a:rPr lang="es-MX" sz="800">
              <a:latin typeface="Adobe Caslon Pro" pitchFamily="18" charset="0"/>
            </a:rPr>
            <a:t> </a:t>
          </a:r>
          <a:r>
            <a:rPr lang="es-MX" sz="900" b="1">
              <a:latin typeface="Adobe Caslon Pro" pitchFamily="18" charset="0"/>
            </a:rPr>
            <a:t>Aceptación</a:t>
          </a:r>
        </a:p>
        <a:p>
          <a:pPr algn="ctr"/>
          <a:r>
            <a:rPr lang="es-MX" sz="800" b="1">
              <a:latin typeface="Adobe Caslon Pro" pitchFamily="18" charset="0"/>
            </a:rPr>
            <a:t>1. </a:t>
          </a:r>
          <a:r>
            <a:rPr lang="es-MX" sz="800">
              <a:latin typeface="Adobe Caslon Pro" pitchFamily="18" charset="0"/>
            </a:rPr>
            <a:t>Reconocer que el otro existe</a:t>
          </a:r>
          <a:endParaRPr lang="es-MX" sz="800" b="1">
            <a:latin typeface="Adobe Caslon Pro" pitchFamily="18" charset="0"/>
          </a:endParaRPr>
        </a:p>
      </dgm:t>
    </dgm:pt>
    <dgm:pt modelId="{87C6A86F-E3B7-45EE-8934-D2A6427CD1E9}" type="parTrans" cxnId="{C8FA66C9-A256-4D95-BF09-4D950DEA1C07}">
      <dgm:prSet/>
      <dgm:spPr/>
      <dgm:t>
        <a:bodyPr/>
        <a:lstStyle/>
        <a:p>
          <a:pPr algn="ctr"/>
          <a:endParaRPr lang="es-MX" sz="2000">
            <a:latin typeface="Adobe Caslon Pro" pitchFamily="18" charset="0"/>
          </a:endParaRPr>
        </a:p>
      </dgm:t>
    </dgm:pt>
    <dgm:pt modelId="{49A929A9-B6DE-4062-B668-9039A3E041FD}" type="sibTrans" cxnId="{C8FA66C9-A256-4D95-BF09-4D950DEA1C07}">
      <dgm:prSet/>
      <dgm:spPr/>
      <dgm:t>
        <a:bodyPr/>
        <a:lstStyle/>
        <a:p>
          <a:pPr algn="ctr"/>
          <a:endParaRPr lang="es-MX" sz="2000">
            <a:latin typeface="Adobe Caslon Pro" pitchFamily="18" charset="0"/>
          </a:endParaRPr>
        </a:p>
      </dgm:t>
    </dgm:pt>
    <dgm:pt modelId="{60880987-9938-4D65-99AF-E4C46A53B40F}" type="pres">
      <dgm:prSet presAssocID="{AD0FA20F-E682-4652-B2B5-FDC5D57FE58F}" presName="compositeShape" presStyleCnt="0">
        <dgm:presLayoutVars>
          <dgm:chMax val="7"/>
          <dgm:dir/>
          <dgm:resizeHandles val="exact"/>
        </dgm:presLayoutVars>
      </dgm:prSet>
      <dgm:spPr/>
      <dgm:t>
        <a:bodyPr/>
        <a:lstStyle/>
        <a:p>
          <a:endParaRPr lang="es-MX"/>
        </a:p>
      </dgm:t>
    </dgm:pt>
    <dgm:pt modelId="{A2BB0102-6702-4773-836E-91C52F5C5525}" type="pres">
      <dgm:prSet presAssocID="{AD0FA20F-E682-4652-B2B5-FDC5D57FE58F}" presName="wedge1" presStyleLbl="node1" presStyleIdx="0" presStyleCnt="5" custScaleX="113461" custScaleY="113461"/>
      <dgm:spPr/>
      <dgm:t>
        <a:bodyPr/>
        <a:lstStyle/>
        <a:p>
          <a:endParaRPr lang="es-MX"/>
        </a:p>
      </dgm:t>
    </dgm:pt>
    <dgm:pt modelId="{F9ED7C13-B88F-4B22-B7FC-F76BE3C9A207}" type="pres">
      <dgm:prSet presAssocID="{AD0FA20F-E682-4652-B2B5-FDC5D57FE58F}" presName="wedge1Tx" presStyleLbl="node1" presStyleIdx="0" presStyleCnt="5">
        <dgm:presLayoutVars>
          <dgm:chMax val="0"/>
          <dgm:chPref val="0"/>
          <dgm:bulletEnabled val="1"/>
        </dgm:presLayoutVars>
      </dgm:prSet>
      <dgm:spPr/>
      <dgm:t>
        <a:bodyPr/>
        <a:lstStyle/>
        <a:p>
          <a:endParaRPr lang="es-MX"/>
        </a:p>
      </dgm:t>
    </dgm:pt>
    <dgm:pt modelId="{F59C23EF-4749-49D4-85B6-7DB1DBE05BEA}" type="pres">
      <dgm:prSet presAssocID="{AD0FA20F-E682-4652-B2B5-FDC5D57FE58F}" presName="wedge2" presStyleLbl="node1" presStyleIdx="1" presStyleCnt="5" custScaleX="113461" custScaleY="113461"/>
      <dgm:spPr/>
      <dgm:t>
        <a:bodyPr/>
        <a:lstStyle/>
        <a:p>
          <a:endParaRPr lang="es-MX"/>
        </a:p>
      </dgm:t>
    </dgm:pt>
    <dgm:pt modelId="{9AFEF4D2-D5D6-4182-9303-4934BB3ACAE0}" type="pres">
      <dgm:prSet presAssocID="{AD0FA20F-E682-4652-B2B5-FDC5D57FE58F}" presName="wedge2Tx" presStyleLbl="node1" presStyleIdx="1" presStyleCnt="5">
        <dgm:presLayoutVars>
          <dgm:chMax val="0"/>
          <dgm:chPref val="0"/>
          <dgm:bulletEnabled val="1"/>
        </dgm:presLayoutVars>
      </dgm:prSet>
      <dgm:spPr/>
      <dgm:t>
        <a:bodyPr/>
        <a:lstStyle/>
        <a:p>
          <a:endParaRPr lang="es-MX"/>
        </a:p>
      </dgm:t>
    </dgm:pt>
    <dgm:pt modelId="{A51ADE0D-025F-4DF6-8448-5C39461FD58E}" type="pres">
      <dgm:prSet presAssocID="{AD0FA20F-E682-4652-B2B5-FDC5D57FE58F}" presName="wedge3" presStyleLbl="node1" presStyleIdx="2" presStyleCnt="5" custScaleX="113461" custScaleY="113461"/>
      <dgm:spPr/>
      <dgm:t>
        <a:bodyPr/>
        <a:lstStyle/>
        <a:p>
          <a:endParaRPr lang="es-MX"/>
        </a:p>
      </dgm:t>
    </dgm:pt>
    <dgm:pt modelId="{193E0787-C8B6-4143-94F5-17125016D533}" type="pres">
      <dgm:prSet presAssocID="{AD0FA20F-E682-4652-B2B5-FDC5D57FE58F}" presName="wedge3Tx" presStyleLbl="node1" presStyleIdx="2" presStyleCnt="5">
        <dgm:presLayoutVars>
          <dgm:chMax val="0"/>
          <dgm:chPref val="0"/>
          <dgm:bulletEnabled val="1"/>
        </dgm:presLayoutVars>
      </dgm:prSet>
      <dgm:spPr/>
      <dgm:t>
        <a:bodyPr/>
        <a:lstStyle/>
        <a:p>
          <a:endParaRPr lang="es-MX"/>
        </a:p>
      </dgm:t>
    </dgm:pt>
    <dgm:pt modelId="{498AB436-9375-4DE3-947E-334F424D4D19}" type="pres">
      <dgm:prSet presAssocID="{AD0FA20F-E682-4652-B2B5-FDC5D57FE58F}" presName="wedge4" presStyleLbl="node1" presStyleIdx="3" presStyleCnt="5" custScaleX="113461" custScaleY="113461"/>
      <dgm:spPr/>
      <dgm:t>
        <a:bodyPr/>
        <a:lstStyle/>
        <a:p>
          <a:endParaRPr lang="es-MX"/>
        </a:p>
      </dgm:t>
    </dgm:pt>
    <dgm:pt modelId="{85108CB4-0EDC-46BF-AC78-F5D9278FAD45}" type="pres">
      <dgm:prSet presAssocID="{AD0FA20F-E682-4652-B2B5-FDC5D57FE58F}" presName="wedge4Tx" presStyleLbl="node1" presStyleIdx="3" presStyleCnt="5">
        <dgm:presLayoutVars>
          <dgm:chMax val="0"/>
          <dgm:chPref val="0"/>
          <dgm:bulletEnabled val="1"/>
        </dgm:presLayoutVars>
      </dgm:prSet>
      <dgm:spPr/>
      <dgm:t>
        <a:bodyPr/>
        <a:lstStyle/>
        <a:p>
          <a:endParaRPr lang="es-MX"/>
        </a:p>
      </dgm:t>
    </dgm:pt>
    <dgm:pt modelId="{F6FDFAEE-13F6-4937-898F-02B710292B93}" type="pres">
      <dgm:prSet presAssocID="{AD0FA20F-E682-4652-B2B5-FDC5D57FE58F}" presName="wedge5" presStyleLbl="node1" presStyleIdx="4" presStyleCnt="5" custScaleX="113461" custScaleY="113461"/>
      <dgm:spPr/>
      <dgm:t>
        <a:bodyPr/>
        <a:lstStyle/>
        <a:p>
          <a:endParaRPr lang="es-MX"/>
        </a:p>
      </dgm:t>
    </dgm:pt>
    <dgm:pt modelId="{229461B7-FAA9-45E8-BDE8-2E510AF5DB54}" type="pres">
      <dgm:prSet presAssocID="{AD0FA20F-E682-4652-B2B5-FDC5D57FE58F}" presName="wedge5Tx" presStyleLbl="node1" presStyleIdx="4" presStyleCnt="5">
        <dgm:presLayoutVars>
          <dgm:chMax val="0"/>
          <dgm:chPref val="0"/>
          <dgm:bulletEnabled val="1"/>
        </dgm:presLayoutVars>
      </dgm:prSet>
      <dgm:spPr/>
      <dgm:t>
        <a:bodyPr/>
        <a:lstStyle/>
        <a:p>
          <a:endParaRPr lang="es-MX"/>
        </a:p>
      </dgm:t>
    </dgm:pt>
  </dgm:ptLst>
  <dgm:cxnLst>
    <dgm:cxn modelId="{15F68BED-38B6-424B-AE01-FFAC2528599D}" type="presOf" srcId="{C1F1D96A-A496-45E1-8ABA-9031F275015F}" destId="{F9ED7C13-B88F-4B22-B7FC-F76BE3C9A207}" srcOrd="1" destOrd="0" presId="urn:microsoft.com/office/officeart/2005/8/layout/chart3"/>
    <dgm:cxn modelId="{74796507-9050-474E-B765-DA1E18C535BB}" type="presOf" srcId="{AD0FA20F-E682-4652-B2B5-FDC5D57FE58F}" destId="{60880987-9938-4D65-99AF-E4C46A53B40F}" srcOrd="0" destOrd="0" presId="urn:microsoft.com/office/officeart/2005/8/layout/chart3"/>
    <dgm:cxn modelId="{9D685878-E4BA-45F1-95ED-50407479B985}" srcId="{AD0FA20F-E682-4652-B2B5-FDC5D57FE58F}" destId="{ABDE7FD4-A9C7-4A85-9C44-F57FD70239E2}" srcOrd="3" destOrd="0" parTransId="{C5C2FA21-BE71-4623-9424-952B372EFD76}" sibTransId="{3726F729-D6ED-4E44-8925-7D2EDC090528}"/>
    <dgm:cxn modelId="{94B81B28-352B-40BE-9078-3BB76418E6B8}" type="presOf" srcId="{ABDE7FD4-A9C7-4A85-9C44-F57FD70239E2}" destId="{85108CB4-0EDC-46BF-AC78-F5D9278FAD45}" srcOrd="1" destOrd="0" presId="urn:microsoft.com/office/officeart/2005/8/layout/chart3"/>
    <dgm:cxn modelId="{FAD89D09-FB81-4A88-9B3E-D41FC9EBFF03}" type="presOf" srcId="{BDA99ED1-2D36-4181-857E-D88610643B6D}" destId="{F6FDFAEE-13F6-4937-898F-02B710292B93}" srcOrd="0" destOrd="0" presId="urn:microsoft.com/office/officeart/2005/8/layout/chart3"/>
    <dgm:cxn modelId="{B8830BAF-D52D-4B1B-BD8F-0F8FB41CA8E9}" srcId="{AD0FA20F-E682-4652-B2B5-FDC5D57FE58F}" destId="{FEE7C3FF-A2B8-4DBE-8D52-B92383DAAB3F}" srcOrd="1" destOrd="0" parTransId="{1A72B2AD-C081-4788-B4A9-3A5AB024E17B}" sibTransId="{C16C0728-201F-4115-84E1-F682A080FA60}"/>
    <dgm:cxn modelId="{DACFC4D8-C958-4C2C-BB6F-0A14D1AB79FB}" srcId="{AD0FA20F-E682-4652-B2B5-FDC5D57FE58F}" destId="{FF4C27D9-7612-43FE-A715-CA598B72F0A1}" srcOrd="2" destOrd="0" parTransId="{BF1D2E41-0D84-495E-B26C-780E15C2DA79}" sibTransId="{8F09C83F-0C61-43EB-B341-156530C89FAC}"/>
    <dgm:cxn modelId="{A217C1F2-47CF-4867-BBCE-551912A89035}" type="presOf" srcId="{C1F1D96A-A496-45E1-8ABA-9031F275015F}" destId="{A2BB0102-6702-4773-836E-91C52F5C5525}" srcOrd="0" destOrd="0" presId="urn:microsoft.com/office/officeart/2005/8/layout/chart3"/>
    <dgm:cxn modelId="{D312EDE3-D2F0-489A-8F20-D408B2FD0F13}" type="presOf" srcId="{FF4C27D9-7612-43FE-A715-CA598B72F0A1}" destId="{193E0787-C8B6-4143-94F5-17125016D533}" srcOrd="1" destOrd="0" presId="urn:microsoft.com/office/officeart/2005/8/layout/chart3"/>
    <dgm:cxn modelId="{84B0249C-3C69-45B6-9B43-3D8DA1D857E0}" srcId="{AD0FA20F-E682-4652-B2B5-FDC5D57FE58F}" destId="{C1F1D96A-A496-45E1-8ABA-9031F275015F}" srcOrd="0" destOrd="0" parTransId="{D840519F-521C-4755-B4E9-F3E554B1D537}" sibTransId="{C769B04B-AF44-4FC6-A5E7-ACEC4C19CB38}"/>
    <dgm:cxn modelId="{1B6B3C71-C243-40AC-A083-4ABF33E5E642}" type="presOf" srcId="{FEE7C3FF-A2B8-4DBE-8D52-B92383DAAB3F}" destId="{9AFEF4D2-D5D6-4182-9303-4934BB3ACAE0}" srcOrd="1" destOrd="0" presId="urn:microsoft.com/office/officeart/2005/8/layout/chart3"/>
    <dgm:cxn modelId="{BBA5D1AB-74BD-468C-B4A7-AA36593712C7}" type="presOf" srcId="{FF4C27D9-7612-43FE-A715-CA598B72F0A1}" destId="{A51ADE0D-025F-4DF6-8448-5C39461FD58E}" srcOrd="0" destOrd="0" presId="urn:microsoft.com/office/officeart/2005/8/layout/chart3"/>
    <dgm:cxn modelId="{06C079F7-6213-443C-80F9-34767C0115B4}" type="presOf" srcId="{ABDE7FD4-A9C7-4A85-9C44-F57FD70239E2}" destId="{498AB436-9375-4DE3-947E-334F424D4D19}" srcOrd="0" destOrd="0" presId="urn:microsoft.com/office/officeart/2005/8/layout/chart3"/>
    <dgm:cxn modelId="{8E3E4097-3986-4EDA-AD78-D9D9079D724F}" type="presOf" srcId="{FEE7C3FF-A2B8-4DBE-8D52-B92383DAAB3F}" destId="{F59C23EF-4749-49D4-85B6-7DB1DBE05BEA}" srcOrd="0" destOrd="0" presId="urn:microsoft.com/office/officeart/2005/8/layout/chart3"/>
    <dgm:cxn modelId="{02E61DB7-702B-49AA-8934-1489615F2FCB}" type="presOf" srcId="{BDA99ED1-2D36-4181-857E-D88610643B6D}" destId="{229461B7-FAA9-45E8-BDE8-2E510AF5DB54}" srcOrd="1" destOrd="0" presId="urn:microsoft.com/office/officeart/2005/8/layout/chart3"/>
    <dgm:cxn modelId="{C8FA66C9-A256-4D95-BF09-4D950DEA1C07}" srcId="{AD0FA20F-E682-4652-B2B5-FDC5D57FE58F}" destId="{BDA99ED1-2D36-4181-857E-D88610643B6D}" srcOrd="4" destOrd="0" parTransId="{87C6A86F-E3B7-45EE-8934-D2A6427CD1E9}" sibTransId="{49A929A9-B6DE-4062-B668-9039A3E041FD}"/>
    <dgm:cxn modelId="{B236C213-8E3B-4AC2-9F68-E37481B03BE3}" type="presParOf" srcId="{60880987-9938-4D65-99AF-E4C46A53B40F}" destId="{A2BB0102-6702-4773-836E-91C52F5C5525}" srcOrd="0" destOrd="0" presId="urn:microsoft.com/office/officeart/2005/8/layout/chart3"/>
    <dgm:cxn modelId="{5F27DE2C-BDB9-41CC-B4D3-96C5B4AE6FD0}" type="presParOf" srcId="{60880987-9938-4D65-99AF-E4C46A53B40F}" destId="{F9ED7C13-B88F-4B22-B7FC-F76BE3C9A207}" srcOrd="1" destOrd="0" presId="urn:microsoft.com/office/officeart/2005/8/layout/chart3"/>
    <dgm:cxn modelId="{9D11A536-115A-4FA4-8F37-88B14BC3BE39}" type="presParOf" srcId="{60880987-9938-4D65-99AF-E4C46A53B40F}" destId="{F59C23EF-4749-49D4-85B6-7DB1DBE05BEA}" srcOrd="2" destOrd="0" presId="urn:microsoft.com/office/officeart/2005/8/layout/chart3"/>
    <dgm:cxn modelId="{CD32E0A3-8B90-4339-9442-6B0A46C715C2}" type="presParOf" srcId="{60880987-9938-4D65-99AF-E4C46A53B40F}" destId="{9AFEF4D2-D5D6-4182-9303-4934BB3ACAE0}" srcOrd="3" destOrd="0" presId="urn:microsoft.com/office/officeart/2005/8/layout/chart3"/>
    <dgm:cxn modelId="{A86A8590-D171-42EB-962F-B9CEB834B292}" type="presParOf" srcId="{60880987-9938-4D65-99AF-E4C46A53B40F}" destId="{A51ADE0D-025F-4DF6-8448-5C39461FD58E}" srcOrd="4" destOrd="0" presId="urn:microsoft.com/office/officeart/2005/8/layout/chart3"/>
    <dgm:cxn modelId="{0049D753-B431-4915-B82B-C983B7419148}" type="presParOf" srcId="{60880987-9938-4D65-99AF-E4C46A53B40F}" destId="{193E0787-C8B6-4143-94F5-17125016D533}" srcOrd="5" destOrd="0" presId="urn:microsoft.com/office/officeart/2005/8/layout/chart3"/>
    <dgm:cxn modelId="{047262BB-DE13-4E22-AA2D-F7417B57E02E}" type="presParOf" srcId="{60880987-9938-4D65-99AF-E4C46A53B40F}" destId="{498AB436-9375-4DE3-947E-334F424D4D19}" srcOrd="6" destOrd="0" presId="urn:microsoft.com/office/officeart/2005/8/layout/chart3"/>
    <dgm:cxn modelId="{D2F0C8DE-25BF-4A70-8977-86EB214D42F7}" type="presParOf" srcId="{60880987-9938-4D65-99AF-E4C46A53B40F}" destId="{85108CB4-0EDC-46BF-AC78-F5D9278FAD45}" srcOrd="7" destOrd="0" presId="urn:microsoft.com/office/officeart/2005/8/layout/chart3"/>
    <dgm:cxn modelId="{DFAF6579-86C4-4029-BA58-2065682F0DC0}" type="presParOf" srcId="{60880987-9938-4D65-99AF-E4C46A53B40F}" destId="{F6FDFAEE-13F6-4937-898F-02B710292B93}" srcOrd="8" destOrd="0" presId="urn:microsoft.com/office/officeart/2005/8/layout/chart3"/>
    <dgm:cxn modelId="{CDAD82A0-C7A8-4280-AA46-5B6AF2DB68FE}" type="presParOf" srcId="{60880987-9938-4D65-99AF-E4C46A53B40F}" destId="{229461B7-FAA9-45E8-BDE8-2E510AF5DB54}" srcOrd="9" destOrd="0" presId="urn:microsoft.com/office/officeart/2005/8/layout/chart3"/>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8267D6-DD7B-42A6-8756-121DBC87375D}">
      <dsp:nvSpPr>
        <dsp:cNvPr id="0" name=""/>
        <dsp:cNvSpPr/>
      </dsp:nvSpPr>
      <dsp:spPr>
        <a:xfrm>
          <a:off x="3873759" y="617104"/>
          <a:ext cx="1645301" cy="2399979"/>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0" rIns="91440" bIns="20320" numCol="1" spcCol="1270" anchor="ctr" anchorCtr="0">
          <a:noAutofit/>
        </a:bodyPr>
        <a:lstStyle/>
        <a:p>
          <a:pPr lvl="0" algn="r" defTabSz="711200">
            <a:lnSpc>
              <a:spcPct val="90000"/>
            </a:lnSpc>
            <a:spcBef>
              <a:spcPct val="0"/>
            </a:spcBef>
            <a:spcAft>
              <a:spcPct val="35000"/>
            </a:spcAft>
          </a:pPr>
          <a:r>
            <a:rPr lang="es-MX" sz="1600" kern="1200">
              <a:solidFill>
                <a:schemeClr val="bg1"/>
              </a:solidFill>
              <a:latin typeface="Adobe Caslon Pro" pitchFamily="18" charset="0"/>
            </a:rPr>
            <a:t>Básico</a:t>
          </a:r>
        </a:p>
      </dsp:txBody>
      <dsp:txXfrm rot="16200000">
        <a:off x="4184554" y="1483206"/>
        <a:ext cx="2159981" cy="427778"/>
      </dsp:txXfrm>
    </dsp:sp>
    <dsp:sp modelId="{833E21D5-4FDA-44BE-BB50-5E00CAC0B98B}">
      <dsp:nvSpPr>
        <dsp:cNvPr id="0" name=""/>
        <dsp:cNvSpPr/>
      </dsp:nvSpPr>
      <dsp:spPr>
        <a:xfrm>
          <a:off x="2194722" y="270324"/>
          <a:ext cx="1645301" cy="2754656"/>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0" rIns="91440" bIns="20320" numCol="1" spcCol="1270" anchor="ctr" anchorCtr="0">
          <a:noAutofit/>
        </a:bodyPr>
        <a:lstStyle/>
        <a:p>
          <a:pPr lvl="0" algn="r" defTabSz="711200">
            <a:lnSpc>
              <a:spcPct val="90000"/>
            </a:lnSpc>
            <a:spcBef>
              <a:spcPct val="0"/>
            </a:spcBef>
            <a:spcAft>
              <a:spcPct val="35000"/>
            </a:spcAft>
          </a:pPr>
          <a:r>
            <a:rPr lang="es-MX" sz="1600" kern="1200">
              <a:solidFill>
                <a:schemeClr val="bg1"/>
              </a:solidFill>
              <a:latin typeface="Adobe Caslon Pro" pitchFamily="18" charset="0"/>
            </a:rPr>
            <a:t>Medio</a:t>
          </a:r>
        </a:p>
      </dsp:txBody>
      <dsp:txXfrm rot="16200000">
        <a:off x="2345913" y="1296030"/>
        <a:ext cx="2479190" cy="427778"/>
      </dsp:txXfrm>
    </dsp:sp>
    <dsp:sp modelId="{B37E948C-ED89-46A6-8A7A-9194B1B7CB35}">
      <dsp:nvSpPr>
        <dsp:cNvPr id="0" name=""/>
        <dsp:cNvSpPr/>
      </dsp:nvSpPr>
      <dsp:spPr>
        <a:xfrm>
          <a:off x="511611" y="222436"/>
          <a:ext cx="1645301" cy="2801782"/>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0960" tIns="0" rIns="91440" bIns="20320" numCol="1" spcCol="1270" anchor="ctr" anchorCtr="0">
          <a:noAutofit/>
        </a:bodyPr>
        <a:lstStyle/>
        <a:p>
          <a:pPr lvl="0" algn="r" defTabSz="711200">
            <a:lnSpc>
              <a:spcPct val="90000"/>
            </a:lnSpc>
            <a:spcBef>
              <a:spcPct val="0"/>
            </a:spcBef>
            <a:spcAft>
              <a:spcPct val="35000"/>
            </a:spcAft>
          </a:pPr>
          <a:r>
            <a:rPr lang="es-MX" sz="1600" kern="1200">
              <a:solidFill>
                <a:schemeClr val="bg1"/>
              </a:solidFill>
              <a:latin typeface="Adobe Caslon Pro" pitchFamily="18" charset="0"/>
            </a:rPr>
            <a:t>Óptimo</a:t>
          </a:r>
        </a:p>
      </dsp:txBody>
      <dsp:txXfrm rot="16200000">
        <a:off x="641595" y="1269348"/>
        <a:ext cx="2521604" cy="427778"/>
      </dsp:txXfrm>
    </dsp:sp>
    <dsp:sp modelId="{99C2DED9-81C1-4BB4-A3E8-6CECF5C5FC0D}">
      <dsp:nvSpPr>
        <dsp:cNvPr id="0" name=""/>
        <dsp:cNvSpPr/>
      </dsp:nvSpPr>
      <dsp:spPr>
        <a:xfrm>
          <a:off x="536450" y="152442"/>
          <a:ext cx="1120982" cy="2733173"/>
        </a:xfrm>
        <a:prstGeom prst="rect">
          <a:avLst/>
        </a:prstGeom>
        <a:noFill/>
        <a:ln w="38100" cap="flat" cmpd="sng" algn="ctr">
          <a:noFill/>
          <a:prstDash val="solid"/>
        </a:ln>
        <a:effectLst>
          <a:outerShdw blurRad="40000" dist="20000" dir="5400000" rotWithShape="0">
            <a:srgbClr val="000000">
              <a:alpha val="38000"/>
            </a:srgbClr>
          </a:outerShdw>
        </a:effectLst>
        <a:sp3d/>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endParaRPr lang="es-MX" sz="1000" kern="1200">
            <a:solidFill>
              <a:schemeClr val="tx1"/>
            </a:solidFill>
            <a:latin typeface="Adobe Caslon Pro" pitchFamily="18" charset="0"/>
          </a:endParaRPr>
        </a:p>
        <a:p>
          <a:pPr lvl="0" algn="l" defTabSz="444500">
            <a:lnSpc>
              <a:spcPct val="90000"/>
            </a:lnSpc>
            <a:spcBef>
              <a:spcPct val="0"/>
            </a:spcBef>
            <a:spcAft>
              <a:spcPct val="35000"/>
            </a:spcAft>
          </a:pPr>
          <a:r>
            <a:rPr lang="es-MX" sz="1000" kern="1200">
              <a:solidFill>
                <a:schemeClr val="tx1"/>
              </a:solidFill>
              <a:latin typeface="Adobe Caslon Pro" pitchFamily="18" charset="0"/>
            </a:rPr>
            <a:t>Más de 3 años de operación</a:t>
          </a:r>
        </a:p>
        <a:p>
          <a:pPr lvl="0" algn="l" defTabSz="444500">
            <a:lnSpc>
              <a:spcPct val="90000"/>
            </a:lnSpc>
            <a:spcBef>
              <a:spcPct val="0"/>
            </a:spcBef>
            <a:spcAft>
              <a:spcPct val="35000"/>
            </a:spcAft>
          </a:pPr>
          <a:r>
            <a:rPr lang="es-MX" sz="1000" kern="1200">
              <a:solidFill>
                <a:schemeClr val="tx1"/>
              </a:solidFill>
              <a:latin typeface="Adobe Caslon Pro" pitchFamily="18" charset="0"/>
            </a:rPr>
            <a:t>Más de 3 fuentes distintas de ingresos</a:t>
          </a:r>
        </a:p>
        <a:p>
          <a:pPr lvl="0" algn="l" defTabSz="444500">
            <a:lnSpc>
              <a:spcPct val="90000"/>
            </a:lnSpc>
            <a:spcBef>
              <a:spcPct val="0"/>
            </a:spcBef>
            <a:spcAft>
              <a:spcPct val="35000"/>
            </a:spcAft>
          </a:pPr>
          <a:r>
            <a:rPr lang="es-MX" sz="1000" kern="1200">
              <a:solidFill>
                <a:schemeClr val="tx1"/>
              </a:solidFill>
              <a:latin typeface="Adobe Caslon Pro" pitchFamily="18" charset="0"/>
            </a:rPr>
            <a:t> </a:t>
          </a:r>
        </a:p>
      </dsp:txBody>
      <dsp:txXfrm>
        <a:off x="536450" y="152442"/>
        <a:ext cx="1120982" cy="2733173"/>
      </dsp:txXfrm>
    </dsp:sp>
    <dsp:sp modelId="{083A8836-EB63-43B6-8D15-4999CB0AF15A}">
      <dsp:nvSpPr>
        <dsp:cNvPr id="0" name=""/>
        <dsp:cNvSpPr/>
      </dsp:nvSpPr>
      <dsp:spPr>
        <a:xfrm>
          <a:off x="2252799" y="126933"/>
          <a:ext cx="1123974" cy="2978096"/>
        </a:xfrm>
        <a:prstGeom prst="rect">
          <a:avLst/>
        </a:prstGeom>
        <a:noFill/>
        <a:ln w="38100" cap="flat" cmpd="sng" algn="ctr">
          <a:noFill/>
          <a:prstDash val="solid"/>
        </a:ln>
        <a:effectLst>
          <a:outerShdw blurRad="40000" dist="20000" dir="5400000" rotWithShape="0">
            <a:srgbClr val="000000">
              <a:alpha val="38000"/>
            </a:srgbClr>
          </a:outerShdw>
        </a:effectLst>
        <a:sp3d/>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pPr>
          <a:endParaRPr lang="es-MX" sz="1000" kern="1200">
            <a:solidFill>
              <a:schemeClr val="tx1"/>
            </a:solidFill>
            <a:latin typeface="Adobe Caslon Pro" pitchFamily="18" charset="0"/>
          </a:endParaRPr>
        </a:p>
        <a:p>
          <a:pPr lvl="0" algn="l" defTabSz="444500">
            <a:lnSpc>
              <a:spcPct val="90000"/>
            </a:lnSpc>
            <a:spcBef>
              <a:spcPct val="0"/>
            </a:spcBef>
            <a:spcAft>
              <a:spcPct val="35000"/>
            </a:spcAft>
          </a:pPr>
          <a:r>
            <a:rPr lang="es-MX" sz="1000" kern="1200">
              <a:solidFill>
                <a:schemeClr val="tx1"/>
              </a:solidFill>
              <a:latin typeface="Adobe Caslon Pro" pitchFamily="18" charset="0"/>
            </a:rPr>
            <a:t>Consejo directivo o patronato voluntarios cuyos miembros son distintos al equipo profesional</a:t>
          </a:r>
        </a:p>
        <a:p>
          <a:pPr lvl="0" algn="l" defTabSz="444500">
            <a:lnSpc>
              <a:spcPct val="90000"/>
            </a:lnSpc>
            <a:spcBef>
              <a:spcPct val="0"/>
            </a:spcBef>
            <a:spcAft>
              <a:spcPct val="35000"/>
            </a:spcAft>
          </a:pPr>
          <a:r>
            <a:rPr lang="es-MX" sz="1000" kern="1200">
              <a:solidFill>
                <a:schemeClr val="tx1"/>
              </a:solidFill>
              <a:latin typeface="Adobe Caslon Pro" pitchFamily="18" charset="0"/>
            </a:rPr>
            <a:t>Peronsal profesional capacitado</a:t>
          </a:r>
        </a:p>
        <a:p>
          <a:pPr lvl="0" algn="l" defTabSz="444500">
            <a:lnSpc>
              <a:spcPct val="90000"/>
            </a:lnSpc>
            <a:spcBef>
              <a:spcPct val="0"/>
            </a:spcBef>
            <a:spcAft>
              <a:spcPct val="35000"/>
            </a:spcAft>
          </a:pPr>
          <a:r>
            <a:rPr lang="es-MX" sz="1000" kern="1200">
              <a:solidFill>
                <a:schemeClr val="tx1"/>
              </a:solidFill>
              <a:latin typeface="Adobe Caslon Pro" pitchFamily="18" charset="0"/>
            </a:rPr>
            <a:t>Voluntarios trabajando en los programas de nómina</a:t>
          </a:r>
        </a:p>
        <a:p>
          <a:pPr lvl="0" algn="l" defTabSz="444500">
            <a:lnSpc>
              <a:spcPct val="90000"/>
            </a:lnSpc>
            <a:spcBef>
              <a:spcPct val="0"/>
            </a:spcBef>
            <a:spcAft>
              <a:spcPct val="35000"/>
            </a:spcAft>
          </a:pPr>
          <a:r>
            <a:rPr lang="es-MX" sz="1000" kern="1200">
              <a:solidFill>
                <a:schemeClr val="tx1"/>
              </a:solidFill>
              <a:latin typeface="Adobe Caslon Pro" pitchFamily="18" charset="0"/>
            </a:rPr>
            <a:t> </a:t>
          </a:r>
        </a:p>
        <a:p>
          <a:pPr lvl="0" algn="l" defTabSz="444500">
            <a:lnSpc>
              <a:spcPct val="90000"/>
            </a:lnSpc>
            <a:spcBef>
              <a:spcPct val="0"/>
            </a:spcBef>
            <a:spcAft>
              <a:spcPct val="35000"/>
            </a:spcAft>
          </a:pPr>
          <a:r>
            <a:rPr lang="es-MX" sz="1000" kern="1200">
              <a:solidFill>
                <a:schemeClr val="tx1"/>
              </a:solidFill>
              <a:latin typeface="Adobe Caslon Pro" pitchFamily="18" charset="0"/>
            </a:rPr>
            <a:t> </a:t>
          </a:r>
        </a:p>
      </dsp:txBody>
      <dsp:txXfrm>
        <a:off x="2252799" y="126933"/>
        <a:ext cx="1123974" cy="2978096"/>
      </dsp:txXfrm>
    </dsp:sp>
    <dsp:sp modelId="{580B75DE-DAB2-4D12-99F4-8A8FC96ECED9}">
      <dsp:nvSpPr>
        <dsp:cNvPr id="0" name=""/>
        <dsp:cNvSpPr/>
      </dsp:nvSpPr>
      <dsp:spPr>
        <a:xfrm>
          <a:off x="3893984" y="650728"/>
          <a:ext cx="1151935" cy="2414061"/>
        </a:xfrm>
        <a:prstGeom prst="rect">
          <a:avLst/>
        </a:prstGeom>
        <a:noFill/>
        <a:ln w="38100" cap="flat" cmpd="sng" algn="ctr">
          <a:noFill/>
          <a:prstDash val="solid"/>
        </a:ln>
        <a:effectLst>
          <a:outerShdw blurRad="40000" dist="20000" dir="5400000" rotWithShape="0">
            <a:srgbClr val="000000">
              <a:alpha val="38000"/>
            </a:srgbClr>
          </a:outerShdw>
        </a:effectLst>
        <a:sp3d/>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endParaRPr lang="es-MX" sz="900" kern="1200">
            <a:solidFill>
              <a:schemeClr val="tx1"/>
            </a:solidFill>
            <a:latin typeface="Adobe Caslon Pro" pitchFamily="18" charset="0"/>
          </a:endParaRPr>
        </a:p>
        <a:p>
          <a:pPr lvl="0" algn="l" defTabSz="400050">
            <a:lnSpc>
              <a:spcPct val="90000"/>
            </a:lnSpc>
            <a:spcBef>
              <a:spcPct val="0"/>
            </a:spcBef>
            <a:spcAft>
              <a:spcPct val="35000"/>
            </a:spcAft>
          </a:pPr>
          <a:r>
            <a:rPr lang="es-MX" sz="900" kern="1200">
              <a:solidFill>
                <a:schemeClr val="tx1"/>
              </a:solidFill>
              <a:latin typeface="Adobe Caslon Pro" pitchFamily="18" charset="0"/>
            </a:rPr>
            <a:t>Acta constitutiva registrada ante notario</a:t>
          </a:r>
        </a:p>
        <a:p>
          <a:pPr lvl="0" algn="l" defTabSz="400050">
            <a:lnSpc>
              <a:spcPct val="90000"/>
            </a:lnSpc>
            <a:spcBef>
              <a:spcPct val="0"/>
            </a:spcBef>
            <a:spcAft>
              <a:spcPct val="35000"/>
            </a:spcAft>
          </a:pPr>
          <a:r>
            <a:rPr lang="es-MX" sz="900" kern="1200">
              <a:solidFill>
                <a:schemeClr val="tx1"/>
              </a:solidFill>
              <a:latin typeface="Adobe Caslon Pro" pitchFamily="18" charset="0"/>
            </a:rPr>
            <a:t>Autorización de la SHCP como donataria autorizada</a:t>
          </a:r>
        </a:p>
        <a:p>
          <a:pPr lvl="0" algn="l" defTabSz="400050">
            <a:lnSpc>
              <a:spcPct val="90000"/>
            </a:lnSpc>
            <a:spcBef>
              <a:spcPct val="0"/>
            </a:spcBef>
            <a:spcAft>
              <a:spcPct val="35000"/>
            </a:spcAft>
          </a:pPr>
          <a:r>
            <a:rPr lang="es-MX" sz="900" kern="1200">
              <a:solidFill>
                <a:schemeClr val="tx1"/>
              </a:solidFill>
              <a:latin typeface="Adobe Caslon Pro" pitchFamily="18" charset="0"/>
            </a:rPr>
            <a:t>Domicilio y teléfono verificables</a:t>
          </a:r>
        </a:p>
        <a:p>
          <a:pPr lvl="0" algn="l" defTabSz="400050">
            <a:lnSpc>
              <a:spcPct val="90000"/>
            </a:lnSpc>
            <a:spcBef>
              <a:spcPct val="0"/>
            </a:spcBef>
            <a:spcAft>
              <a:spcPct val="35000"/>
            </a:spcAft>
          </a:pPr>
          <a:r>
            <a:rPr lang="es-MX" sz="900" kern="1200">
              <a:solidFill>
                <a:schemeClr val="tx1"/>
              </a:solidFill>
              <a:latin typeface="Adobe Caslon Pro" pitchFamily="18" charset="0"/>
            </a:rPr>
            <a:t>Informe anual de actividades y estados financieros auditados</a:t>
          </a:r>
        </a:p>
        <a:p>
          <a:pPr lvl="0" algn="l" defTabSz="400050">
            <a:lnSpc>
              <a:spcPct val="90000"/>
            </a:lnSpc>
            <a:spcBef>
              <a:spcPct val="0"/>
            </a:spcBef>
            <a:spcAft>
              <a:spcPct val="35000"/>
            </a:spcAft>
          </a:pPr>
          <a:endParaRPr lang="es-MX" sz="900" kern="1200">
            <a:solidFill>
              <a:schemeClr val="tx1"/>
            </a:solidFill>
            <a:latin typeface="Adobe Caslon Pro" pitchFamily="18" charset="0"/>
          </a:endParaRPr>
        </a:p>
      </dsp:txBody>
      <dsp:txXfrm>
        <a:off x="3893984" y="650728"/>
        <a:ext cx="1151935" cy="24140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8A4FF1-FB0B-4FFD-9F56-3FE71E047E12}">
      <dsp:nvSpPr>
        <dsp:cNvPr id="0" name=""/>
        <dsp:cNvSpPr/>
      </dsp:nvSpPr>
      <dsp:spPr>
        <a:xfrm>
          <a:off x="2002463" y="66850"/>
          <a:ext cx="1829317" cy="177251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MX" sz="1000" kern="1200">
              <a:solidFill>
                <a:schemeClr val="bg1"/>
              </a:solidFill>
              <a:latin typeface="Adobe Caslon Pro" pitchFamily="18" charset="0"/>
            </a:rPr>
            <a:t>1. La preocupación por la </a:t>
          </a:r>
          <a:r>
            <a:rPr lang="es-MX" sz="1000" b="1" kern="1200">
              <a:solidFill>
                <a:schemeClr val="bg1"/>
              </a:solidFill>
              <a:latin typeface="Adobe Caslon Pro" pitchFamily="18" charset="0"/>
            </a:rPr>
            <a:t>disposición de los recursos </a:t>
          </a:r>
          <a:r>
            <a:rPr lang="es-MX" sz="1000" kern="1200">
              <a:solidFill>
                <a:schemeClr val="bg1"/>
              </a:solidFill>
              <a:latin typeface="Adobe Caslon Pro" pitchFamily="18" charset="0"/>
            </a:rPr>
            <a:t>y </a:t>
          </a:r>
          <a:r>
            <a:rPr lang="es-MX" sz="1000" b="1" kern="1200">
              <a:solidFill>
                <a:schemeClr val="bg1"/>
              </a:solidFill>
              <a:latin typeface="Adobe Caslon Pro" pitchFamily="18" charset="0"/>
            </a:rPr>
            <a:t>estructuras</a:t>
          </a:r>
          <a:r>
            <a:rPr lang="es-MX" sz="1000" kern="1200">
              <a:solidFill>
                <a:schemeClr val="bg1"/>
              </a:solidFill>
              <a:latin typeface="Adobe Caslon Pro" pitchFamily="18" charset="0"/>
            </a:rPr>
            <a:t> necesarias para que tenga lugar</a:t>
          </a:r>
        </a:p>
      </dsp:txBody>
      <dsp:txXfrm>
        <a:off x="2270360" y="326429"/>
        <a:ext cx="1293523" cy="1253355"/>
      </dsp:txXfrm>
    </dsp:sp>
    <dsp:sp modelId="{E677F16F-22F2-439F-ADCD-EAC095ED3178}">
      <dsp:nvSpPr>
        <dsp:cNvPr id="0" name=""/>
        <dsp:cNvSpPr/>
      </dsp:nvSpPr>
      <dsp:spPr>
        <a:xfrm rot="2385118">
          <a:off x="3660742" y="1419081"/>
          <a:ext cx="243647" cy="50771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MX" sz="1100" kern="1200">
            <a:latin typeface="Adobe Caslon Pro" pitchFamily="18" charset="0"/>
          </a:endParaRPr>
        </a:p>
      </dsp:txBody>
      <dsp:txXfrm>
        <a:off x="3669191" y="1497253"/>
        <a:ext cx="170553" cy="304631"/>
      </dsp:txXfrm>
    </dsp:sp>
    <dsp:sp modelId="{B4A1078F-F966-4AE6-9FEA-E6A1237A5307}">
      <dsp:nvSpPr>
        <dsp:cNvPr id="0" name=""/>
        <dsp:cNvSpPr/>
      </dsp:nvSpPr>
      <dsp:spPr>
        <a:xfrm>
          <a:off x="3754741" y="1496741"/>
          <a:ext cx="1816154" cy="181669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MX" sz="1000" kern="1200">
              <a:solidFill>
                <a:schemeClr val="bg1"/>
              </a:solidFill>
              <a:latin typeface="Adobe Caslon Pro" pitchFamily="18" charset="0"/>
            </a:rPr>
            <a:t>2. La </a:t>
          </a:r>
          <a:r>
            <a:rPr lang="es-MX" sz="1000" b="1" kern="1200">
              <a:solidFill>
                <a:schemeClr val="bg1"/>
              </a:solidFill>
              <a:latin typeface="Adobe Caslon Pro" pitchFamily="18" charset="0"/>
            </a:rPr>
            <a:t>coordinación</a:t>
          </a:r>
          <a:r>
            <a:rPr lang="es-MX" sz="1000" kern="1200">
              <a:solidFill>
                <a:schemeClr val="bg1"/>
              </a:solidFill>
              <a:latin typeface="Adobe Caslon Pro" pitchFamily="18" charset="0"/>
            </a:rPr>
            <a:t> de sus </a:t>
          </a:r>
          <a:r>
            <a:rPr lang="es-MX" sz="1000" b="1" kern="1200">
              <a:solidFill>
                <a:schemeClr val="bg1"/>
              </a:solidFill>
              <a:latin typeface="Adobe Caslon Pro" pitchFamily="18" charset="0"/>
            </a:rPr>
            <a:t>actividades</a:t>
          </a:r>
          <a:r>
            <a:rPr lang="es-MX" sz="1000" kern="1200">
              <a:solidFill>
                <a:schemeClr val="bg1"/>
              </a:solidFill>
              <a:latin typeface="Adobe Caslon Pro" pitchFamily="18" charset="0"/>
            </a:rPr>
            <a:t> y sus correspondientes interacciones</a:t>
          </a:r>
        </a:p>
      </dsp:txBody>
      <dsp:txXfrm>
        <a:off x="4020711" y="1762790"/>
        <a:ext cx="1284214" cy="1284597"/>
      </dsp:txXfrm>
    </dsp:sp>
    <dsp:sp modelId="{D4F8C7B8-8B06-4E73-8A2C-DBB8496CA3B1}">
      <dsp:nvSpPr>
        <dsp:cNvPr id="0" name=""/>
        <dsp:cNvSpPr/>
      </dsp:nvSpPr>
      <dsp:spPr>
        <a:xfrm rot="10689269">
          <a:off x="2490242" y="2206827"/>
          <a:ext cx="894212" cy="50771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MX" sz="1100" kern="1200">
            <a:latin typeface="Adobe Caslon Pro" pitchFamily="18" charset="0"/>
          </a:endParaRPr>
        </a:p>
      </dsp:txBody>
      <dsp:txXfrm rot="10800000">
        <a:off x="2642517" y="2305917"/>
        <a:ext cx="741897" cy="304631"/>
      </dsp:txXfrm>
    </dsp:sp>
    <dsp:sp modelId="{B30D4CA3-1F3E-43DD-B0FA-44D0578D1501}">
      <dsp:nvSpPr>
        <dsp:cNvPr id="0" name=""/>
        <dsp:cNvSpPr/>
      </dsp:nvSpPr>
      <dsp:spPr>
        <a:xfrm>
          <a:off x="294782" y="1631153"/>
          <a:ext cx="1774574" cy="177218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MX" sz="1000" kern="1200">
              <a:solidFill>
                <a:schemeClr val="bg1"/>
              </a:solidFill>
              <a:latin typeface="Adobe Caslon Pro" pitchFamily="18" charset="0"/>
            </a:rPr>
            <a:t>3. La </a:t>
          </a:r>
          <a:r>
            <a:rPr lang="es-MX" sz="1000" b="1" kern="1200">
              <a:solidFill>
                <a:schemeClr val="bg1"/>
              </a:solidFill>
              <a:latin typeface="Adobe Caslon Pro" pitchFamily="18" charset="0"/>
            </a:rPr>
            <a:t>rendición de cuentas </a:t>
          </a:r>
          <a:r>
            <a:rPr lang="es-MX" sz="1000" kern="1200">
              <a:solidFill>
                <a:schemeClr val="bg1"/>
              </a:solidFill>
              <a:latin typeface="Adobe Caslon Pro" pitchFamily="18" charset="0"/>
            </a:rPr>
            <a:t>ante los agentes interesados por los efectos que se espera que el proceso desencadene</a:t>
          </a:r>
        </a:p>
      </dsp:txBody>
      <dsp:txXfrm>
        <a:off x="554662" y="1890683"/>
        <a:ext cx="1254814" cy="1253122"/>
      </dsp:txXfrm>
    </dsp:sp>
    <dsp:sp modelId="{9BC70145-9F88-41E7-9D89-0001F438AE33}">
      <dsp:nvSpPr>
        <dsp:cNvPr id="0" name=""/>
        <dsp:cNvSpPr/>
      </dsp:nvSpPr>
      <dsp:spPr>
        <a:xfrm rot="19077935">
          <a:off x="1892850" y="1491786"/>
          <a:ext cx="290262" cy="50771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s-MX" sz="1100" kern="1200">
            <a:latin typeface="Adobe Caslon Pro" pitchFamily="18" charset="0"/>
          </a:endParaRPr>
        </a:p>
      </dsp:txBody>
      <dsp:txXfrm>
        <a:off x="1904051" y="1622482"/>
        <a:ext cx="203183" cy="30463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BB0102-6702-4773-836E-91C52F5C5525}">
      <dsp:nvSpPr>
        <dsp:cNvPr id="0" name=""/>
        <dsp:cNvSpPr/>
      </dsp:nvSpPr>
      <dsp:spPr>
        <a:xfrm>
          <a:off x="1076289" y="9544"/>
          <a:ext cx="2830412" cy="2830412"/>
        </a:xfrm>
        <a:prstGeom prst="pie">
          <a:avLst>
            <a:gd name="adj1" fmla="val 16200000"/>
            <a:gd name="adj2" fmla="val 2052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kern="1200">
              <a:latin typeface="Adobe Caslon Pro" pitchFamily="18" charset="0"/>
            </a:rPr>
            <a:t>ASOCIACIÓN</a:t>
          </a:r>
          <a:r>
            <a:rPr lang="es-MX" sz="900" kern="1200">
              <a:latin typeface="Adobe Caslon Pro" pitchFamily="18" charset="0"/>
            </a:rPr>
            <a:t> </a:t>
          </a:r>
          <a:r>
            <a:rPr lang="es-MX" sz="900" b="1" kern="1200">
              <a:latin typeface="Adobe Caslon Pro" pitchFamily="18" charset="0"/>
            </a:rPr>
            <a:t>Confianza</a:t>
          </a:r>
        </a:p>
        <a:p>
          <a:pPr lvl="0" algn="ctr" defTabSz="355600">
            <a:lnSpc>
              <a:spcPct val="90000"/>
            </a:lnSpc>
            <a:spcBef>
              <a:spcPct val="0"/>
            </a:spcBef>
            <a:spcAft>
              <a:spcPct val="35000"/>
            </a:spcAft>
          </a:pPr>
          <a:r>
            <a:rPr lang="es-MX" sz="700" b="1" kern="1200">
              <a:latin typeface="Adobe Caslon Pro" pitchFamily="18" charset="0"/>
            </a:rPr>
            <a:t>5. </a:t>
          </a:r>
          <a:r>
            <a:rPr lang="es-MX" sz="700" kern="1200">
              <a:latin typeface="Adobe Caslon Pro" pitchFamily="18" charset="0"/>
            </a:rPr>
            <a:t>Compartir objetivos y proyecto</a:t>
          </a:r>
          <a:endParaRPr lang="es-MX" sz="700" b="1" kern="1200">
            <a:latin typeface="Adobe Caslon Pro" pitchFamily="18" charset="0"/>
          </a:endParaRPr>
        </a:p>
      </dsp:txBody>
      <dsp:txXfrm>
        <a:off x="2527213" y="432421"/>
        <a:ext cx="960318" cy="657060"/>
      </dsp:txXfrm>
    </dsp:sp>
    <dsp:sp modelId="{F59C23EF-4749-49D4-85B6-7DB1DBE05BEA}">
      <dsp:nvSpPr>
        <dsp:cNvPr id="0" name=""/>
        <dsp:cNvSpPr/>
      </dsp:nvSpPr>
      <dsp:spPr>
        <a:xfrm>
          <a:off x="988978" y="129820"/>
          <a:ext cx="2830412" cy="2830412"/>
        </a:xfrm>
        <a:prstGeom prst="pie">
          <a:avLst>
            <a:gd name="adj1" fmla="val 20520000"/>
            <a:gd name="adj2" fmla="val 324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kern="1200">
              <a:latin typeface="Adobe Caslon Pro" pitchFamily="18" charset="0"/>
            </a:rPr>
            <a:t>COOPERACIÓN </a:t>
          </a:r>
          <a:r>
            <a:rPr lang="es-MX" sz="900" b="1" kern="1200">
              <a:latin typeface="Adobe Caslon Pro" pitchFamily="18" charset="0"/>
            </a:rPr>
            <a:t>Solidaridad</a:t>
          </a:r>
        </a:p>
        <a:p>
          <a:pPr lvl="0" algn="ctr" defTabSz="355600">
            <a:lnSpc>
              <a:spcPct val="90000"/>
            </a:lnSpc>
            <a:spcBef>
              <a:spcPct val="0"/>
            </a:spcBef>
            <a:spcAft>
              <a:spcPct val="35000"/>
            </a:spcAft>
          </a:pPr>
          <a:r>
            <a:rPr lang="es-MX" sz="700" b="1" kern="1200">
              <a:latin typeface="Adobe Caslon Pro" pitchFamily="18" charset="0"/>
            </a:rPr>
            <a:t>4. </a:t>
          </a:r>
          <a:r>
            <a:rPr lang="es-MX" sz="700" kern="1200">
              <a:latin typeface="Adobe Caslon Pro" pitchFamily="18" charset="0"/>
            </a:rPr>
            <a:t>Compartir actividades y recursos</a:t>
          </a:r>
          <a:endParaRPr lang="es-MX" sz="700" b="1" kern="1200">
            <a:latin typeface="Adobe Caslon Pro" pitchFamily="18" charset="0"/>
          </a:endParaRPr>
        </a:p>
      </dsp:txBody>
      <dsp:txXfrm>
        <a:off x="2838855" y="1410244"/>
        <a:ext cx="842384" cy="710972"/>
      </dsp:txXfrm>
    </dsp:sp>
    <dsp:sp modelId="{A51ADE0D-025F-4DF6-8448-5C39461FD58E}">
      <dsp:nvSpPr>
        <dsp:cNvPr id="0" name=""/>
        <dsp:cNvSpPr/>
      </dsp:nvSpPr>
      <dsp:spPr>
        <a:xfrm>
          <a:off x="988978" y="129820"/>
          <a:ext cx="2830412" cy="2830412"/>
        </a:xfrm>
        <a:prstGeom prst="pie">
          <a:avLst>
            <a:gd name="adj1" fmla="val 3240000"/>
            <a:gd name="adj2" fmla="val 756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s-MX" sz="800" kern="1200">
              <a:latin typeface="Adobe Caslon Pro" pitchFamily="18" charset="0"/>
            </a:rPr>
            <a:t>COLABORACIÓN </a:t>
          </a:r>
          <a:r>
            <a:rPr lang="es-MX" sz="900" b="1" kern="1200">
              <a:latin typeface="Adobe Caslon Pro" pitchFamily="18" charset="0"/>
            </a:rPr>
            <a:t>Reciprocidad</a:t>
          </a:r>
        </a:p>
        <a:p>
          <a:pPr lvl="0" algn="ctr" defTabSz="355600">
            <a:lnSpc>
              <a:spcPct val="90000"/>
            </a:lnSpc>
            <a:spcBef>
              <a:spcPct val="0"/>
            </a:spcBef>
            <a:spcAft>
              <a:spcPct val="35000"/>
            </a:spcAft>
          </a:pPr>
          <a:r>
            <a:rPr lang="es-MX" sz="700" b="1" kern="1200">
              <a:latin typeface="Adobe Caslon Pro" pitchFamily="18" charset="0"/>
            </a:rPr>
            <a:t>3. </a:t>
          </a:r>
          <a:r>
            <a:rPr lang="es-MX" sz="700" kern="1200">
              <a:latin typeface="Adobe Caslon Pro" pitchFamily="18" charset="0"/>
            </a:rPr>
            <a:t>Prestar ayuda esporádicamente</a:t>
          </a:r>
          <a:endParaRPr lang="es-MX" sz="700" b="1" kern="1200">
            <a:latin typeface="Adobe Caslon Pro" pitchFamily="18" charset="0"/>
          </a:endParaRPr>
        </a:p>
      </dsp:txBody>
      <dsp:txXfrm>
        <a:off x="1898753" y="2252629"/>
        <a:ext cx="1010861" cy="606516"/>
      </dsp:txXfrm>
    </dsp:sp>
    <dsp:sp modelId="{498AB436-9375-4DE3-947E-334F424D4D19}">
      <dsp:nvSpPr>
        <dsp:cNvPr id="0" name=""/>
        <dsp:cNvSpPr/>
      </dsp:nvSpPr>
      <dsp:spPr>
        <a:xfrm>
          <a:off x="988978" y="129820"/>
          <a:ext cx="2830412" cy="2830412"/>
        </a:xfrm>
        <a:prstGeom prst="pie">
          <a:avLst>
            <a:gd name="adj1" fmla="val 7560000"/>
            <a:gd name="adj2" fmla="val 1188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MX" sz="700" kern="1200">
              <a:latin typeface="Adobe Caslon Pro" pitchFamily="18" charset="0"/>
            </a:rPr>
            <a:t>CONOCIMIENTO</a:t>
          </a:r>
          <a:r>
            <a:rPr lang="es-MX" sz="900" kern="1200">
              <a:latin typeface="Adobe Caslon Pro" pitchFamily="18" charset="0"/>
            </a:rPr>
            <a:t> </a:t>
          </a:r>
          <a:r>
            <a:rPr lang="es-MX" sz="900" b="1" kern="1200">
              <a:latin typeface="Adobe Caslon Pro" pitchFamily="18" charset="0"/>
            </a:rPr>
            <a:t>Interés</a:t>
          </a:r>
        </a:p>
        <a:p>
          <a:pPr lvl="0" algn="ctr" defTabSz="311150">
            <a:lnSpc>
              <a:spcPct val="90000"/>
            </a:lnSpc>
            <a:spcBef>
              <a:spcPct val="0"/>
            </a:spcBef>
            <a:spcAft>
              <a:spcPct val="35000"/>
            </a:spcAft>
          </a:pPr>
          <a:r>
            <a:rPr lang="es-MX" sz="700" b="1" kern="1200">
              <a:latin typeface="Adobe Caslon Pro" pitchFamily="18" charset="0"/>
            </a:rPr>
            <a:t>2. </a:t>
          </a:r>
          <a:r>
            <a:rPr lang="es-MX" sz="700" kern="1200">
              <a:latin typeface="Adobe Caslon Pro" pitchFamily="18" charset="0"/>
            </a:rPr>
            <a:t>Conocer lo que hace el otro</a:t>
          </a:r>
          <a:endParaRPr lang="es-MX" sz="700" b="1" kern="1200">
            <a:latin typeface="Adobe Caslon Pro" pitchFamily="18" charset="0"/>
          </a:endParaRPr>
        </a:p>
      </dsp:txBody>
      <dsp:txXfrm>
        <a:off x="1123760" y="1410244"/>
        <a:ext cx="842384" cy="710972"/>
      </dsp:txXfrm>
    </dsp:sp>
    <dsp:sp modelId="{F6FDFAEE-13F6-4937-898F-02B710292B93}">
      <dsp:nvSpPr>
        <dsp:cNvPr id="0" name=""/>
        <dsp:cNvSpPr/>
      </dsp:nvSpPr>
      <dsp:spPr>
        <a:xfrm>
          <a:off x="988978" y="129820"/>
          <a:ext cx="2830412" cy="2830412"/>
        </a:xfrm>
        <a:prstGeom prst="pie">
          <a:avLst>
            <a:gd name="adj1" fmla="val 11880000"/>
            <a:gd name="adj2" fmla="val 1620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s-MX" sz="700" kern="1200">
              <a:latin typeface="Adobe Caslon Pro" pitchFamily="18" charset="0"/>
            </a:rPr>
            <a:t>RECONOCIMIENTO</a:t>
          </a:r>
          <a:r>
            <a:rPr lang="es-MX" sz="800" kern="1200">
              <a:latin typeface="Adobe Caslon Pro" pitchFamily="18" charset="0"/>
            </a:rPr>
            <a:t> </a:t>
          </a:r>
          <a:r>
            <a:rPr lang="es-MX" sz="900" b="1" kern="1200">
              <a:latin typeface="Adobe Caslon Pro" pitchFamily="18" charset="0"/>
            </a:rPr>
            <a:t>Aceptación</a:t>
          </a:r>
        </a:p>
        <a:p>
          <a:pPr lvl="0" algn="ctr" defTabSz="311150">
            <a:lnSpc>
              <a:spcPct val="90000"/>
            </a:lnSpc>
            <a:spcBef>
              <a:spcPct val="0"/>
            </a:spcBef>
            <a:spcAft>
              <a:spcPct val="35000"/>
            </a:spcAft>
          </a:pPr>
          <a:r>
            <a:rPr lang="es-MX" sz="800" b="1" kern="1200">
              <a:latin typeface="Adobe Caslon Pro" pitchFamily="18" charset="0"/>
            </a:rPr>
            <a:t>1. </a:t>
          </a:r>
          <a:r>
            <a:rPr lang="es-MX" sz="800" kern="1200">
              <a:latin typeface="Adobe Caslon Pro" pitchFamily="18" charset="0"/>
            </a:rPr>
            <a:t>Reconocer que el otro existe</a:t>
          </a:r>
          <a:endParaRPr lang="es-MX" sz="800" b="1" kern="1200">
            <a:latin typeface="Adobe Caslon Pro" pitchFamily="18" charset="0"/>
          </a:endParaRPr>
        </a:p>
      </dsp:txBody>
      <dsp:txXfrm>
        <a:off x="1401747" y="561121"/>
        <a:ext cx="960318" cy="657060"/>
      </dsp:txXfrm>
    </dsp:sp>
  </dsp:spTree>
</dsp:drawing>
</file>

<file path=word/diagrams/layout1.xml><?xml version="1.0" encoding="utf-8"?>
<dgm:layoutDef xmlns:dgm="http://schemas.openxmlformats.org/drawingml/2006/diagram" xmlns:a="http://schemas.openxmlformats.org/drawingml/2006/main" uniqueId="urn:microsoft.com/office/officeart/2009/3/layout/BlockDescendingList">
  <dgm:title val=""/>
  <dgm:desc val=""/>
  <dgm:catLst>
    <dgm:cat type="list" pri="185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13" srcId="10" destId="11" srcOrd="0" destOrd="0"/>
        <dgm:cxn modelId="14" srcId="10" destId="12" srcOrd="0" destOrd="0"/>
        <dgm:cxn modelId="50" srcId="0" destId="20" srcOrd="1" destOrd="0"/>
        <dgm:cxn modelId="23" srcId="20" destId="21" srcOrd="0" destOrd="0"/>
        <dgm:cxn modelId="24" srcId="20" destId="22" srcOrd="0" destOrd="0"/>
        <dgm:cxn modelId="60" srcId="0" destId="30" srcOrd="2" destOrd="0"/>
        <dgm:cxn modelId="33" srcId="30" destId="31" srcOrd="0" destOrd="0"/>
        <dgm:cxn modelId="34" srcId="30" destId="32"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70">
          <dgm:prSet phldr="1"/>
        </dgm:pt>
      </dgm:ptLst>
      <dgm:cxnLst>
        <dgm:cxn modelId="40" srcId="0" destId="10" srcOrd="0" destOrd="0"/>
        <dgm:cxn modelId="50" srcId="0" destId="20" srcOrd="1" destOrd="0"/>
        <dgm:cxn modelId="60" srcId="0" destId="30" srcOrd="2" destOrd="0"/>
        <dgm:cxn modelId="80" srcId="0" destId="7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axis="ch" ptType="node" func="cnt" op="equ" val="1">
        <dgm:alg type="composite">
          <dgm:param type="ar" val="0.5516"/>
        </dgm:alg>
        <dgm:choose name="Name3">
          <dgm:if name="Name4"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l" for="ch" forName="accentShape_1" refType="w" fact="0"/>
              <dgm:constr type="t" for="ch" forName="accentShape_1" refType="h" fact="0"/>
              <dgm:constr type="w" for="ch" forName="accentShape_1" refType="w" fact="0.7146"/>
              <dgm:constr type="h" for="ch" forName="accentShape_1" refType="h" fact="0.9952"/>
              <dgm:constr type="l" for="ch" forName="parentText_1" refType="w" fact="0.513"/>
              <dgm:constr type="t" for="ch" forName="parentText_1" refType="h" fact="0"/>
              <dgm:constr type="w" for="ch" forName="parentText_1" refType="w" refFor="ch" refForName="accentShape_1" fact="0.26"/>
              <dgm:constr type="h" for="ch" forName="parentText_1" refType="h" fact="0.78"/>
              <dgm:constr type="l" for="ch" forName="childText_1" refType="w" fact="0"/>
              <dgm:constr type="t" for="ch" forName="childText_1" refType="h" fact="0"/>
              <dgm:constr type="w" for="ch" forName="childText_1" refType="w" refFor="ch" refForName="accentShape_1" fact="0.71"/>
              <dgm:constr type="h" for="ch" forName="childText_1" refType="h"/>
            </dgm:constrLst>
          </dgm:if>
          <dgm:else name="Name5">
            <dgm:constrLst>
              <dgm:constr type="primFontSz" for="des" forName="childText_1" val="65"/>
              <dgm:constr type="primFontSz" for="des" forName="parentText_1" val="65"/>
              <dgm:constr type="primFontSz" for="des" forName="childText_1" refType="primFontSz" refFor="des" refForName="parentText_1" op="lte"/>
              <dgm:constr type="l" for="ch" forName="accentShape_1" refType="w" fact="0"/>
              <dgm:constr type="t" for="ch" forName="accentShape_1" refType="h" fact="0"/>
              <dgm:constr type="w" for="ch" forName="accentShape_1" refType="w" fact="0.7146"/>
              <dgm:constr type="h" for="ch" forName="accentShape_1" refType="h" fact="0.9952"/>
              <dgm:constr type="l" for="ch" forName="parentText_1" refType="w" fact="0.513"/>
              <dgm:constr type="t" for="ch" forName="parentText_1" refType="h" fact="0"/>
              <dgm:constr type="w" for="ch" forName="parentText_1" refType="w" refFor="ch" refForName="accentShape_1" fact="0.26"/>
              <dgm:constr type="h" for="ch" forName="parentText_1" refType="h" fact="0.78"/>
              <dgm:constr type="l" for="ch" forName="childText_1" refType="w" fact="0"/>
              <dgm:constr type="t" for="ch" forName="childText_1" refType="h" fact="0"/>
              <dgm:constr type="w" for="ch" forName="childText_1" refType="w" refFor="ch" refForName="accentShape_1" fact="0.71"/>
              <dgm:constr type="h" for="ch" forName="childText_1" refType="h"/>
            </dgm:constrLst>
          </dgm:else>
        </dgm:choose>
      </dgm:if>
      <dgm:if name="Name6" axis="ch" ptType="node" func="cnt" op="equ" val="2">
        <dgm:alg type="composite">
          <dgm:param type="ar" val="0.9804"/>
        </dgm:alg>
        <dgm:choose name="Name7">
          <dgm:if name="Name8"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parentText_2" refType="primFontSz" refFor="des" refForName="parentText_1" op="equ"/>
              <dgm:constr type="primFontSz" for="des" forName="childText_2" refType="primFontSz" refFor="des" refForName="childText_1" op="equ"/>
              <dgm:constr type="l" for="ch" forName="accentShape_2" refType="w" fact="0.4393"/>
              <dgm:constr type="t" for="ch" forName="accentShape_2" refType="h" fact="0.1192"/>
              <dgm:constr type="w" for="ch" forName="accentShape_2" refType="w" fact="0.4021"/>
              <dgm:constr type="h" for="ch" forName="accentShape_2" refType="h" fact="0.876"/>
              <dgm:constr type="l" for="ch" forName="accentShape_1" refType="w" fact="0"/>
              <dgm:constr type="t" for="ch" forName="accentShape_1" refType="h" fact="0"/>
              <dgm:constr type="w" for="ch" forName="accentShape_1" refType="w" fact="0.4021"/>
              <dgm:constr type="h" for="ch" forName="accentShape_1" refType="h" fact="0.9952"/>
              <dgm:constr type="l" for="ch" forName="parentText_1" refType="w" fact="0.2946"/>
              <dgm:constr type="t" for="ch" forName="parentText_1" refType="h" fact="0"/>
              <dgm:constr type="w" for="ch" forName="parentText_1" refType="w" refFor="ch" refForName="accentShape_1" fact="0.26"/>
              <dgm:constr type="h" for="ch" forName="parentText_1" refType="h" fact="0.78"/>
              <dgm:constr type="l" for="ch" forName="parentText_2" refType="w" fact="0.7339"/>
              <dgm:constr type="t" for="ch" forName="parentText_2" refType="h" fact="0.1192"/>
              <dgm:constr type="w" for="ch" forName="parentText_2" refType="w" refFor="ch" refForName="accentShape_1" fact="0.26"/>
              <dgm:constr type="h" for="ch" forName="parentText_2" refType="h" fact="0.78"/>
              <dgm:constr type="l" for="ch" forName="childText_1" refType="w" fact="0"/>
              <dgm:constr type="t" for="ch" forName="childText_1" refType="h" fact="0"/>
              <dgm:constr type="w" for="ch" forName="childText_1" refType="w" refFor="ch" refForName="accentShape_1" fact="0.71"/>
              <dgm:constr type="h" for="ch" forName="childText_1" refType="h"/>
              <dgm:constr type="l" for="ch" forName="childText_2" refType="w" fact="0.4393"/>
              <dgm:constr type="t" for="ch" forName="childText_2" refType="h" fact="0.1192"/>
              <dgm:constr type="w" for="ch" forName="childText_2" refType="w" refFor="ch" refForName="accentShape_2" fact="0.71"/>
              <dgm:constr type="h" for="ch" forName="childText_2" refType="h" fact="0.8808"/>
            </dgm:constrLst>
          </dgm:if>
          <dgm:else name="Name9">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parentText_2" refType="primFontSz" refFor="des" refForName="parentText_1" op="equ"/>
              <dgm:constr type="primFontSz" for="des" forName="childText_2" refType="primFontSz" refFor="des" refForName="childText_1" op="equ"/>
              <dgm:constr type="l" for="ch" forName="accentShape_1" refType="w" fact="0.4393"/>
              <dgm:constr type="t" for="ch" forName="accentShape_2" refType="h" fact="0.1192"/>
              <dgm:constr type="w" for="ch" forName="accentShape_2" refType="w" fact="0.4021"/>
              <dgm:constr type="h" for="ch" forName="accentShape_2" refType="h" fact="0.876"/>
              <dgm:constr type="l" for="ch" forName="accentShape_2" refType="w" fact="0"/>
              <dgm:constr type="t" for="ch" forName="accentShape_1" refType="h" fact="0"/>
              <dgm:constr type="w" for="ch" forName="accentShape_1" refType="w" fact="0.4021"/>
              <dgm:constr type="h" for="ch" forName="accentShape_1" refType="h" fact="0.9952"/>
              <dgm:constr type="l" for="ch" forName="parentText_2" refType="w" fact="0.2946"/>
              <dgm:constr type="t" for="ch" forName="parentText_1" refType="h" fact="0"/>
              <dgm:constr type="w" for="ch" forName="parentText_1" refType="w" refFor="ch" refForName="accentShape_1" fact="0.26"/>
              <dgm:constr type="h" for="ch" forName="parentText_1" refType="h" fact="0.78"/>
              <dgm:constr type="l" for="ch" forName="parentText_1" refType="w" fact="0.7339"/>
              <dgm:constr type="t" for="ch" forName="parentText_2" refType="h" fact="0.1192"/>
              <dgm:constr type="w" for="ch" forName="parentText_2" refType="w" refFor="ch" refForName="accentShape_1" fact="0.26"/>
              <dgm:constr type="h" for="ch" forName="parentText_2" refType="h" fact="0.78"/>
              <dgm:constr type="l" for="ch" forName="childText_2" refType="w" fact="0"/>
              <dgm:constr type="t" for="ch" forName="childText_1" refType="h" fact="0"/>
              <dgm:constr type="w" for="ch" forName="childText_1" refType="w" refFor="ch" refForName="accentShape_1" fact="0.71"/>
              <dgm:constr type="h" for="ch" forName="childText_1" refType="h"/>
              <dgm:constr type="l" for="ch" forName="childText_1" refType="w" fact="0.4393"/>
              <dgm:constr type="t" for="ch" forName="childText_2" refType="h" fact="0.1192"/>
              <dgm:constr type="w" for="ch" forName="childText_2" refType="w" refFor="ch" refForName="accentShape_2" fact="0.71"/>
              <dgm:constr type="h" for="ch" forName="childText_2" refType="h" fact="0.8808"/>
            </dgm:constrLst>
          </dgm:else>
        </dgm:choose>
      </dgm:if>
      <dgm:if name="Name10" axis="ch" ptType="node" func="cnt" op="equ" val="3">
        <dgm:alg type="composite">
          <dgm:param type="ar" val="1.4097"/>
        </dgm:alg>
        <dgm:choose name="Name11">
          <dgm:if name="Name12"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parentText_2" refType="primFontSz" refFor="des" refForName="parentText_1" op="equ"/>
              <dgm:constr type="primFontSz" for="des" forName="parentText_3"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l" for="ch" forName="accentShape_1" refType="w" fact="0"/>
              <dgm:constr type="t" for="ch" forName="accentShape_1" refType="h" fact="0"/>
              <dgm:constr type="w" for="ch" forName="accentShape_1" refType="w" fact="0.2796"/>
              <dgm:constr type="h" for="ch" forName="accentShape_1" refType="h" fact="0.9952"/>
              <dgm:constr type="l" for="ch" forName="accentShape_2" refType="w" fact="0.3055"/>
              <dgm:constr type="t" for="ch" forName="accentShape_2" refType="h" fact="0.1192"/>
              <dgm:constr type="w" for="ch" forName="accentShape_2" refType="w" fact="0.2796"/>
              <dgm:constr type="h" for="ch" forName="accentShape_2" refType="h" fact="0.876"/>
              <dgm:constr type="l" for="ch" forName="accentShape_3" refType="w" fact="0.6101"/>
              <dgm:constr type="t" for="ch" forName="accentShape_3" refType="h" fact="0.2457"/>
              <dgm:constr type="w" for="ch" forName="accentShape_3" refType="w" fact="0.2796"/>
              <dgm:constr type="h" for="ch" forName="accentShape_3" refType="h" fact="0.7499"/>
              <dgm:constr type="l" for="ch" forName="parentText_1" refType="w" fact="0.2"/>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5055"/>
              <dgm:constr type="t" for="ch" forName="parentText_2" refType="h" fact="0.1192"/>
              <dgm:constr type="w" for="ch" forName="parentText_2" refType="w" refFor="ch" refForName="accentShape_2" fact="0.26"/>
              <dgm:constr type="h" for="ch" forName="parentText_2" refType="h" refFor="ch" refForName="accentShape_2" fact="0.9"/>
              <dgm:constr type="l" for="ch" forName="parentText_3" refType="w" fact="0.8101"/>
              <dgm:constr type="t" for="ch" forName="parentText_3" refType="h" fact="0.2457"/>
              <dgm:constr type="w" for="ch" forName="parentText_3" refType="w" refFor="ch" refForName="accentShape_3" fact="0.26"/>
              <dgm:constr type="h" for="ch" forName="parentText_3" refType="h" refFor="ch" refForName="accentShape_3" fact="0.9"/>
              <dgm:constr type="l" for="ch" forName="childText_1" refType="w" fact="0"/>
              <dgm:constr type="t" for="ch" forName="childText_1" refType="h" fact="0"/>
              <dgm:constr type="w" for="ch" forName="childText_1" refType="w" refFor="ch" refForName="accentShape_1" fact="0.71"/>
              <dgm:constr type="h" for="ch" forName="childText_1" refType="h"/>
              <dgm:constr type="l" for="ch" forName="childText_2" refType="w" fact="0.3055"/>
              <dgm:constr type="t" for="ch" forName="childText_2" refType="h" fact="0.1192"/>
              <dgm:constr type="w" for="ch" forName="childText_2" refType="w" refFor="ch" refForName="accentShape_2" fact="0.71"/>
              <dgm:constr type="h" for="ch" forName="childText_2" refType="h" fact="0.8808"/>
              <dgm:constr type="l" for="ch" forName="childText_3" refType="w" fact="0.6101"/>
              <dgm:constr type="t" for="ch" forName="childText_3" refType="h" fact="0.2457"/>
              <dgm:constr type="w" for="ch" forName="childText_3" refType="w" refFor="ch" refForName="accentShape_3" fact="0.71"/>
              <dgm:constr type="h" for="ch" forName="childText_3" refType="h" fact="0.7543"/>
            </dgm:constrLst>
          </dgm:if>
          <dgm:else name="Name13">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parentText_2" refType="primFontSz" refFor="des" refForName="parentText_1" op="equ"/>
              <dgm:constr type="primFontSz" for="des" forName="parentText_3"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l" for="ch" forName="accentShape_3" refType="w" fact="0"/>
              <dgm:constr type="t" for="ch" forName="accentShape_1" refType="h" fact="0"/>
              <dgm:constr type="w" for="ch" forName="accentShape_1" refType="w" fact="0.2796"/>
              <dgm:constr type="h" for="ch" forName="accentShape_1" refType="h" fact="0.9952"/>
              <dgm:constr type="l" for="ch" forName="accentShape_2" refType="w" fact="0.3055"/>
              <dgm:constr type="t" for="ch" forName="accentShape_2" refType="h" fact="0.1192"/>
              <dgm:constr type="w" for="ch" forName="accentShape_2" refType="w" fact="0.2796"/>
              <dgm:constr type="h" for="ch" forName="accentShape_2" refType="h" fact="0.876"/>
              <dgm:constr type="l" for="ch" forName="accentShape_1" refType="w" fact="0.6101"/>
              <dgm:constr type="t" for="ch" forName="accentShape_3" refType="h" fact="0.2457"/>
              <dgm:constr type="w" for="ch" forName="accentShape_3" refType="w" fact="0.2796"/>
              <dgm:constr type="h" for="ch" forName="accentShape_3" refType="h" fact="0.7499"/>
              <dgm:constr type="l" for="ch" forName="parentText_3" refType="w" fact="0.2"/>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5055"/>
              <dgm:constr type="t" for="ch" forName="parentText_2" refType="h" fact="0.1192"/>
              <dgm:constr type="w" for="ch" forName="parentText_2" refType="w" refFor="ch" refForName="accentShape_2" fact="0.26"/>
              <dgm:constr type="h" for="ch" forName="parentText_2" refType="h" refFor="ch" refForName="accentShape_2" fact="0.9"/>
              <dgm:constr type="l" for="ch" forName="parentText_1" refType="w" fact="0.8101"/>
              <dgm:constr type="t" for="ch" forName="parentText_3" refType="h" fact="0.2457"/>
              <dgm:constr type="w" for="ch" forName="parentText_3" refType="w" refFor="ch" refForName="accentShape_3" fact="0.26"/>
              <dgm:constr type="h" for="ch" forName="parentText_3" refType="h" refFor="ch" refForName="accentShape_3" fact="0.9"/>
              <dgm:constr type="l" for="ch" forName="childText_3" refType="w" fact="0"/>
              <dgm:constr type="t" for="ch" forName="childText_1" refType="h" fact="0"/>
              <dgm:constr type="w" for="ch" forName="childText_1" refType="w" refFor="ch" refForName="accentShape_1" fact="0.71"/>
              <dgm:constr type="h" for="ch" forName="childText_1" refType="h"/>
              <dgm:constr type="l" for="ch" forName="childText_2" refType="w" fact="0.3055"/>
              <dgm:constr type="t" for="ch" forName="childText_2" refType="h" fact="0.1192"/>
              <dgm:constr type="w" for="ch" forName="childText_2" refType="w" refFor="ch" refForName="accentShape_2" fact="0.71"/>
              <dgm:constr type="h" for="ch" forName="childText_2" refType="h" fact="0.8808"/>
              <dgm:constr type="l" for="ch" forName="childText_1" refType="w" fact="0.6101"/>
              <dgm:constr type="t" for="ch" forName="childText_3" refType="h" fact="0.2457"/>
              <dgm:constr type="w" for="ch" forName="childText_3" refType="w" refFor="ch" refForName="accentShape_3" fact="0.71"/>
              <dgm:constr type="h" for="ch" forName="childText_3" refType="h" fact="0.7543"/>
            </dgm:constrLst>
          </dgm:else>
        </dgm:choose>
      </dgm:if>
      <dgm:if name="Name14" axis="ch" ptType="node" func="cnt" op="equ" val="4">
        <dgm:alg type="composite">
          <dgm:param type="ar" val="1.8305"/>
        </dgm:alg>
        <dgm:choose name="Name15">
          <dgm:if name="Name16"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l" for="ch" forName="accentShape_1" refType="w" fact="0"/>
              <dgm:constr type="t" for="ch" forName="accentShape_1" refType="h" fact="0"/>
              <dgm:constr type="w" for="ch" forName="accentShape_1" refType="w" fact="0.2153"/>
              <dgm:constr type="h" for="ch" forName="accentShape_1" refType="h" fact="0.9952"/>
              <dgm:constr type="l" for="ch" forName="accentShape_2" refType="w" fact="0.2353"/>
              <dgm:constr type="t" for="ch" forName="accentShape_2" refType="h" fact="0.1192"/>
              <dgm:constr type="w" for="ch" forName="accentShape_2" refType="w" fact="0.2153"/>
              <dgm:constr type="h" for="ch" forName="accentShape_2" refType="h" fact="0.876"/>
              <dgm:constr type="l" for="ch" forName="accentShape_3" refType="w" fact="0.4699"/>
              <dgm:constr type="t" for="ch" forName="accentShape_3" refType="h" fact="0.2457"/>
              <dgm:constr type="w" for="ch" forName="accentShape_3" refType="w" fact="0.2153"/>
              <dgm:constr type="h" for="ch" forName="accentShape_3" refType="h" fact="0.7495"/>
              <dgm:constr type="l" for="ch" forName="accentShape_4" refType="w" fact="0.6997"/>
              <dgm:constr type="t" for="ch" forName="accentShape_4" refType="h" fact="0.3696"/>
              <dgm:constr type="w" for="ch" forName="accentShape_4" refType="w" fact="0.2153"/>
              <dgm:constr type="h" for="ch" forName="accentShape_4" refType="h" fact="0.6256"/>
              <dgm:constr type="l" for="ch" forName="parentText_1" refType="w" fact="0.16"/>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3953"/>
              <dgm:constr type="t" for="ch" forName="parentText_2" refType="h" fact="0.1192"/>
              <dgm:constr type="w" for="ch" forName="parentText_2" refType="w" refFor="ch" refForName="accentShape_2" fact="0.26"/>
              <dgm:constr type="h" for="ch" forName="parentText_2" refType="h" refFor="ch" refForName="accentShape_2" fact="0.9"/>
              <dgm:constr type="l" for="ch" forName="parentText_3" refType="w" fact="0.6299"/>
              <dgm:constr type="t" for="ch" forName="parentText_3" refType="h" fact="0.2457"/>
              <dgm:constr type="w" for="ch" forName="parentText_3" refType="w" refFor="ch" refForName="accentShape_3" fact="0.26"/>
              <dgm:constr type="h" for="ch" forName="parentText_3" refType="h" refFor="ch" refForName="accentShape_3" fact="0.9"/>
              <dgm:constr type="l" for="ch" forName="parentText_4" refType="w" fact="0.8597"/>
              <dgm:constr type="t" for="ch" forName="parentText_4" refType="h" fact="0.3696"/>
              <dgm:constr type="w" for="ch" forName="parentText_4" refType="w" refFor="ch" refForName="accentShape_4" fact="0.26"/>
              <dgm:constr type="h" for="ch" forName="parentText_4" refType="h" refFor="ch" refForName="accentShape_4" fact="0.9"/>
              <dgm:constr type="l" for="ch" forName="childText_1" refType="w" fact="0"/>
              <dgm:constr type="t" for="ch" forName="childText_1" refType="h" fact="0"/>
              <dgm:constr type="w" for="ch" forName="childText_1" refType="w" refFor="ch" refForName="accentShape_1" fact="0.71"/>
              <dgm:constr type="h" for="ch" forName="childText_1" refType="h"/>
              <dgm:constr type="l" for="ch" forName="childText_2" refType="w" fact="0.2353"/>
              <dgm:constr type="t" for="ch" forName="childText_2" refType="h" fact="0.1192"/>
              <dgm:constr type="w" for="ch" forName="childText_2" refType="w" refFor="ch" refForName="accentShape_2" fact="0.71"/>
              <dgm:constr type="h" for="ch" forName="childText_2" refType="h" fact="0.8808"/>
              <dgm:constr type="l" for="ch" forName="childText_3" refType="w" fact="0.4699"/>
              <dgm:constr type="t" for="ch" forName="childText_3" refType="h" fact="0.2457"/>
              <dgm:constr type="w" for="ch" forName="childText_3" refType="w" refFor="ch" refForName="accentShape_3" fact="0.71"/>
              <dgm:constr type="h" for="ch" forName="childText_3" refType="h" fact="0.7543"/>
              <dgm:constr type="l" for="ch" forName="childText_4" refType="w" fact="0.6997"/>
              <dgm:constr type="t" for="ch" forName="childText_4" refType="h" fact="0.3696"/>
              <dgm:constr type="w" for="ch" forName="childText_4" refType="w" refFor="ch" refForName="accentShape_4" fact="0.71"/>
              <dgm:constr type="h" for="ch" forName="childText_4" refType="h" fact="0.6261"/>
            </dgm:constrLst>
          </dgm:if>
          <dgm:else name="Name17">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l" for="ch" forName="accentShape_4" refType="w" fact="0"/>
              <dgm:constr type="t" for="ch" forName="accentShape_1" refType="h" fact="0"/>
              <dgm:constr type="w" for="ch" forName="accentShape_1" refType="w" fact="0.2153"/>
              <dgm:constr type="h" for="ch" forName="accentShape_1" refType="h" fact="0.9952"/>
              <dgm:constr type="l" for="ch" forName="accentShape_3" refType="w" fact="0.2353"/>
              <dgm:constr type="t" for="ch" forName="accentShape_2" refType="h" fact="0.1192"/>
              <dgm:constr type="w" for="ch" forName="accentShape_2" refType="w" fact="0.2153"/>
              <dgm:constr type="h" for="ch" forName="accentShape_2" refType="h" fact="0.876"/>
              <dgm:constr type="l" for="ch" forName="accentShape_2" refType="w" fact="0.4699"/>
              <dgm:constr type="t" for="ch" forName="accentShape_3" refType="h" fact="0.2457"/>
              <dgm:constr type="w" for="ch" forName="accentShape_3" refType="w" fact="0.2153"/>
              <dgm:constr type="h" for="ch" forName="accentShape_3" refType="h" fact="0.7495"/>
              <dgm:constr type="l" for="ch" forName="accentShape_1" refType="w" fact="0.6997"/>
              <dgm:constr type="t" for="ch" forName="accentShape_4" refType="h" fact="0.3696"/>
              <dgm:constr type="w" for="ch" forName="accentShape_4" refType="w" fact="0.2153"/>
              <dgm:constr type="h" for="ch" forName="accentShape_4" refType="h" fact="0.6256"/>
              <dgm:constr type="l" for="ch" forName="parentText_4" refType="w" fact="0.16"/>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3" refType="w" fact="0.3953"/>
              <dgm:constr type="t" for="ch" forName="parentText_2" refType="h" fact="0.1192"/>
              <dgm:constr type="w" for="ch" forName="parentText_2" refType="w" refFor="ch" refForName="accentShape_2" fact="0.26"/>
              <dgm:constr type="h" for="ch" forName="parentText_2" refType="h" refFor="ch" refForName="accentShape_2" fact="0.9"/>
              <dgm:constr type="l" for="ch" forName="parentText_2" refType="w" fact="0.6299"/>
              <dgm:constr type="t" for="ch" forName="parentText_3" refType="h" fact="0.2457"/>
              <dgm:constr type="w" for="ch" forName="parentText_3" refType="w" refFor="ch" refForName="accentShape_3" fact="0.26"/>
              <dgm:constr type="h" for="ch" forName="parentText_3" refType="h" refFor="ch" refForName="accentShape_3" fact="0.9"/>
              <dgm:constr type="l" for="ch" forName="parentText_1" refType="w" fact="0.8597"/>
              <dgm:constr type="t" for="ch" forName="parentText_4" refType="h" fact="0.3696"/>
              <dgm:constr type="w" for="ch" forName="parentText_4" refType="w" refFor="ch" refForName="accentShape_4" fact="0.26"/>
              <dgm:constr type="h" for="ch" forName="parentText_4" refType="h" refFor="ch" refForName="accentShape_4" fact="0.9"/>
              <dgm:constr type="l" for="ch" forName="childText_4" refType="w" fact="0"/>
              <dgm:constr type="t" for="ch" forName="childText_1" refType="h" fact="0"/>
              <dgm:constr type="w" for="ch" forName="childText_1" refType="w" refFor="ch" refForName="accentShape_1" fact="0.71"/>
              <dgm:constr type="h" for="ch" forName="childText_1" refType="h"/>
              <dgm:constr type="l" for="ch" forName="childText_3" refType="w" fact="0.2353"/>
              <dgm:constr type="t" for="ch" forName="childText_2" refType="h" fact="0.1192"/>
              <dgm:constr type="w" for="ch" forName="childText_2" refType="w" refFor="ch" refForName="accentShape_2" fact="0.71"/>
              <dgm:constr type="h" for="ch" forName="childText_2" refType="h" fact="0.8808"/>
              <dgm:constr type="l" for="ch" forName="childText_2" refType="w" fact="0.4699"/>
              <dgm:constr type="t" for="ch" forName="childText_3" refType="h" fact="0.2457"/>
              <dgm:constr type="w" for="ch" forName="childText_3" refType="w" refFor="ch" refForName="accentShape_3" fact="0.71"/>
              <dgm:constr type="h" for="ch" forName="childText_3" refType="h" fact="0.7543"/>
              <dgm:constr type="l" for="ch" forName="childText_1" refType="w" fact="0.6997"/>
              <dgm:constr type="t" for="ch" forName="childText_4" refType="h" fact="0.3696"/>
              <dgm:constr type="w" for="ch" forName="childText_4" refType="w" refFor="ch" refForName="accentShape_4" fact="0.71"/>
              <dgm:constr type="h" for="ch" forName="childText_4" refType="h" fact="0.6261"/>
            </dgm:constrLst>
          </dgm:else>
        </dgm:choose>
      </dgm:if>
      <dgm:if name="Name18" axis="ch" ptType="node" func="cnt" op="equ" val="5">
        <dgm:alg type="composite">
          <dgm:param type="ar" val="2.0125"/>
        </dgm:alg>
        <dgm:choose name="Name19">
          <dgm:if name="Name20"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l" for="ch" forName="accentShape_1" refType="w" fact="0"/>
              <dgm:constr type="t" for="ch" forName="accentShape_1" refType="h" fact="0"/>
              <dgm:constr type="w" for="ch" forName="accentShape_1" refType="w" fact="0.1759"/>
              <dgm:constr type="h" for="ch" forName="accentShape_1" refType="h" fact="0.9952"/>
              <dgm:constr type="l" for="ch" forName="accentShape_2" refType="w" fact="0.192"/>
              <dgm:constr type="t" for="ch" forName="accentShape_2" refType="h" fact="0.1196"/>
              <dgm:constr type="w" for="ch" forName="accentShape_2" refType="w" fact="0.1759"/>
              <dgm:constr type="h" for="ch" forName="accentShape_2" refType="h" fact="0.876"/>
              <dgm:constr type="l" for="ch" forName="accentShape_3" refType="w" fact="0.384"/>
              <dgm:constr type="t" for="ch" forName="accentShape_3" refType="h" fact="0.2457"/>
              <dgm:constr type="w" for="ch" forName="accentShape_3" refType="w" fact="0.1759"/>
              <dgm:constr type="h" for="ch" forName="accentShape_3" refType="h" fact="0.7499"/>
              <dgm:constr type="l" for="ch" forName="accentShape_4" refType="w" fact="0.5759"/>
              <dgm:constr type="t" for="ch" forName="accentShape_4" refType="h" fact="0.3739"/>
              <dgm:constr type="w" for="ch" forName="accentShape_4" refType="w" fact="0.1759"/>
              <dgm:constr type="h" for="ch" forName="accentShape_4" refType="h" fact="0.6217"/>
              <dgm:constr type="l" for="ch" forName="accentShape_5" refType="w" fact="0.7679"/>
              <dgm:constr type="t" for="ch" forName="accentShape_5" refType="h" fact="0.5"/>
              <dgm:constr type="w" for="ch" forName="accentShape_5" refType="w" fact="0.1759"/>
              <dgm:constr type="h" for="ch" forName="accentShape_5" refType="h" fact="0.4956"/>
              <dgm:constr type="l" for="ch" forName="parentText_1" refType="w" fact="0.125"/>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317"/>
              <dgm:constr type="t" for="ch" forName="parentText_2" refType="h" fact="0.1196"/>
              <dgm:constr type="w" for="ch" forName="parentText_2" refType="w" refFor="ch" refForName="accentShape_2" fact="0.26"/>
              <dgm:constr type="h" for="ch" forName="parentText_2" refType="h" refFor="ch" refForName="accentShape_2" fact="0.9"/>
              <dgm:constr type="l" for="ch" forName="parentText_3" refType="w" fact="0.509"/>
              <dgm:constr type="t" for="ch" forName="parentText_3" refType="h" fact="0.2457"/>
              <dgm:constr type="w" for="ch" forName="parentText_3" refType="w" refFor="ch" refForName="accentShape_3" fact="0.26"/>
              <dgm:constr type="h" for="ch" forName="parentText_3" refType="h" refFor="ch" refForName="accentShape_3" fact="0.9"/>
              <dgm:constr type="l" for="ch" forName="parentText_4" refType="w" fact="0.7009"/>
              <dgm:constr type="t" for="ch" forName="parentText_4" refType="h" fact="0.3739"/>
              <dgm:constr type="w" for="ch" forName="parentText_4" refType="w" refFor="ch" refForName="accentShape_4" fact="0.26"/>
              <dgm:constr type="h" for="ch" forName="parentText_4" refType="h" refFor="ch" refForName="accentShape_4" fact="0.9"/>
              <dgm:constr type="l" for="ch" forName="parentText_5" refType="w" fact="0.8929"/>
              <dgm:constr type="t" for="ch" forName="parentText_5" refType="h" fact="0.5"/>
              <dgm:constr type="w" for="ch" forName="parentText_5" refType="w" refFor="ch" refForName="accentShape_5" fact="0.26"/>
              <dgm:constr type="h" for="ch" forName="parentText_5" refType="h" refFor="ch" refForName="accentShape_5" fact="0.9"/>
              <dgm:constr type="l" for="ch" forName="childText_1" refType="w" fact="0"/>
              <dgm:constr type="t" for="ch" forName="childText_1" refType="h" fact="0"/>
              <dgm:constr type="w" for="ch" forName="childText_1" refType="w" refFor="ch" refForName="accentShape_1" fact="0.71"/>
              <dgm:constr type="h" for="ch" forName="childText_1" refType="h"/>
              <dgm:constr type="l" for="ch" forName="childText_2" refType="w" fact="0.192"/>
              <dgm:constr type="t" for="ch" forName="childText_2" refType="h" fact="0.1192"/>
              <dgm:constr type="w" for="ch" forName="childText_2" refType="w" refFor="ch" refForName="accentShape_2" fact="0.71"/>
              <dgm:constr type="h" for="ch" forName="childText_2" refType="h" fact="0.876"/>
              <dgm:constr type="l" for="ch" forName="childText_3" refType="w" fact="0.384"/>
              <dgm:constr type="t" for="ch" forName="childText_3" refType="h" fact="0.2457"/>
              <dgm:constr type="w" for="ch" forName="childText_3" refType="w" refFor="ch" refForName="accentShape_3" fact="0.71"/>
              <dgm:constr type="h" for="ch" forName="childText_3" refType="h" fact="0.7499"/>
              <dgm:constr type="l" for="ch" forName="childText_4" refType="w" fact="0.5759"/>
              <dgm:constr type="t" for="ch" forName="childText_4" refType="h" fact="0.3739"/>
              <dgm:constr type="w" for="ch" forName="childText_4" refType="w" refFor="ch" refForName="accentShape_4" fact="0.71"/>
              <dgm:constr type="h" for="ch" forName="childText_4" refType="h" fact="0.6217"/>
              <dgm:constr type="l" for="ch" forName="childText_5" refType="w" fact="0.7679"/>
              <dgm:constr type="t" for="ch" forName="childText_5" refType="h" fact="0.5001"/>
              <dgm:constr type="w" for="ch" forName="childText_5" refType="w" refFor="ch" refForName="accentShape_5" fact="0.71"/>
              <dgm:constr type="h" for="ch" forName="childText_5" refType="h" fact="0.4956"/>
            </dgm:constrLst>
          </dgm:if>
          <dgm:else name="Name21">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l" for="ch" forName="accentShape_5" refType="w" fact="0"/>
              <dgm:constr type="t" for="ch" forName="accentShape_1" refType="h" fact="0"/>
              <dgm:constr type="w" for="ch" forName="accentShape_1" refType="w" fact="0.1759"/>
              <dgm:constr type="h" for="ch" forName="accentShape_1" refType="h" fact="0.9952"/>
              <dgm:constr type="l" for="ch" forName="accentShape_4" refType="w" fact="0.192"/>
              <dgm:constr type="t" for="ch" forName="accentShape_2" refType="h" fact="0.1196"/>
              <dgm:constr type="w" for="ch" forName="accentShape_2" refType="w" fact="0.1759"/>
              <dgm:constr type="h" for="ch" forName="accentShape_2" refType="h" fact="0.876"/>
              <dgm:constr type="l" for="ch" forName="accentShape_3" refType="w" fact="0.384"/>
              <dgm:constr type="t" for="ch" forName="accentShape_3" refType="h" fact="0.2457"/>
              <dgm:constr type="w" for="ch" forName="accentShape_3" refType="w" fact="0.1759"/>
              <dgm:constr type="h" for="ch" forName="accentShape_3" refType="h" fact="0.7499"/>
              <dgm:constr type="l" for="ch" forName="accentShape_2" refType="w" fact="0.5759"/>
              <dgm:constr type="t" for="ch" forName="accentShape_4" refType="h" fact="0.3739"/>
              <dgm:constr type="w" for="ch" forName="accentShape_4" refType="w" fact="0.1759"/>
              <dgm:constr type="h" for="ch" forName="accentShape_4" refType="h" fact="0.6217"/>
              <dgm:constr type="l" for="ch" forName="accentShape_1" refType="w" fact="0.7679"/>
              <dgm:constr type="t" for="ch" forName="accentShape_5" refType="h" fact="0.5"/>
              <dgm:constr type="w" for="ch" forName="accentShape_5" refType="w" fact="0.1759"/>
              <dgm:constr type="h" for="ch" forName="accentShape_5" refType="h" fact="0.4956"/>
              <dgm:constr type="l" for="ch" forName="parentText_5" refType="w" fact="0.125"/>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4" refType="w" fact="0.317"/>
              <dgm:constr type="t" for="ch" forName="parentText_2" refType="h" fact="0.1196"/>
              <dgm:constr type="w" for="ch" forName="parentText_2" refType="w" refFor="ch" refForName="accentShape_2" fact="0.26"/>
              <dgm:constr type="h" for="ch" forName="parentText_2" refType="h" refFor="ch" refForName="accentShape_2" fact="0.9"/>
              <dgm:constr type="l" for="ch" forName="parentText_3" refType="w" fact="0.509"/>
              <dgm:constr type="t" for="ch" forName="parentText_3" refType="h" fact="0.2457"/>
              <dgm:constr type="w" for="ch" forName="parentText_3" refType="w" refFor="ch" refForName="accentShape_3" fact="0.26"/>
              <dgm:constr type="h" for="ch" forName="parentText_3" refType="h" refFor="ch" refForName="accentShape_3" fact="0.9"/>
              <dgm:constr type="l" for="ch" forName="parentText_2" refType="w" fact="0.7009"/>
              <dgm:constr type="t" for="ch" forName="parentText_4" refType="h" fact="0.3739"/>
              <dgm:constr type="w" for="ch" forName="parentText_4" refType="w" refFor="ch" refForName="accentShape_4" fact="0.26"/>
              <dgm:constr type="h" for="ch" forName="parentText_4" refType="h" refFor="ch" refForName="accentShape_4" fact="0.9"/>
              <dgm:constr type="l" for="ch" forName="parentText_1" refType="w" fact="0.8929"/>
              <dgm:constr type="t" for="ch" forName="parentText_5" refType="h" fact="0.5"/>
              <dgm:constr type="w" for="ch" forName="parentText_5" refType="w" refFor="ch" refForName="accentShape_5" fact="0.26"/>
              <dgm:constr type="h" for="ch" forName="parentText_5" refType="h" refFor="ch" refForName="accentShape_5" fact="0.9"/>
              <dgm:constr type="l" for="ch" forName="childText_5" refType="w" fact="0"/>
              <dgm:constr type="t" for="ch" forName="childText_1" refType="h" fact="0"/>
              <dgm:constr type="w" for="ch" forName="childText_1" refType="w" refFor="ch" refForName="accentShape_1" fact="0.71"/>
              <dgm:constr type="h" for="ch" forName="childText_1" refType="h"/>
              <dgm:constr type="l" for="ch" forName="childText_4" refType="w" fact="0.192"/>
              <dgm:constr type="t" for="ch" forName="childText_2" refType="h" fact="0.1192"/>
              <dgm:constr type="w" for="ch" forName="childText_2" refType="w" refFor="ch" refForName="accentShape_2" fact="0.71"/>
              <dgm:constr type="h" for="ch" forName="childText_2" refType="h" fact="0.876"/>
              <dgm:constr type="l" for="ch" forName="childText_3" refType="w" fact="0.384"/>
              <dgm:constr type="t" for="ch" forName="childText_3" refType="h" fact="0.2457"/>
              <dgm:constr type="w" for="ch" forName="childText_3" refType="w" refFor="ch" refForName="accentShape_3" fact="0.71"/>
              <dgm:constr type="h" for="ch" forName="childText_3" refType="h" fact="0.7499"/>
              <dgm:constr type="l" for="ch" forName="childText_2" refType="w" fact="0.5759"/>
              <dgm:constr type="t" for="ch" forName="childText_4" refType="h" fact="0.3739"/>
              <dgm:constr type="w" for="ch" forName="childText_4" refType="w" refFor="ch" refForName="accentShape_4" fact="0.71"/>
              <dgm:constr type="h" for="ch" forName="childText_4" refType="h" fact="0.6261"/>
              <dgm:constr type="l" for="ch" forName="childText_1" refType="w" fact="0.7679"/>
              <dgm:constr type="t" for="ch" forName="childText_5" refType="h" fact="0.5001"/>
              <dgm:constr type="w" for="ch" forName="childText_5" refType="w" refFor="ch" refForName="accentShape_5" fact="0.71"/>
              <dgm:constr type="h" for="ch" forName="childText_5" refType="h" fact="0.4999"/>
            </dgm:constrLst>
          </dgm:else>
        </dgm:choose>
      </dgm:if>
      <dgm:if name="Name22" axis="ch" ptType="node" func="cnt" op="equ" val="6">
        <dgm:alg type="composite">
          <dgm:param type="ar" val="2.4006"/>
        </dgm:alg>
        <dgm:shape xmlns:r="http://schemas.openxmlformats.org/officeDocument/2006/relationships" r:blip="">
          <dgm:adjLst/>
        </dgm:shape>
        <dgm:choose name="Name23">
          <dgm:if name="Name24"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6"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6"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6"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6"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childText_6" refType="primFontSz" refFor="des" refForName="parentText_5" op="lte"/>
              <dgm:constr type="primFontSz" for="des" forName="childText_1" refType="primFontSz" refFor="des" refForName="parentText_6" op="lte"/>
              <dgm:constr type="primFontSz" for="des" forName="childText_2" refType="primFontSz" refFor="des" refForName="parentText_6" op="lte"/>
              <dgm:constr type="primFontSz" for="des" forName="childText_3" refType="primFontSz" refFor="des" refForName="parentText_6" op="lte"/>
              <dgm:constr type="primFontSz" for="des" forName="childText_4" refType="primFontSz" refFor="des" refForName="parentText_6" op="lte"/>
              <dgm:constr type="primFontSz" for="des" forName="childText_5" refType="primFontSz" refFor="des" refForName="parentText_6" op="lte"/>
              <dgm:constr type="primFontSz" for="des" forName="childText_6" refType="primFontSz" refFor="des" refForName="parentText_6"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parentText_6"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primFontSz" for="des" forName="childText_6" refType="primFontSz" refFor="des" refForName="childText_1" op="equ"/>
              <dgm:constr type="l" for="ch" forName="accentShape_1" refType="w" fact="0"/>
              <dgm:constr type="t" for="ch" forName="accentShape_1" refType="h" fact="0"/>
              <dgm:constr type="w" for="ch" forName="accentShape_1" refType="w" fact="0.1473"/>
              <dgm:constr type="h" for="ch" forName="accentShape_1" refType="h"/>
              <dgm:constr type="l" for="ch" forName="accentShape_2" refType="w" fact="0.1608"/>
              <dgm:constr type="t" for="ch" forName="accentShape_2" refType="h" fact="0.1"/>
              <dgm:constr type="w" for="ch" forName="accentShape_2" refType="w" fact="0.1473"/>
              <dgm:constr type="h" for="ch" forName="accentShape_2" refType="h" fact="0.9"/>
              <dgm:constr type="l" for="ch" forName="accentShape_3" refType="w" fact="0.3216"/>
              <dgm:constr type="t" for="ch" forName="accentShape_3" refType="h" fact="0.2"/>
              <dgm:constr type="w" for="ch" forName="accentShape_3" refType="w" fact="0.1473"/>
              <dgm:constr type="h" for="ch" forName="accentShape_3" refType="h" fact="0.8"/>
              <dgm:constr type="l" for="ch" forName="accentShape_4" refType="w" fact="0.4824"/>
              <dgm:constr type="t" for="ch" forName="accentShape_4" refType="h" fact="0.3"/>
              <dgm:constr type="w" for="ch" forName="accentShape_4" refType="w" fact="0.1473"/>
              <dgm:constr type="h" for="ch" forName="accentShape_4" refType="h" fact="0.7"/>
              <dgm:constr type="l" for="ch" forName="accentShape_5" refType="w" fact="0.6432"/>
              <dgm:constr type="t" for="ch" forName="accentShape_5" refType="h" fact="0.4"/>
              <dgm:constr type="w" for="ch" forName="accentShape_5" refType="w" fact="0.1473"/>
              <dgm:constr type="h" for="ch" forName="accentShape_5" refType="h" fact="0.6"/>
              <dgm:constr type="l" for="ch" forName="accentShape_6" refType="w" fact="0.8056"/>
              <dgm:constr type="t" for="ch" forName="accentShape_6" refType="h" fact="0.5"/>
              <dgm:constr type="w" for="ch" forName="accentShape_6" refType="w" fact="0.1473"/>
              <dgm:constr type="h" for="ch" forName="accentShape_6" refType="h" fact="0.5"/>
              <dgm:constr type="l" for="ch" forName="childText_1" refType="w" fact="0"/>
              <dgm:constr type="t" for="ch" forName="childText_1" refType="h" fact="0"/>
              <dgm:constr type="w" for="ch" forName="childText_1" refType="w" refFor="ch" refForName="accentShape_1" fact="0.7"/>
              <dgm:constr type="h" for="ch" forName="childText_1" refType="h" refFor="ch" refForName="accentShape_1"/>
              <dgm:constr type="l" for="ch" forName="childText_2" refType="w" fact="0.1608"/>
              <dgm:constr type="t" for="ch" forName="childText_2" refType="h" fact="0.1"/>
              <dgm:constr type="w" for="ch" forName="childText_2" refType="w" refFor="ch" refForName="accentShape_2" fact="0.7"/>
              <dgm:constr type="h" for="ch" forName="childText_2" refType="h" refFor="ch" refForName="accentShape_2"/>
              <dgm:constr type="l" for="ch" forName="childText_3" refType="w" fact="0.3216"/>
              <dgm:constr type="t" for="ch" forName="childText_3" refType="h" fact="0.2"/>
              <dgm:constr type="w" for="ch" forName="childText_3" refType="w" refFor="ch" refForName="accentShape_3" fact="0.7"/>
              <dgm:constr type="h" for="ch" forName="childText_3" refType="h" refFor="ch" refForName="accentShape_3"/>
              <dgm:constr type="l" for="ch" forName="childText_4" refType="w" fact="0.4824"/>
              <dgm:constr type="t" for="ch" forName="childText_4" refType="h" fact="0.3"/>
              <dgm:constr type="w" for="ch" forName="childText_4" refType="w" refFor="ch" refForName="accentShape_4" fact="0.7"/>
              <dgm:constr type="h" for="ch" forName="childText_4" refType="h" refFor="ch" refForName="accentShape_4"/>
              <dgm:constr type="l" for="ch" forName="childText_5" refType="w" fact="0.6432"/>
              <dgm:constr type="t" for="ch" forName="childText_5" refType="h" fact="0.4"/>
              <dgm:constr type="w" for="ch" forName="childText_5" refType="w" refFor="ch" refForName="accentShape_5" fact="0.7"/>
              <dgm:constr type="h" for="ch" forName="childText_5" refType="h" refFor="ch" refForName="accentShape_5"/>
              <dgm:constr type="l" for="ch" forName="childText_6" refType="w" fact="0.8056"/>
              <dgm:constr type="t" for="ch" forName="childText_6" refType="h" fact="0.5"/>
              <dgm:constr type="w" for="ch" forName="childText_6" refType="w" refFor="ch" refForName="accentShape_6" fact="0.7"/>
              <dgm:constr type="h" for="ch" forName="childText_6" refType="h" refFor="ch" refForName="accentShape_6"/>
              <dgm:constr type="l" for="ch" forName="parentText_1" refType="w" fact="0.1045"/>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2653"/>
              <dgm:constr type="t" for="ch" forName="parentText_2" refType="h" fact="0.1"/>
              <dgm:constr type="w" for="ch" forName="parentText_2" refType="w" refFor="ch" refForName="accentShape_2" fact="0.26"/>
              <dgm:constr type="h" for="ch" forName="parentText_2" refType="h" refFor="ch" refForName="accentShape_2" fact="0.9"/>
              <dgm:constr type="l" for="ch" forName="parentText_3" refType="w" fact="0.4261"/>
              <dgm:constr type="t" for="ch" forName="parentText_3" refType="h" fact="0.2"/>
              <dgm:constr type="w" for="ch" forName="parentText_3" refType="w" refFor="ch" refForName="accentShape_3" fact="0.26"/>
              <dgm:constr type="h" for="ch" forName="parentText_3" refType="h" refFor="ch" refForName="accentShape_3" fact="0.9"/>
              <dgm:constr type="l" for="ch" forName="parentText_4" refType="w" fact="0.5869"/>
              <dgm:constr type="t" for="ch" forName="parentText_4" refType="h" fact="0.3"/>
              <dgm:constr type="w" for="ch" forName="parentText_4" refType="w" refFor="ch" refForName="accentShape_4" fact="0.26"/>
              <dgm:constr type="h" for="ch" forName="parentText_4" refType="h" refFor="ch" refForName="accentShape_4" fact="0.9"/>
              <dgm:constr type="l" for="ch" forName="parentText_5" refType="w" fact="0.7477"/>
              <dgm:constr type="t" for="ch" forName="parentText_5" refType="h" fact="0.4"/>
              <dgm:constr type="w" for="ch" forName="parentText_5" refType="w" refFor="ch" refForName="accentShape_5" fact="0.26"/>
              <dgm:constr type="h" for="ch" forName="parentText_5" refType="h" refFor="ch" refForName="accentShape_5" fact="0.9"/>
              <dgm:constr type="l" for="ch" forName="parentText_6" refType="w" fact="0.9101"/>
              <dgm:constr type="t" for="ch" forName="parentText_6" refType="h" fact="0.5"/>
              <dgm:constr type="w" for="ch" forName="parentText_6" refType="w" refFor="ch" refForName="accentShape_6" fact="0.26"/>
              <dgm:constr type="h" for="ch" forName="parentText_6" refType="h" refFor="ch" refForName="accentShape_6" fact="0.9"/>
            </dgm:constrLst>
          </dgm:if>
          <dgm:else name="Name25">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6"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6"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6"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6"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childText_6" refType="primFontSz" refFor="des" refForName="parentText_5" op="lte"/>
              <dgm:constr type="primFontSz" for="des" forName="childText_1" refType="primFontSz" refFor="des" refForName="parentText_6" op="lte"/>
              <dgm:constr type="primFontSz" for="des" forName="childText_2" refType="primFontSz" refFor="des" refForName="parentText_6" op="lte"/>
              <dgm:constr type="primFontSz" for="des" forName="childText_3" refType="primFontSz" refFor="des" refForName="parentText_6" op="lte"/>
              <dgm:constr type="primFontSz" for="des" forName="childText_4" refType="primFontSz" refFor="des" refForName="parentText_6" op="lte"/>
              <dgm:constr type="primFontSz" for="des" forName="childText_5" refType="primFontSz" refFor="des" refForName="parentText_6" op="lte"/>
              <dgm:constr type="primFontSz" for="des" forName="childText_6" refType="primFontSz" refFor="des" refForName="parentText_6"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parentText_6"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primFontSz" for="des" forName="childText_6" refType="primFontSz" refFor="des" refForName="childText_1" op="equ"/>
              <dgm:constr type="l" for="ch" forName="accentShape_6" refType="w" fact="0"/>
              <dgm:constr type="t" for="ch" forName="accentShape_1" refType="h" fact="0"/>
              <dgm:constr type="w" for="ch" forName="accentShape_1" refType="w" fact="0.1473"/>
              <dgm:constr type="h" for="ch" forName="accentShape_1" refType="h"/>
              <dgm:constr type="l" for="ch" forName="accentShape_5" refType="w" fact="0.1608"/>
              <dgm:constr type="t" for="ch" forName="accentShape_2" refType="h" fact="0.1"/>
              <dgm:constr type="w" for="ch" forName="accentShape_2" refType="w" fact="0.1473"/>
              <dgm:constr type="h" for="ch" forName="accentShape_2" refType="h" fact="0.9"/>
              <dgm:constr type="l" for="ch" forName="accentShape_4" refType="w" fact="0.3216"/>
              <dgm:constr type="t" for="ch" forName="accentShape_3" refType="h" fact="0.2"/>
              <dgm:constr type="w" for="ch" forName="accentShape_3" refType="w" fact="0.1473"/>
              <dgm:constr type="h" for="ch" forName="accentShape_3" refType="h" fact="0.8"/>
              <dgm:constr type="l" for="ch" forName="accentShape_3" refType="w" fact="0.4824"/>
              <dgm:constr type="t" for="ch" forName="accentShape_4" refType="h" fact="0.3"/>
              <dgm:constr type="w" for="ch" forName="accentShape_4" refType="w" fact="0.1473"/>
              <dgm:constr type="h" for="ch" forName="accentShape_4" refType="h" fact="0.7"/>
              <dgm:constr type="l" for="ch" forName="accentShape_2" refType="w" fact="0.6432"/>
              <dgm:constr type="t" for="ch" forName="accentShape_5" refType="h" fact="0.4"/>
              <dgm:constr type="w" for="ch" forName="accentShape_5" refType="w" fact="0.1473"/>
              <dgm:constr type="h" for="ch" forName="accentShape_5" refType="h" fact="0.6"/>
              <dgm:constr type="l" for="ch" forName="accentShape_1" refType="w" fact="0.8056"/>
              <dgm:constr type="t" for="ch" forName="accentShape_6" refType="h" fact="0.5"/>
              <dgm:constr type="w" for="ch" forName="accentShape_6" refType="w" fact="0.1473"/>
              <dgm:constr type="h" for="ch" forName="accentShape_6" refType="h" fact="0.5"/>
              <dgm:constr type="l" for="ch" forName="childText_6" refType="w" fact="0"/>
              <dgm:constr type="t" for="ch" forName="childText_1" refType="h" fact="0"/>
              <dgm:constr type="w" for="ch" forName="childText_1" refType="w" refFor="ch" refForName="accentShape_1" fact="0.7"/>
              <dgm:constr type="h" for="ch" forName="childText_1" refType="h" refFor="ch" refForName="accentShape_1"/>
              <dgm:constr type="l" for="ch" forName="childText_5" refType="w" fact="0.1608"/>
              <dgm:constr type="t" for="ch" forName="childText_2" refType="h" fact="0.1"/>
              <dgm:constr type="w" for="ch" forName="childText_2" refType="w" refFor="ch" refForName="accentShape_2" fact="0.7"/>
              <dgm:constr type="h" for="ch" forName="childText_2" refType="h" refFor="ch" refForName="accentShape_2"/>
              <dgm:constr type="l" for="ch" forName="childText_4" refType="w" fact="0.3216"/>
              <dgm:constr type="t" for="ch" forName="childText_3" refType="h" fact="0.2"/>
              <dgm:constr type="w" for="ch" forName="childText_3" refType="w" refFor="ch" refForName="accentShape_3" fact="0.7"/>
              <dgm:constr type="h" for="ch" forName="childText_3" refType="h" refFor="ch" refForName="accentShape_3"/>
              <dgm:constr type="l" for="ch" forName="childText_3" refType="w" fact="0.4824"/>
              <dgm:constr type="t" for="ch" forName="childText_4" refType="h" fact="0.3"/>
              <dgm:constr type="w" for="ch" forName="childText_4" refType="w" refFor="ch" refForName="accentShape_4" fact="0.7"/>
              <dgm:constr type="h" for="ch" forName="childText_4" refType="h" refFor="ch" refForName="accentShape_4"/>
              <dgm:constr type="l" for="ch" forName="childText_2" refType="w" fact="0.6432"/>
              <dgm:constr type="t" for="ch" forName="childText_5" refType="h" fact="0.4"/>
              <dgm:constr type="w" for="ch" forName="childText_5" refType="w" refFor="ch" refForName="accentShape_5" fact="0.7"/>
              <dgm:constr type="h" for="ch" forName="childText_5" refType="h" refFor="ch" refForName="accentShape_5"/>
              <dgm:constr type="l" for="ch" forName="childText_1" refType="w" fact="0.8056"/>
              <dgm:constr type="t" for="ch" forName="childText_6" refType="h" fact="0.5"/>
              <dgm:constr type="w" for="ch" forName="childText_6" refType="w" refFor="ch" refForName="accentShape_6" fact="0.7"/>
              <dgm:constr type="h" for="ch" forName="childText_6" refType="h" refFor="ch" refForName="accentShape_6"/>
              <dgm:constr type="l" for="ch" forName="parentText_6" refType="w" fact="0.1045"/>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5" refType="w" fact="0.2653"/>
              <dgm:constr type="t" for="ch" forName="parentText_2" refType="h" fact="0.1"/>
              <dgm:constr type="w" for="ch" forName="parentText_2" refType="w" refFor="ch" refForName="accentShape_2" fact="0.26"/>
              <dgm:constr type="h" for="ch" forName="parentText_2" refType="h" refFor="ch" refForName="accentShape_2" fact="0.9"/>
              <dgm:constr type="l" for="ch" forName="parentText_4" refType="w" fact="0.4261"/>
              <dgm:constr type="t" for="ch" forName="parentText_3" refType="h" fact="0.2"/>
              <dgm:constr type="w" for="ch" forName="parentText_3" refType="w" refFor="ch" refForName="accentShape_3" fact="0.26"/>
              <dgm:constr type="h" for="ch" forName="parentText_3" refType="h" refFor="ch" refForName="accentShape_3" fact="0.9"/>
              <dgm:constr type="l" for="ch" forName="parentText_3" refType="w" fact="0.5869"/>
              <dgm:constr type="t" for="ch" forName="parentText_4" refType="h" fact="0.3"/>
              <dgm:constr type="w" for="ch" forName="parentText_4" refType="w" refFor="ch" refForName="accentShape_4" fact="0.26"/>
              <dgm:constr type="h" for="ch" forName="parentText_4" refType="h" refFor="ch" refForName="accentShape_4" fact="0.9"/>
              <dgm:constr type="l" for="ch" forName="parentText_2" refType="w" fact="0.7477"/>
              <dgm:constr type="t" for="ch" forName="parentText_5" refType="h" fact="0.4"/>
              <dgm:constr type="w" for="ch" forName="parentText_5" refType="w" refFor="ch" refForName="accentShape_5" fact="0.26"/>
              <dgm:constr type="h" for="ch" forName="parentText_5" refType="h" refFor="ch" refForName="accentShape_5" fact="0.9"/>
              <dgm:constr type="l" for="ch" forName="parentText_1" refType="w" fact="0.9101"/>
              <dgm:constr type="t" for="ch" forName="parentText_6" refType="h" fact="0.5"/>
              <dgm:constr type="w" for="ch" forName="parentText_6" refType="w" refFor="ch" refForName="accentShape_6" fact="0.26"/>
              <dgm:constr type="h" for="ch" forName="parentText_6" refType="h" refFor="ch" refForName="accentShape_6" fact="0.9"/>
            </dgm:constrLst>
          </dgm:else>
        </dgm:choose>
      </dgm:if>
      <dgm:else name="Name26">
        <dgm:alg type="composite">
          <dgm:param type="ar" val="2.7874"/>
        </dgm:alg>
        <dgm:shape xmlns:r="http://schemas.openxmlformats.org/officeDocument/2006/relationships" r:blip="">
          <dgm:adjLst/>
        </dgm:shape>
        <dgm:choose name="Name27">
          <dgm:if name="Name28" func="var" arg="dir" op="equ" val="norm">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6" refType="primFontSz" refFor="des" refForName="parentText_1" op="lte"/>
              <dgm:constr type="primFontSz" for="des" forName="childText_7"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6" refType="primFontSz" refFor="des" refForName="parentText_2" op="lte"/>
              <dgm:constr type="primFontSz" for="des" forName="childText_7"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6" refType="primFontSz" refFor="des" refForName="parentText_3" op="lte"/>
              <dgm:constr type="primFontSz" for="des" forName="childText_7"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6" refType="primFontSz" refFor="des" refForName="parentText_4" op="lte"/>
              <dgm:constr type="primFontSz" for="des" forName="childText_7"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childText_6" refType="primFontSz" refFor="des" refForName="parentText_5" op="lte"/>
              <dgm:constr type="primFontSz" for="des" forName="childText_7" refType="primFontSz" refFor="des" refForName="parentText_5" op="lte"/>
              <dgm:constr type="primFontSz" for="des" forName="childText_1" refType="primFontSz" refFor="des" refForName="parentText_6" op="lte"/>
              <dgm:constr type="primFontSz" for="des" forName="childText_2" refType="primFontSz" refFor="des" refForName="parentText_6" op="lte"/>
              <dgm:constr type="primFontSz" for="des" forName="childText_3" refType="primFontSz" refFor="des" refForName="parentText_6" op="lte"/>
              <dgm:constr type="primFontSz" for="des" forName="childText_4" refType="primFontSz" refFor="des" refForName="parentText_6" op="lte"/>
              <dgm:constr type="primFontSz" for="des" forName="childText_5" refType="primFontSz" refFor="des" refForName="parentText_6" op="lte"/>
              <dgm:constr type="primFontSz" for="des" forName="childText_6" refType="primFontSz" refFor="des" refForName="parentText_6" op="lte"/>
              <dgm:constr type="primFontSz" for="des" forName="childText_7" refType="primFontSz" refFor="des" refForName="parentText_6" op="lte"/>
              <dgm:constr type="primFontSz" for="des" forName="childText_1" refType="primFontSz" refFor="des" refForName="parentText_7" op="lte"/>
              <dgm:constr type="primFontSz" for="des" forName="childText_2" refType="primFontSz" refFor="des" refForName="parentText_7" op="lte"/>
              <dgm:constr type="primFontSz" for="des" forName="childText_3" refType="primFontSz" refFor="des" refForName="parentText_7" op="lte"/>
              <dgm:constr type="primFontSz" for="des" forName="childText_4" refType="primFontSz" refFor="des" refForName="parentText_7" op="lte"/>
              <dgm:constr type="primFontSz" for="des" forName="childText_5" refType="primFontSz" refFor="des" refForName="parentText_7" op="lte"/>
              <dgm:constr type="primFontSz" for="des" forName="childText_6" refType="primFontSz" refFor="des" refForName="parentText_7" op="lte"/>
              <dgm:constr type="primFontSz" for="des" forName="childText_7" refType="primFontSz" refFor="des" refForName="parentText_7"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parentText_6" refType="primFontSz" refFor="des" refForName="parentText_1" op="equ"/>
              <dgm:constr type="primFontSz" for="des" forName="parentText_7"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primFontSz" for="des" forName="childText_6" refType="primFontSz" refFor="des" refForName="childText_1" op="equ"/>
              <dgm:constr type="primFontSz" for="des" forName="childText_7" refType="primFontSz" refFor="des" refForName="childText_1" op="equ"/>
              <dgm:constr type="l" for="ch" forName="accentShape_1" refType="w" fact="0"/>
              <dgm:constr type="t" for="ch" forName="accentShape_1" refType="h" fact="0"/>
              <dgm:constr type="w" for="ch" forName="accentShape_1" refType="w" fact="0.1269"/>
              <dgm:constr type="h" for="ch" forName="accentShape_1" refType="h"/>
              <dgm:constr type="l" for="ch" forName="accentShape_2" refType="w" fact="0.1385"/>
              <dgm:constr type="t" for="ch" forName="accentShape_2" refType="h" fact="0.0833"/>
              <dgm:constr type="w" for="ch" forName="accentShape_2" refType="w" fact="0.1269"/>
              <dgm:constr type="h" for="ch" forName="accentShape_2" refType="h" fact="0.9165"/>
              <dgm:constr type="l" for="ch" forName="accentShape_3" refType="w" fact="0.277"/>
              <dgm:constr type="t" for="ch" forName="accentShape_3" refType="h" fact="0.1666"/>
              <dgm:constr type="w" for="ch" forName="accentShape_3" refType="w" fact="0.1269"/>
              <dgm:constr type="h" for="ch" forName="accentShape_3" refType="h" fact="0.8332"/>
              <dgm:constr type="l" for="ch" forName="accentShape_4" refType="w" fact="0.4155"/>
              <dgm:constr type="t" for="ch" forName="accentShape_4" refType="h" fact="0.2499"/>
              <dgm:constr type="w" for="ch" forName="accentShape_4" refType="w" fact="0.1269"/>
              <dgm:constr type="h" for="ch" forName="accentShape_4" refType="h" fact="0.7499"/>
              <dgm:constr type="l" for="ch" forName="accentShape_5" refType="w" fact="0.5539"/>
              <dgm:constr type="t" for="ch" forName="accentShape_5" refType="h" fact="0.3332"/>
              <dgm:constr type="w" for="ch" forName="accentShape_5" refType="w" fact="0.1269"/>
              <dgm:constr type="h" for="ch" forName="accentShape_5" refType="h" fact="0.6666"/>
              <dgm:constr type="l" for="ch" forName="accentShape_6" refType="w" fact="0.6938"/>
              <dgm:constr type="t" for="ch" forName="accentShape_6" refType="h" fact="0.4165"/>
              <dgm:constr type="w" for="ch" forName="accentShape_6" refType="w" fact="0.1269"/>
              <dgm:constr type="h" for="ch" forName="accentShape_6" refType="h" fact="0.5833"/>
              <dgm:constr type="l" for="ch" forName="accentShape_7" refType="w" fact="0.8326"/>
              <dgm:constr type="t" for="ch" forName="accentShape_7" refType="h" fact="0.5"/>
              <dgm:constr type="w" for="ch" forName="accentShape_7" refType="w" fact="0.1269"/>
              <dgm:constr type="h" for="ch" forName="accentShape_7" refType="h" fact="0.5"/>
              <dgm:constr type="l" for="ch" forName="parentText_1" refType="w" fact="0.0888"/>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2" refType="w" fact="0.2273"/>
              <dgm:constr type="t" for="ch" forName="parentText_2" refType="h" fact="0.0833"/>
              <dgm:constr type="w" for="ch" forName="parentText_2" refType="w" refFor="ch" refForName="accentShape_2" fact="0.26"/>
              <dgm:constr type="h" for="ch" forName="parentText_2" refType="h" refFor="ch" refForName="accentShape_2" fact="0.9"/>
              <dgm:constr type="l" for="ch" forName="parentText_3" refType="w" fact="0.36583"/>
              <dgm:constr type="t" for="ch" forName="parentText_3" refType="h" fact="0.1666"/>
              <dgm:constr type="w" for="ch" forName="parentText_3" refType="w" refFor="ch" refForName="accentShape_3" fact="0.26"/>
              <dgm:constr type="h" for="ch" forName="parentText_3" refType="h" refFor="ch" refForName="accentShape_3" fact="0.9"/>
              <dgm:constr type="l" for="ch" forName="parentText_4" refType="w" fact="0.5043"/>
              <dgm:constr type="t" for="ch" forName="parentText_4" refType="h" fact="0.2499"/>
              <dgm:constr type="w" for="ch" forName="parentText_4" refType="w" refFor="ch" refForName="accentShape_4" fact="0.26"/>
              <dgm:constr type="h" for="ch" forName="parentText_4" refType="h" refFor="ch" refForName="accentShape_4" fact="0.9"/>
              <dgm:constr type="l" for="ch" forName="parentText_5" refType="w" fact="0.6427"/>
              <dgm:constr type="t" for="ch" forName="parentText_5" refType="h" fact="0.3332"/>
              <dgm:constr type="w" for="ch" forName="parentText_5" refType="w" refFor="ch" refForName="accentShape_5" fact="0.26"/>
              <dgm:constr type="h" for="ch" forName="parentText_5" refType="h" refFor="ch" refForName="accentShape_5" fact="0.9"/>
              <dgm:constr type="l" for="ch" forName="parentText_6" refType="w" fact="0.78263"/>
              <dgm:constr type="t" for="ch" forName="parentText_6" refType="h" fact="0.4165"/>
              <dgm:constr type="w" for="ch" forName="parentText_6" refType="w" refFor="ch" refForName="accentShape_6" fact="0.26"/>
              <dgm:constr type="h" for="ch" forName="parentText_6" refType="h" refFor="ch" refForName="accentShape_6" fact="0.9"/>
              <dgm:constr type="l" for="ch" forName="parentText_7" refType="w" fact="0.92143"/>
              <dgm:constr type="t" for="ch" forName="parentText_7" refType="h" fact="0.5"/>
              <dgm:constr type="w" for="ch" forName="parentText_7" refType="w" refFor="ch" refForName="accentShape_7" fact="0.26"/>
              <dgm:constr type="h" for="ch" forName="parentText_7" refType="h" refFor="ch" refForName="accentShape_7" fact="0.9"/>
              <dgm:constr type="l" for="ch" forName="childText_1" refType="w" fact="0"/>
              <dgm:constr type="t" for="ch" forName="childText_1" refType="h" fact="0"/>
              <dgm:constr type="w" for="ch" forName="childText_1" refType="w" refFor="ch" refForName="accentShape_1" fact="0.7"/>
              <dgm:constr type="h" for="ch" forName="childText_1" refType="h" refFor="ch" refForName="accentShape_1"/>
              <dgm:constr type="l" for="ch" forName="childText_2" refType="w" fact="0.1385"/>
              <dgm:constr type="t" for="ch" forName="childText_2" refType="h" fact="0.0833"/>
              <dgm:constr type="w" for="ch" forName="childText_2" refType="w" refFor="ch" refForName="accentShape_2" fact="0.7"/>
              <dgm:constr type="h" for="ch" forName="childText_2" refType="h" refFor="ch" refForName="accentShape_2"/>
              <dgm:constr type="l" for="ch" forName="childText_3" refType="w" fact="0.277"/>
              <dgm:constr type="t" for="ch" forName="childText_3" refType="h" fact="0.1666"/>
              <dgm:constr type="w" for="ch" forName="childText_3" refType="w" refFor="ch" refForName="accentShape_3" fact="0.7"/>
              <dgm:constr type="h" for="ch" forName="childText_3" refType="h" refFor="ch" refForName="accentShape_3"/>
              <dgm:constr type="l" for="ch" forName="childText_4" refType="w" fact="0.4155"/>
              <dgm:constr type="t" for="ch" forName="childText_4" refType="h" fact="0.2499"/>
              <dgm:constr type="w" for="ch" forName="childText_4" refType="w" refFor="ch" refForName="accentShape_4" fact="0.7"/>
              <dgm:constr type="h" for="ch" forName="childText_4" refType="h" refFor="ch" refForName="accentShape_4"/>
              <dgm:constr type="l" for="ch" forName="childText_5" refType="w" fact="0.5539"/>
              <dgm:constr type="t" for="ch" forName="childText_5" refType="h" fact="0.3332"/>
              <dgm:constr type="w" for="ch" forName="childText_5" refType="w" refFor="ch" refForName="accentShape_5" fact="0.7"/>
              <dgm:constr type="h" for="ch" forName="childText_5" refType="h" refFor="ch" refForName="accentShape_5"/>
              <dgm:constr type="l" for="ch" forName="childText_6" refType="w" fact="0.6938"/>
              <dgm:constr type="t" for="ch" forName="childText_6" refType="h" fact="0.4165"/>
              <dgm:constr type="w" for="ch" forName="childText_6" refType="w" refFor="ch" refForName="accentShape_6" fact="0.7"/>
              <dgm:constr type="h" for="ch" forName="childText_6" refType="h" refFor="ch" refForName="accentShape_6"/>
              <dgm:constr type="l" for="ch" forName="childText_7" refType="w" fact="0.8326"/>
              <dgm:constr type="t" for="ch" forName="childText_7" refType="h" fact="0.5"/>
              <dgm:constr type="w" for="ch" forName="childText_7" refType="w" refFor="ch" refForName="accentShape_7" fact="0.7"/>
              <dgm:constr type="h" for="ch" forName="childText_7" refType="h" refFor="ch" refForName="accentShape_7"/>
            </dgm:constrLst>
          </dgm:if>
          <dgm:else name="Name29">
            <dgm:constrLst>
              <dgm:constr type="primFontSz" for="des" forName="childText_1" val="65"/>
              <dgm:constr type="primFontSz" for="des" forName="parentText_1" val="65"/>
              <dgm:constr type="primFontSz" for="des" forName="childText_1" refType="primFontSz" refFor="des" refForName="parentText_1" op="lte"/>
              <dgm:constr type="primFontSz" for="des" forName="childText_2" refType="primFontSz" refFor="des" refForName="parentText_1" op="lte"/>
              <dgm:constr type="primFontSz" for="des" forName="childText_3" refType="primFontSz" refFor="des" refForName="parentText_1" op="lte"/>
              <dgm:constr type="primFontSz" for="des" forName="childText_4" refType="primFontSz" refFor="des" refForName="parentText_1" op="lte"/>
              <dgm:constr type="primFontSz" for="des" forName="childText_5" refType="primFontSz" refFor="des" refForName="parentText_1" op="lte"/>
              <dgm:constr type="primFontSz" for="des" forName="childText_6" refType="primFontSz" refFor="des" refForName="parentText_1" op="lte"/>
              <dgm:constr type="primFontSz" for="des" forName="childText_7" refType="primFontSz" refFor="des" refForName="parentText_1" op="lte"/>
              <dgm:constr type="primFontSz" for="des" forName="childText_1" refType="primFontSz" refFor="des" refForName="parentText_2" op="lte"/>
              <dgm:constr type="primFontSz" for="des" forName="childText_2" refType="primFontSz" refFor="des" refForName="parentText_2" op="lte"/>
              <dgm:constr type="primFontSz" for="des" forName="childText_3" refType="primFontSz" refFor="des" refForName="parentText_2" op="lte"/>
              <dgm:constr type="primFontSz" for="des" forName="childText_4" refType="primFontSz" refFor="des" refForName="parentText_2" op="lte"/>
              <dgm:constr type="primFontSz" for="des" forName="childText_5" refType="primFontSz" refFor="des" refForName="parentText_2" op="lte"/>
              <dgm:constr type="primFontSz" for="des" forName="childText_6" refType="primFontSz" refFor="des" refForName="parentText_2" op="lte"/>
              <dgm:constr type="primFontSz" for="des" forName="childText_7" refType="primFontSz" refFor="des" refForName="parentText_2" op="lte"/>
              <dgm:constr type="primFontSz" for="des" forName="childText_1" refType="primFontSz" refFor="des" refForName="parentText_3" op="lte"/>
              <dgm:constr type="primFontSz" for="des" forName="childText_2" refType="primFontSz" refFor="des" refForName="parentText_3" op="lte"/>
              <dgm:constr type="primFontSz" for="des" forName="childText_3" refType="primFontSz" refFor="des" refForName="parentText_3" op="lte"/>
              <dgm:constr type="primFontSz" for="des" forName="childText_4" refType="primFontSz" refFor="des" refForName="parentText_3" op="lte"/>
              <dgm:constr type="primFontSz" for="des" forName="childText_5" refType="primFontSz" refFor="des" refForName="parentText_3" op="lte"/>
              <dgm:constr type="primFontSz" for="des" forName="childText_6" refType="primFontSz" refFor="des" refForName="parentText_3" op="lte"/>
              <dgm:constr type="primFontSz" for="des" forName="childText_7" refType="primFontSz" refFor="des" refForName="parentText_3" op="lte"/>
              <dgm:constr type="primFontSz" for="des" forName="childText_1" refType="primFontSz" refFor="des" refForName="parentText_4" op="lte"/>
              <dgm:constr type="primFontSz" for="des" forName="childText_2" refType="primFontSz" refFor="des" refForName="parentText_4" op="lte"/>
              <dgm:constr type="primFontSz" for="des" forName="childText_3" refType="primFontSz" refFor="des" refForName="parentText_4" op="lte"/>
              <dgm:constr type="primFontSz" for="des" forName="childText_4" refType="primFontSz" refFor="des" refForName="parentText_4" op="lte"/>
              <dgm:constr type="primFontSz" for="des" forName="childText_5" refType="primFontSz" refFor="des" refForName="parentText_4" op="lte"/>
              <dgm:constr type="primFontSz" for="des" forName="childText_6" refType="primFontSz" refFor="des" refForName="parentText_4" op="lte"/>
              <dgm:constr type="primFontSz" for="des" forName="childText_7" refType="primFontSz" refFor="des" refForName="parentText_4" op="lte"/>
              <dgm:constr type="primFontSz" for="des" forName="childText_1" refType="primFontSz" refFor="des" refForName="parentText_5" op="lte"/>
              <dgm:constr type="primFontSz" for="des" forName="childText_2" refType="primFontSz" refFor="des" refForName="parentText_5" op="lte"/>
              <dgm:constr type="primFontSz" for="des" forName="childText_3" refType="primFontSz" refFor="des" refForName="parentText_5" op="lte"/>
              <dgm:constr type="primFontSz" for="des" forName="childText_4" refType="primFontSz" refFor="des" refForName="parentText_5" op="lte"/>
              <dgm:constr type="primFontSz" for="des" forName="childText_5" refType="primFontSz" refFor="des" refForName="parentText_5" op="lte"/>
              <dgm:constr type="primFontSz" for="des" forName="childText_6" refType="primFontSz" refFor="des" refForName="parentText_5" op="lte"/>
              <dgm:constr type="primFontSz" for="des" forName="childText_7" refType="primFontSz" refFor="des" refForName="parentText_5" op="lte"/>
              <dgm:constr type="primFontSz" for="des" forName="childText_1" refType="primFontSz" refFor="des" refForName="parentText_6" op="lte"/>
              <dgm:constr type="primFontSz" for="des" forName="childText_2" refType="primFontSz" refFor="des" refForName="parentText_6" op="lte"/>
              <dgm:constr type="primFontSz" for="des" forName="childText_3" refType="primFontSz" refFor="des" refForName="parentText_6" op="lte"/>
              <dgm:constr type="primFontSz" for="des" forName="childText_4" refType="primFontSz" refFor="des" refForName="parentText_6" op="lte"/>
              <dgm:constr type="primFontSz" for="des" forName="childText_5" refType="primFontSz" refFor="des" refForName="parentText_6" op="lte"/>
              <dgm:constr type="primFontSz" for="des" forName="childText_6" refType="primFontSz" refFor="des" refForName="parentText_6" op="lte"/>
              <dgm:constr type="primFontSz" for="des" forName="childText_7" refType="primFontSz" refFor="des" refForName="parentText_6" op="lte"/>
              <dgm:constr type="primFontSz" for="des" forName="childText_1" refType="primFontSz" refFor="des" refForName="parentText_7" op="lte"/>
              <dgm:constr type="primFontSz" for="des" forName="childText_2" refType="primFontSz" refFor="des" refForName="parentText_7" op="lte"/>
              <dgm:constr type="primFontSz" for="des" forName="childText_3" refType="primFontSz" refFor="des" refForName="parentText_7" op="lte"/>
              <dgm:constr type="primFontSz" for="des" forName="childText_4" refType="primFontSz" refFor="des" refForName="parentText_7" op="lte"/>
              <dgm:constr type="primFontSz" for="des" forName="childText_5" refType="primFontSz" refFor="des" refForName="parentText_7" op="lte"/>
              <dgm:constr type="primFontSz" for="des" forName="childText_6" refType="primFontSz" refFor="des" refForName="parentText_7" op="lte"/>
              <dgm:constr type="primFontSz" for="des" forName="childText_7" refType="primFontSz" refFor="des" refForName="parentText_7" op="lte"/>
              <dgm:constr type="primFontSz" for="des" forName="parentText_2" refType="primFontSz" refFor="des" refForName="parentText_1" op="equ"/>
              <dgm:constr type="primFontSz" for="des" forName="parentText_3" refType="primFontSz" refFor="des" refForName="parentText_1" op="equ"/>
              <dgm:constr type="primFontSz" for="des" forName="parentText_4" refType="primFontSz" refFor="des" refForName="parentText_1" op="equ"/>
              <dgm:constr type="primFontSz" for="des" forName="parentText_5" refType="primFontSz" refFor="des" refForName="parentText_1" op="equ"/>
              <dgm:constr type="primFontSz" for="des" forName="parentText_6" refType="primFontSz" refFor="des" refForName="parentText_1" op="equ"/>
              <dgm:constr type="primFontSz" for="des" forName="parentText_7" refType="primFontSz" refFor="des" refForName="parentText_1" op="equ"/>
              <dgm:constr type="primFontSz" for="des" forName="childText_2" refType="primFontSz" refFor="des" refForName="childText_1" op="equ"/>
              <dgm:constr type="primFontSz" for="des" forName="childText_3" refType="primFontSz" refFor="des" refForName="childText_1" op="equ"/>
              <dgm:constr type="primFontSz" for="des" forName="childText_4" refType="primFontSz" refFor="des" refForName="childText_1" op="equ"/>
              <dgm:constr type="primFontSz" for="des" forName="childText_5" refType="primFontSz" refFor="des" refForName="childText_1" op="equ"/>
              <dgm:constr type="primFontSz" for="des" forName="childText_6" refType="primFontSz" refFor="des" refForName="childText_1" op="equ"/>
              <dgm:constr type="primFontSz" for="des" forName="childText_7" refType="primFontSz" refFor="des" refForName="childText_1" op="equ"/>
              <dgm:constr type="l" for="ch" forName="accentShape_7" refType="w" fact="0"/>
              <dgm:constr type="t" for="ch" forName="accentShape_1" refType="h" fact="0"/>
              <dgm:constr type="w" for="ch" forName="accentShape_1" refType="w" fact="0.1269"/>
              <dgm:constr type="h" for="ch" forName="accentShape_1" refType="h"/>
              <dgm:constr type="l" for="ch" forName="accentShape_6" refType="w" fact="0.1385"/>
              <dgm:constr type="t" for="ch" forName="accentShape_2" refType="h" fact="0.0833"/>
              <dgm:constr type="w" for="ch" forName="accentShape_2" refType="w" fact="0.1269"/>
              <dgm:constr type="h" for="ch" forName="accentShape_2" refType="h" fact="0.9165"/>
              <dgm:constr type="l" for="ch" forName="accentShape_5" refType="w" fact="0.277"/>
              <dgm:constr type="t" for="ch" forName="accentShape_3" refType="h" fact="0.1666"/>
              <dgm:constr type="w" for="ch" forName="accentShape_3" refType="w" fact="0.1269"/>
              <dgm:constr type="h" for="ch" forName="accentShape_3" refType="h" fact="0.8332"/>
              <dgm:constr type="l" for="ch" forName="accentShape_4" refType="w" fact="0.4155"/>
              <dgm:constr type="t" for="ch" forName="accentShape_4" refType="h" fact="0.2499"/>
              <dgm:constr type="w" for="ch" forName="accentShape_4" refType="w" fact="0.1269"/>
              <dgm:constr type="h" for="ch" forName="accentShape_4" refType="h" fact="0.7499"/>
              <dgm:constr type="l" for="ch" forName="accentShape_3" refType="w" fact="0.5539"/>
              <dgm:constr type="t" for="ch" forName="accentShape_5" refType="h" fact="0.3332"/>
              <dgm:constr type="w" for="ch" forName="accentShape_5" refType="w" fact="0.1269"/>
              <dgm:constr type="h" for="ch" forName="accentShape_5" refType="h" fact="0.6666"/>
              <dgm:constr type="l" for="ch" forName="accentShape_2" refType="w" fact="0.6938"/>
              <dgm:constr type="t" for="ch" forName="accentShape_6" refType="h" fact="0.4165"/>
              <dgm:constr type="w" for="ch" forName="accentShape_6" refType="w" fact="0.1269"/>
              <dgm:constr type="h" for="ch" forName="accentShape_6" refType="h" fact="0.5833"/>
              <dgm:constr type="l" for="ch" forName="accentShape_1" refType="w" fact="0.8326"/>
              <dgm:constr type="t" for="ch" forName="accentShape_7" refType="h" fact="0.5"/>
              <dgm:constr type="w" for="ch" forName="accentShape_7" refType="w" fact="0.1269"/>
              <dgm:constr type="h" for="ch" forName="accentShape_7" refType="h" fact="0.5"/>
              <dgm:constr type="l" for="ch" forName="parentText_7" refType="w" fact="0.0888"/>
              <dgm:constr type="t" for="ch" forName="parentText_1" refType="h" fact="0"/>
              <dgm:constr type="w" for="ch" forName="parentText_1" refType="w" refFor="ch" refForName="accentShape_1" fact="0.26"/>
              <dgm:constr type="h" for="ch" forName="parentText_1" refType="h" refFor="ch" refForName="accentShape_1" fact="0.9"/>
              <dgm:constr type="l" for="ch" forName="parentText_6" refType="w" fact="0.2273"/>
              <dgm:constr type="t" for="ch" forName="parentText_2" refType="h" fact="0.0833"/>
              <dgm:constr type="w" for="ch" forName="parentText_2" refType="w" refFor="ch" refForName="accentShape_2" fact="0.26"/>
              <dgm:constr type="h" for="ch" forName="parentText_2" refType="h" refFor="ch" refForName="accentShape_2" fact="0.9"/>
              <dgm:constr type="l" for="ch" forName="parentText_5" refType="w" fact="0.36583"/>
              <dgm:constr type="t" for="ch" forName="parentText_3" refType="h" fact="0.1666"/>
              <dgm:constr type="w" for="ch" forName="parentText_3" refType="w" refFor="ch" refForName="accentShape_3" fact="0.26"/>
              <dgm:constr type="h" for="ch" forName="parentText_3" refType="h" refFor="ch" refForName="accentShape_3" fact="0.9"/>
              <dgm:constr type="l" for="ch" forName="parentText_4" refType="w" fact="0.5043"/>
              <dgm:constr type="t" for="ch" forName="parentText_4" refType="h" fact="0.2499"/>
              <dgm:constr type="w" for="ch" forName="parentText_4" refType="w" refFor="ch" refForName="accentShape_4" fact="0.26"/>
              <dgm:constr type="h" for="ch" forName="parentText_4" refType="h" refFor="ch" refForName="accentShape_4" fact="0.9"/>
              <dgm:constr type="l" for="ch" forName="parentText_3" refType="w" fact="0.6427"/>
              <dgm:constr type="t" for="ch" forName="parentText_5" refType="h" fact="0.3332"/>
              <dgm:constr type="w" for="ch" forName="parentText_5" refType="w" refFor="ch" refForName="accentShape_5" fact="0.26"/>
              <dgm:constr type="h" for="ch" forName="parentText_5" refType="h" refFor="ch" refForName="accentShape_5" fact="0.9"/>
              <dgm:constr type="l" for="ch" forName="parentText_2" refType="w" fact="0.78263"/>
              <dgm:constr type="t" for="ch" forName="parentText_6" refType="h" fact="0.4165"/>
              <dgm:constr type="w" for="ch" forName="parentText_6" refType="w" refFor="ch" refForName="accentShape_6" fact="0.26"/>
              <dgm:constr type="h" for="ch" forName="parentText_6" refType="h" refFor="ch" refForName="accentShape_6" fact="0.9"/>
              <dgm:constr type="l" for="ch" forName="parentText_1" refType="w" fact="0.92143"/>
              <dgm:constr type="t" for="ch" forName="parentText_7" refType="h" fact="0.5"/>
              <dgm:constr type="w" for="ch" forName="parentText_7" refType="w" refFor="ch" refForName="accentShape_7" fact="0.26"/>
              <dgm:constr type="h" for="ch" forName="parentText_7" refType="h" refFor="ch" refForName="accentShape_7" fact="0.9"/>
              <dgm:constr type="l" for="ch" forName="childText_7" refType="w" fact="0"/>
              <dgm:constr type="t" for="ch" forName="childText_1" refType="h" fact="0"/>
              <dgm:constr type="w" for="ch" forName="childText_1" refType="w" refFor="ch" refForName="accentShape_1" fact="0.7"/>
              <dgm:constr type="h" for="ch" forName="childText_1" refType="h" refFor="ch" refForName="accentShape_1"/>
              <dgm:constr type="l" for="ch" forName="childText_6" refType="w" fact="0.1385"/>
              <dgm:constr type="t" for="ch" forName="childText_2" refType="h" fact="0.0833"/>
              <dgm:constr type="w" for="ch" forName="childText_2" refType="w" refFor="ch" refForName="accentShape_2" fact="0.7"/>
              <dgm:constr type="h" for="ch" forName="childText_2" refType="h" refFor="ch" refForName="accentShape_2"/>
              <dgm:constr type="l" for="ch" forName="childText_5" refType="w" fact="0.277"/>
              <dgm:constr type="t" for="ch" forName="childText_3" refType="h" fact="0.1666"/>
              <dgm:constr type="w" for="ch" forName="childText_3" refType="w" refFor="ch" refForName="accentShape_3" fact="0.7"/>
              <dgm:constr type="h" for="ch" forName="childText_3" refType="h" refFor="ch" refForName="accentShape_3"/>
              <dgm:constr type="l" for="ch" forName="childText_4" refType="w" fact="0.4155"/>
              <dgm:constr type="t" for="ch" forName="childText_4" refType="h" fact="0.2499"/>
              <dgm:constr type="w" for="ch" forName="childText_4" refType="w" refFor="ch" refForName="accentShape_4" fact="0.7"/>
              <dgm:constr type="h" for="ch" forName="childText_4" refType="h" refFor="ch" refForName="accentShape_4"/>
              <dgm:constr type="l" for="ch" forName="childText_3" refType="w" fact="0.5539"/>
              <dgm:constr type="t" for="ch" forName="childText_5" refType="h" fact="0.3332"/>
              <dgm:constr type="w" for="ch" forName="childText_5" refType="w" refFor="ch" refForName="accentShape_5" fact="0.7"/>
              <dgm:constr type="h" for="ch" forName="childText_5" refType="h" refFor="ch" refForName="accentShape_5"/>
              <dgm:constr type="l" for="ch" forName="childText_2" refType="w" fact="0.6938"/>
              <dgm:constr type="t" for="ch" forName="childText_6" refType="h" fact="0.4165"/>
              <dgm:constr type="w" for="ch" forName="childText_6" refType="w" refFor="ch" refForName="accentShape_6" fact="0.7"/>
              <dgm:constr type="h" for="ch" forName="childText_6" refType="h" refFor="ch" refForName="accentShape_6"/>
              <dgm:constr type="l" for="ch" forName="childText_1" refType="w" fact="0.8326"/>
              <dgm:constr type="t" for="ch" forName="childText_7" refType="h" fact="0.5"/>
              <dgm:constr type="w" for="ch" forName="childText_7" refType="w" refFor="ch" refForName="accentShape_7" fact="0.7"/>
              <dgm:constr type="h" for="ch" forName="childText_7" refType="h" refFor="ch" refForName="accentShape_7"/>
            </dgm:constrLst>
          </dgm:else>
        </dgm:choose>
      </dgm:else>
    </dgm:choose>
    <dgm:forEach name="wrapper" axis="self" ptType="parTrans">
      <dgm:forEach name="accentRepeat" axis="self">
        <dgm:layoutNode name="imageRepeatNode" styleLbl="node1">
          <dgm:alg type="sp"/>
          <dgm:shape xmlns:r="http://schemas.openxmlformats.org/officeDocument/2006/relationships" type="rect" r:blip="" zOrderOff="-10">
            <dgm:adjLst/>
          </dgm:shape>
          <dgm:presOf axis="self"/>
        </dgm:layoutNode>
      </dgm:forEach>
    </dgm:forEach>
    <dgm:forEach name="Name30" axis="ch" ptType="node" cnt="1">
      <dgm:layoutNode name="parentText_1" styleLbl="node1">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1" styleLbl="node1">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1">
        <dgm:alg type="sp"/>
        <dgm:shape xmlns:r="http://schemas.openxmlformats.org/officeDocument/2006/relationships" r:blip="">
          <dgm:adjLst/>
        </dgm:shape>
        <dgm:presOf/>
        <dgm:constrLst/>
        <dgm:forEach name="Name31" ref="accentRepeat"/>
      </dgm:layoutNode>
    </dgm:forEach>
    <dgm:forEach name="Name32" axis="ch" ptType="node" st="2" cnt="1">
      <dgm:layoutNode name="parentText_2">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2">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2">
        <dgm:alg type="sp"/>
        <dgm:shape xmlns:r="http://schemas.openxmlformats.org/officeDocument/2006/relationships" r:blip="">
          <dgm:adjLst/>
        </dgm:shape>
        <dgm:presOf/>
        <dgm:constrLst/>
        <dgm:forEach name="Name33" ref="accentRepeat"/>
      </dgm:layoutNode>
    </dgm:forEach>
    <dgm:forEach name="Name34" axis="ch" ptType="node" st="3" cnt="1">
      <dgm:layoutNode name="parentText_3">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3">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3">
        <dgm:alg type="sp"/>
        <dgm:shape xmlns:r="http://schemas.openxmlformats.org/officeDocument/2006/relationships" r:blip="">
          <dgm:adjLst/>
        </dgm:shape>
        <dgm:presOf/>
        <dgm:constrLst/>
        <dgm:forEach name="Name35" ref="accentRepeat"/>
      </dgm:layoutNode>
    </dgm:forEach>
    <dgm:forEach name="Name36" axis="ch" ptType="node" st="4" cnt="1">
      <dgm:layoutNode name="parentText_4">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4">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4">
        <dgm:alg type="sp"/>
        <dgm:shape xmlns:r="http://schemas.openxmlformats.org/officeDocument/2006/relationships" r:blip="">
          <dgm:adjLst/>
        </dgm:shape>
        <dgm:presOf/>
        <dgm:constrLst/>
        <dgm:forEach name="Name37" ref="accentRepeat"/>
      </dgm:layoutNode>
    </dgm:forEach>
    <dgm:forEach name="Name38" axis="ch" ptType="node" st="5" cnt="1">
      <dgm:layoutNode name="parentText_5">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45"/>
          <dgm:constr type="tMarg" refType="primFontSz" fact="0"/>
          <dgm:constr type="bMarg" refType="primFontSz" fact="0.1"/>
        </dgm:constrLst>
        <dgm:ruleLst>
          <dgm:rule type="primFontSz" val="5" fact="NaN" max="NaN"/>
        </dgm:ruleLst>
      </dgm:layoutNode>
      <dgm:layoutNode name="childText_5">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5">
        <dgm:alg type="sp"/>
        <dgm:shape xmlns:r="http://schemas.openxmlformats.org/officeDocument/2006/relationships" r:blip="">
          <dgm:adjLst/>
        </dgm:shape>
        <dgm:presOf/>
        <dgm:constrLst/>
        <dgm:forEach name="Name39" ref="accentRepeat"/>
      </dgm:layoutNode>
    </dgm:forEach>
    <dgm:forEach name="Name40" axis="ch" ptType="node" st="6" cnt="1">
      <dgm:layoutNode name="parentText_6">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3"/>
          <dgm:constr type="tMarg" refType="primFontSz" fact="0"/>
          <dgm:constr type="bMarg" refType="primFontSz" fact="0.1"/>
        </dgm:constrLst>
        <dgm:ruleLst>
          <dgm:rule type="primFontSz" val="5" fact="NaN" max="NaN"/>
        </dgm:ruleLst>
      </dgm:layoutNode>
      <dgm:layoutNode name="childText_6">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6">
        <dgm:alg type="sp"/>
        <dgm:shape xmlns:r="http://schemas.openxmlformats.org/officeDocument/2006/relationships" r:blip="">
          <dgm:adjLst/>
        </dgm:shape>
        <dgm:presOf/>
        <dgm:constrLst/>
        <dgm:forEach name="Name41" ref="accentRepeat"/>
      </dgm:layoutNode>
    </dgm:forEach>
    <dgm:forEach name="Name42" axis="ch" ptType="node" st="7" cnt="1">
      <dgm:layoutNode name="parentText_7">
        <dgm:varLst>
          <dgm:chMax val="1"/>
          <dgm:chPref val="1"/>
          <dgm:bulletEnabled val="1"/>
        </dgm:varLst>
        <dgm:alg type="tx">
          <dgm:param type="parTxLTRAlign" val="r"/>
          <dgm:param type="shpTxLTRAlignCh" val="r"/>
          <dgm:param type="txAnchorVertCh" val="mid"/>
          <dgm:param type="autoTxRot" val="grav"/>
        </dgm:alg>
        <dgm:shape xmlns:r="http://schemas.openxmlformats.org/officeDocument/2006/relationships" rot="-90" type="rect" r:blip="" hideGeom="1">
          <dgm:adjLst/>
        </dgm:shape>
        <dgm:presOf axis="self" ptType="node"/>
        <dgm:constrLst>
          <dgm:constr type="lMarg" refType="primFontSz" fact="0.3"/>
          <dgm:constr type="rMarg" refType="primFontSz" fact="0.3"/>
          <dgm:constr type="tMarg" refType="primFontSz" fact="0"/>
          <dgm:constr type="bMarg" refType="primFontSz" fact="0.1"/>
        </dgm:constrLst>
        <dgm:ruleLst>
          <dgm:rule type="primFontSz" val="5" fact="NaN" max="NaN"/>
        </dgm:ruleLst>
      </dgm:layoutNode>
      <dgm:layoutNode name="childText_7">
        <dgm:varLst>
          <dgm:chMax val="0"/>
          <dgm:chPref val="0"/>
          <dgm:bulletEnabled val="1"/>
        </dgm:varLst>
        <dgm:alg type="tx">
          <dgm:param type="txAnchorVert" val="t"/>
          <dgm:param type="parTxLTRAlign" val="l"/>
        </dgm:alg>
        <dgm:shape xmlns:r="http://schemas.openxmlformats.org/officeDocument/2006/relationships" type="rect" r:blip="" hideGeom="1">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Shape_7">
        <dgm:alg type="sp"/>
        <dgm:shape xmlns:r="http://schemas.openxmlformats.org/officeDocument/2006/relationships" r:blip="">
          <dgm:adjLst/>
        </dgm:shape>
        <dgm:presOf/>
        <dgm:constrLst/>
        <dgm:forEach name="Name43" ref="accentRepea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0.75729</cdr:x>
      <cdr:y>0.63067</cdr:y>
    </cdr:from>
    <cdr:to>
      <cdr:x>0.91979</cdr:x>
      <cdr:y>0.80908</cdr:y>
    </cdr:to>
    <cdr:sp macro="" textlink="">
      <cdr:nvSpPr>
        <cdr:cNvPr id="3" name="2 CuadroTexto"/>
        <cdr:cNvSpPr txBox="1"/>
      </cdr:nvSpPr>
      <cdr:spPr>
        <a:xfrm xmlns:a="http://schemas.openxmlformats.org/drawingml/2006/main">
          <a:off x="3462338" y="1919288"/>
          <a:ext cx="742950" cy="542925"/>
        </a:xfrm>
        <a:prstGeom xmlns:a="http://schemas.openxmlformats.org/drawingml/2006/main" prst="rect">
          <a:avLst/>
        </a:prstGeom>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pPr algn="ctr"/>
          <a:r>
            <a:rPr lang="es-MX" sz="800">
              <a:solidFill>
                <a:schemeClr val="bg1"/>
              </a:solidFill>
              <a:latin typeface="Adobe Caslon Pro" pitchFamily="18" charset="0"/>
            </a:rPr>
            <a:t>Nay, NL, Sin y Son.</a:t>
          </a:r>
        </a:p>
      </cdr:txBody>
    </cdr:sp>
  </cdr:relSizeAnchor>
  <cdr:relSizeAnchor xmlns:cdr="http://schemas.openxmlformats.org/drawingml/2006/chartDrawing">
    <cdr:from>
      <cdr:x>0.74063</cdr:x>
      <cdr:y>0.74335</cdr:y>
    </cdr:from>
    <cdr:to>
      <cdr:x>0.90938</cdr:x>
      <cdr:y>0.8748</cdr:y>
    </cdr:to>
    <cdr:sp macro="" textlink="">
      <cdr:nvSpPr>
        <cdr:cNvPr id="4" name="3 CuadroTexto"/>
        <cdr:cNvSpPr txBox="1"/>
      </cdr:nvSpPr>
      <cdr:spPr>
        <a:xfrm xmlns:a="http://schemas.openxmlformats.org/drawingml/2006/main">
          <a:off x="3386138" y="2262188"/>
          <a:ext cx="771525" cy="4000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MX" sz="1100"/>
        </a:p>
      </cdr:txBody>
    </cdr:sp>
  </cdr:relSizeAnchor>
  <cdr:relSizeAnchor xmlns:cdr="http://schemas.openxmlformats.org/drawingml/2006/chartDrawing">
    <cdr:from>
      <cdr:x>0.20486</cdr:x>
      <cdr:y>0.63641</cdr:y>
    </cdr:from>
    <cdr:to>
      <cdr:x>0.36736</cdr:x>
      <cdr:y>0.81481</cdr:y>
    </cdr:to>
    <cdr:sp macro="" textlink="">
      <cdr:nvSpPr>
        <cdr:cNvPr id="5" name="1 CuadroTexto"/>
        <cdr:cNvSpPr txBox="1"/>
      </cdr:nvSpPr>
      <cdr:spPr>
        <a:xfrm xmlns:a="http://schemas.openxmlformats.org/drawingml/2006/main">
          <a:off x="936625" y="1936750"/>
          <a:ext cx="742950" cy="542925"/>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MX" sz="800">
              <a:solidFill>
                <a:schemeClr val="bg1"/>
              </a:solidFill>
              <a:latin typeface="Adobe Caslon Pro" pitchFamily="18" charset="0"/>
            </a:rPr>
            <a:t>Hgo, Méx, Oax y Tab.</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Activo de imagen" ma:contentTypeID="0x0101009148F5A04DDD49CBA7127AADA5FB792B00AADE34325A8B49CDA8BB4DB53328F21400FF0520D5D768CD4FA20B4CB9EEB6486E" ma:contentTypeVersion="38" ma:contentTypeDescription="Cargar una imagen." ma:contentTypeScope="" ma:versionID="4699688576fed38a96d4f492235b8a86">
  <xsd:schema xmlns:xsd="http://www.w3.org/2001/XMLSchema" xmlns:xs="http://www.w3.org/2001/XMLSchema" xmlns:p="http://schemas.microsoft.com/office/2006/metadata/properties" xmlns:ns1="http://schemas.microsoft.com/sharepoint/v3" xmlns:ns2="5B24DAFA-154C-45A6-B0B9-BFB04B485F80" xmlns:ns3="http://schemas.microsoft.com/sharepoint/v3/fields" xmlns:ns4="571982ab-478d-447f-affd-9b4427d393f9" xmlns:ns5="5b24dafa-154c-45a6-b0b9-bfb04b485f80" targetNamespace="http://schemas.microsoft.com/office/2006/metadata/properties" ma:root="true" ma:fieldsID="c7f2b2967c23590c122b568f34698751" ns1:_="" ns2:_="" ns3:_="" ns4:_="" ns5:_="">
    <xsd:import namespace="http://schemas.microsoft.com/sharepoint/v3"/>
    <xsd:import namespace="5B24DAFA-154C-45A6-B0B9-BFB04B485F80"/>
    <xsd:import namespace="http://schemas.microsoft.com/sharepoint/v3/fields"/>
    <xsd:import namespace="571982ab-478d-447f-affd-9b4427d393f9"/>
    <xsd:import namespace="5b24dafa-154c-45a6-b0b9-bfb04b485f80"/>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4:_dlc_DocId" minOccurs="0"/>
                <xsd:element ref="ns4:_dlc_DocIdUrl" minOccurs="0"/>
                <xsd:element ref="ns4:_dlc_DocIdPersistId" minOccurs="0"/>
                <xsd:element ref="ns5:Descripci_x00f3_n_x0020_del_x0020_documento" minOccurs="0"/>
                <xsd:element ref="ns4:abreviatura_documento" minOccurs="0"/>
                <xsd:element ref="ns4:anio_documento" minOccurs="0"/>
                <xsd:element ref="ns4:area_documento" minOccurs="0"/>
                <xsd:element ref="ns4:biblioteca_documento" minOccurs="0"/>
                <xsd:element ref="ns4:clasificacion_documento" minOccurs="0"/>
                <xsd:element ref="ns4:clave_documento" minOccurs="0"/>
                <xsd:element ref="ns4:descripcion_documento" minOccurs="0"/>
                <xsd:element ref="ns4:titulo_documento" minOccurs="0"/>
                <xsd:element ref="ns4:ebook_documento" minOccurs="0"/>
                <xsd:element ref="ns4:imagen_documento" minOccurs="0"/>
                <xsd:element ref="ns4:institucion_documento" minOccurs="0"/>
                <xsd:element ref="ns4:modalidad_documento" minOccurs="0"/>
                <xsd:element ref="ns4:numero_documento" minOccurs="0"/>
                <xsd:element ref="ns4:nombre_documento" minOccurs="0"/>
                <xsd:element ref="ns4:programa_documento" minOccurs="0"/>
                <xsd:element ref="ns4:tema_documento" minOccurs="0"/>
                <xsd:element ref="ns4:tematica_documento" minOccurs="0"/>
                <xsd:element ref="ns4:tipo_documento" minOccurs="0"/>
                <xsd:element ref="ns4:tipo_evaluacion" minOccurs="0"/>
                <xsd:element ref="ns4:titulo_pub_documento" minOccurs="0"/>
                <xsd:element ref="ns4:url_documento" minOccurs="0"/>
                <xsd:element ref="ns4:PROGRAMAPB" minOccurs="0"/>
                <xsd:element ref="ns5:Tipo_x002d_Informe" minOccurs="0"/>
                <xsd:element ref="ns5:Pobl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Dirección URL" ma:hidden="true" ma:list="Docs" ma:internalName="FileRef" ma:readOnly="true" ma:showField="FullUrl">
      <xsd:simpleType>
        <xsd:restriction base="dms:Lookup"/>
      </xsd:simpleType>
    </xsd:element>
    <xsd:element name="File_x0020_Type" ma:index="9" nillable="true" ma:displayName="Tipo de archivo" ma:hidden="true" ma:internalName="File_x0020_Type" ma:readOnly="true">
      <xsd:simpleType>
        <xsd:restriction base="dms:Text"/>
      </xsd:simpleType>
    </xsd:element>
    <xsd:element name="HTML_x0020_File_x0020_Type" ma:index="10" nillable="true" ma:displayName="Tipo de archivo HTML" ma:hidden="true" ma:internalName="HTML_x0020_File_x0020_Type" ma:readOnly="true">
      <xsd:simpleType>
        <xsd:restriction base="dms:Text"/>
      </xsd:simpleType>
    </xsd:element>
    <xsd:element name="FSObjType" ma:index="11" nillable="true" ma:displayName="Tipo de elemento" ma:hidden="true" ma:list="Docs" ma:internalName="FSObjType" ma:readOnly="true" ma:showField="FSTyp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5B24DAFA-154C-45A6-B0B9-BFB04B485F80" elementFormDefault="qualified">
    <xsd:import namespace="http://schemas.microsoft.com/office/2006/documentManagement/types"/>
    <xsd:import namespace="http://schemas.microsoft.com/office/infopath/2007/PartnerControls"/>
    <xsd:element name="ThumbnailExists" ma:index="18" nillable="true" ma:displayName="La miniatura ya existe" ma:default="FALSE" ma:hidden="true" ma:internalName="ThumbnailExists" ma:readOnly="true">
      <xsd:simpleType>
        <xsd:restriction base="dms:Boolean"/>
      </xsd:simpleType>
    </xsd:element>
    <xsd:element name="PreviewExists" ma:index="19" nillable="true" ma:displayName="La vista previa ya existe" ma:default="FALSE" ma:hidden="true" ma:internalName="PreviewExists" ma:readOnly="true">
      <xsd:simpleType>
        <xsd:restriction base="dms:Boolean"/>
      </xsd:simpleType>
    </xsd:element>
    <xsd:element name="ImageWidth" ma:index="20" nillable="true" ma:displayName="Ancho" ma:internalName="ImageWidth" ma:readOnly="true">
      <xsd:simpleType>
        <xsd:restriction base="dms:Unknown"/>
      </xsd:simpleType>
    </xsd:element>
    <xsd:element name="ImageHeight" ma:index="22" nillable="true" ma:displayName="Alto" ma:internalName="ImageHeight" ma:readOnly="true">
      <xsd:simpleType>
        <xsd:restriction base="dms:Unknown"/>
      </xsd:simpleType>
    </xsd:element>
    <xsd:element name="ImageCreateDate" ma:index="25" nillable="true" ma:displayName="Fecha de captura de la imagen" ma:format="DateTime" ma:hidden="true" ma:internalName="ImageCreate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hidden="true" ma:internalName="wic_System_Copyright"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1982ab-478d-447f-affd-9b4427d393f9" elementFormDefault="qualified">
    <xsd:import namespace="http://schemas.microsoft.com/office/2006/documentManagement/types"/>
    <xsd:import namespace="http://schemas.microsoft.com/office/infopath/2007/PartnerControls"/>
    <xsd:element name="_dlc_DocId" ma:index="27" nillable="true" ma:displayName="Valor de Id. de documento" ma:description="El valor del identificador de documento asignado a este elemento." ma:internalName="_dlc_DocId" ma:readOnly="true">
      <xsd:simpleType>
        <xsd:restriction base="dms:Text"/>
      </xsd:simpleType>
    </xsd:element>
    <xsd:element name="_dlc_DocIdUrl" ma:index="28"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Identificador persistente" ma:description="Mantener el identificador al agregar." ma:hidden="true" ma:internalName="_dlc_DocIdPersistId" ma:readOnly="true">
      <xsd:simpleType>
        <xsd:restriction base="dms:Boolean"/>
      </xsd:simpleType>
    </xsd:element>
    <xsd:element name="abreviatura_documento" ma:index="32" nillable="true" ma:displayName="Abreviatura" ma:internalName="abreviatura_documento">
      <xsd:simpleType>
        <xsd:restriction base="dms:Text">
          <xsd:maxLength value="255"/>
        </xsd:restriction>
      </xsd:simpleType>
    </xsd:element>
    <xsd:element name="anio_documento" ma:index="33" nillable="true" ma:displayName="Año" ma:format="Dropdown" ma:internalName="anio_documento">
      <xsd:simpleType>
        <xsd:restriction base="dms:Choice">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restriction>
      </xsd:simpleType>
    </xsd:element>
    <xsd:element name="area_documento" ma:index="34" nillable="true" ma:displayName="Área" ma:internalName="area_documento">
      <xsd:simpleType>
        <xsd:restriction base="dms:Text">
          <xsd:maxLength value="255"/>
        </xsd:restriction>
      </xsd:simpleType>
    </xsd:element>
    <xsd:element name="biblioteca_documento" ma:index="35" nillable="true" ma:displayName="Biblioteca" ma:internalName="biblioteca_documento">
      <xsd:simpleType>
        <xsd:restriction base="dms:Text">
          <xsd:maxLength value="255"/>
        </xsd:restriction>
      </xsd:simpleType>
    </xsd:element>
    <xsd:element name="clasificacion_documento" ma:index="36" nillable="true" ma:displayName="Clasificación" ma:internalName="clasificacion_documento">
      <xsd:simpleType>
        <xsd:restriction base="dms:Text">
          <xsd:maxLength value="255"/>
        </xsd:restriction>
      </xsd:simpleType>
    </xsd:element>
    <xsd:element name="clave_documento" ma:index="37" nillable="true" ma:displayName="Clave" ma:list="{19d008c2-64a5-4763-bb02-e7005fbad349}" ma:internalName="clave_documento" ma:showField="Title" ma:web="571982ab-478d-447f-affd-9b4427d393f9">
      <xsd:simpleType>
        <xsd:restriction base="dms:Lookup"/>
      </xsd:simpleType>
    </xsd:element>
    <xsd:element name="descripcion_documento" ma:index="38" nillable="true" ma:displayName="Descripción publicación" ma:internalName="descripcion_documento">
      <xsd:simpleType>
        <xsd:restriction base="dms:Note">
          <xsd:maxLength value="255"/>
        </xsd:restriction>
      </xsd:simpleType>
    </xsd:element>
    <xsd:element name="titulo_documento" ma:index="39" nillable="true" ma:displayName="Documento" ma:internalName="titulo_documento">
      <xsd:simpleType>
        <xsd:restriction base="dms:Text">
          <xsd:maxLength value="255"/>
        </xsd:restriction>
      </xsd:simpleType>
    </xsd:element>
    <xsd:element name="ebook_documento" ma:index="40" nillable="true" ma:displayName="Ebook" ma:format="Hyperlink" ma:internalName="ebook_documento">
      <xsd:complexType>
        <xsd:complexContent>
          <xsd:extension base="dms:URL">
            <xsd:sequence>
              <xsd:element name="Url" type="dms:ValidUrl" minOccurs="0" nillable="true"/>
              <xsd:element name="Description" type="xsd:string" nillable="true"/>
            </xsd:sequence>
          </xsd:extension>
        </xsd:complexContent>
      </xsd:complexType>
    </xsd:element>
    <xsd:element name="imagen_documento" ma:index="41" nillable="true" ma:displayName="Imagen documento" ma:format="Image" ma:internalName="imagen_documento">
      <xsd:complexType>
        <xsd:complexContent>
          <xsd:extension base="dms:URL">
            <xsd:sequence>
              <xsd:element name="Url" type="dms:ValidUrl" minOccurs="0" nillable="true"/>
              <xsd:element name="Description" type="xsd:string" nillable="true"/>
            </xsd:sequence>
          </xsd:extension>
        </xsd:complexContent>
      </xsd:complexType>
    </xsd:element>
    <xsd:element name="institucion_documento" ma:index="42" nillable="true" ma:displayName="Institución" ma:list="{eea6c94e-3d77-456b-b385-685db4922f18}" ma:internalName="institucion_documento" ma:showField="Title" ma:web="571982ab-478d-447f-affd-9b4427d393f9">
      <xsd:simpleType>
        <xsd:restriction base="dms:Lookup"/>
      </xsd:simpleType>
    </xsd:element>
    <xsd:element name="modalidad_documento" ma:index="43" nillable="true" ma:displayName="Modalidad" ma:list="{528c669a-fc94-4a9a-9ab5-f593d5619e91}" ma:internalName="modalidad_documento" ma:showField="Title" ma:web="571982ab-478d-447f-affd-9b4427d393f9">
      <xsd:simpleType>
        <xsd:restriction base="dms:Lookup"/>
      </xsd:simpleType>
    </xsd:element>
    <xsd:element name="numero_documento" ma:index="44" nillable="true" ma:displayName="No." ma:internalName="numero_documento">
      <xsd:simpleType>
        <xsd:restriction base="dms:Text">
          <xsd:maxLength value="255"/>
        </xsd:restriction>
      </xsd:simpleType>
    </xsd:element>
    <xsd:element name="nombre_documento" ma:index="45" nillable="true" ma:displayName="Nombre Documento" ma:internalName="nombre_documento">
      <xsd:simpleType>
        <xsd:restriction base="dms:Text">
          <xsd:maxLength value="255"/>
        </xsd:restriction>
      </xsd:simpleType>
    </xsd:element>
    <xsd:element name="programa_documento" ma:index="46" nillable="true" ma:displayName="Programa_Historico" ma:list="{a331bbc2-d474-4dfb-9db9-10cbcbecbc0e}" ma:internalName="programa_documento" ma:readOnly="false" ma:showField="Title" ma:web="571982ab-478d-447f-affd-9b4427d393f9">
      <xsd:simpleType>
        <xsd:restriction base="dms:Lookup"/>
      </xsd:simpleType>
    </xsd:element>
    <xsd:element name="tema_documento" ma:index="47" nillable="true" ma:displayName="Tema" ma:list="{0ed0c298-861e-4e55-bc63-09b547597927}" ma:internalName="tema_documento" ma:showField="Title" ma:web="571982ab-478d-447f-affd-9b4427d393f9">
      <xsd:simpleType>
        <xsd:restriction base="dms:Lookup"/>
      </xsd:simpleType>
    </xsd:element>
    <xsd:element name="tematica_documento" ma:index="48" nillable="true" ma:displayName="Temática" ma:list="{4f65a60e-ab52-4d23-b095-ec9180a76ae5}" ma:internalName="tematica_documento" ma:showField="Title" ma:web="571982ab-478d-447f-affd-9b4427d393f9">
      <xsd:simpleType>
        <xsd:restriction base="dms:Lookup"/>
      </xsd:simpleType>
    </xsd:element>
    <xsd:element name="tipo_documento" ma:index="49" nillable="true" ma:displayName="Tipo documento" ma:list="{8a8f7f01-5d58-4b3f-bf49-d65d8bdcf195}" ma:internalName="tipo_documento" ma:showField="Title" ma:web="571982ab-478d-447f-affd-9b4427d393f9">
      <xsd:simpleType>
        <xsd:restriction base="dms:Lookup"/>
      </xsd:simpleType>
    </xsd:element>
    <xsd:element name="tipo_evaluacion" ma:index="50" nillable="true" ma:displayName="Tipo evaluación" ma:list="{b504be78-6a56-4ccf-9c6a-f5d417ced2bd}" ma:internalName="tipo_evaluacion" ma:showField="Title" ma:web="571982ab-478d-447f-affd-9b4427d393f9">
      <xsd:simpleType>
        <xsd:restriction base="dms:Lookup"/>
      </xsd:simpleType>
    </xsd:element>
    <xsd:element name="titulo_pub_documento" ma:index="51" nillable="true" ma:displayName="Título publicación" ma:internalName="titulo_pub_documento">
      <xsd:simpleType>
        <xsd:restriction base="dms:Text">
          <xsd:maxLength value="255"/>
        </xsd:restriction>
      </xsd:simpleType>
    </xsd:element>
    <xsd:element name="url_documento" ma:index="52" nillable="true" ma:displayName="URL documento" ma:format="Hyperlink" ma:internalName="url_documento">
      <xsd:complexType>
        <xsd:complexContent>
          <xsd:extension base="dms:URL">
            <xsd:sequence>
              <xsd:element name="Url" type="dms:ValidUrl" minOccurs="0" nillable="true"/>
              <xsd:element name="Description" type="xsd:string" nillable="true"/>
            </xsd:sequence>
          </xsd:extension>
        </xsd:complexContent>
      </xsd:complexType>
    </xsd:element>
    <xsd:element name="PROGRAMAPB" ma:index="53" nillable="true" ma:displayName="Programa" ma:internalName="PROGRAMAPB">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b24dafa-154c-45a6-b0b9-bfb04b485f80" elementFormDefault="qualified">
    <xsd:import namespace="http://schemas.microsoft.com/office/2006/documentManagement/types"/>
    <xsd:import namespace="http://schemas.microsoft.com/office/infopath/2007/PartnerControls"/>
    <xsd:element name="Descripci_x00f3_n_x0020_del_x0020_documento" ma:index="30" nillable="true" ma:displayName="Descripción del documento" ma:description="Indicar si es un documento nuevo o las modificaciones que se realizaron si es una actualización." ma:internalName="Descripci_x00f3_n_x0020_del_x0020_documento" ma:readOnly="false">
      <xsd:simpleType>
        <xsd:restriction base="dms:Note">
          <xsd:maxLength value="255"/>
        </xsd:restriction>
      </xsd:simpleType>
    </xsd:element>
    <xsd:element name="Tipo_x002d_Informe" ma:index="54" nillable="true" ma:displayName="Tipo-Informe" ma:format="Dropdown" ma:indexed="true" ma:internalName="Tipo_x002d_Informe">
      <xsd:simpleType>
        <xsd:restriction base="dms:Choice">
          <xsd:enumeration value="Informe Completo"/>
          <xsd:enumeration value="Informe Ejecutivo"/>
          <xsd:enumeration value="Opinión de la Dependencia"/>
        </xsd:restriction>
      </xsd:simpleType>
    </xsd:element>
    <xsd:element name="Poblar" ma:index="55" nillable="true" ma:displayName="Poblar" ma:internalName="Pobla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displayName="Autor"/>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ma:displayName="Comentarios"/>
        <xsd:element name="keywords" minOccurs="0" maxOccurs="1" type="xsd:string" ma:displayName="Palabras clave"/>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escripci_x00f3_n_x0020_del_x0020_documento xmlns="5b24dafa-154c-45a6-b0b9-bfb04b485f80" xsi:nil="true"/>
    <ImageCreateDate xmlns="5B24DAFA-154C-45A6-B0B9-BFB04B485F80" xsi:nil="true"/>
    <wic_System_Copyright xmlns="http://schemas.microsoft.com/sharepoint/v3/fields" xsi:nil="true"/>
    <_dlc_DocId xmlns="571982ab-478d-447f-affd-9b4427d393f9">CZZDVQSJMDTX-9-8774</_dlc_DocId>
    <_dlc_DocIdUrl xmlns="571982ab-478d-447f-affd-9b4427d393f9">
      <Url>http://www.coneval.org.mx/_layouts/DocIdRedir.aspx?ID=CZZDVQSJMDTX-9-8774</Url>
      <Description>CZZDVQSJMDTX-9-8774</Description>
    </_dlc_DocIdUrl>
    <clasificacion_documento xmlns="571982ab-478d-447f-affd-9b4427d393f9" xsi:nil="true"/>
    <tematica_documento xmlns="571982ab-478d-447f-affd-9b4427d393f9" xsi:nil="true"/>
    <titulo_pub_documento xmlns="571982ab-478d-447f-affd-9b4427d393f9">Evaluación de Diagnóstico del Programa de Coinversión Social</titulo_pub_documento>
    <nombre_documento xmlns="571982ab-478d-447f-affd-9b4427d393f9">Evaluación de Diagnóstico del Programa de Coinversión Social</nombre_documento>
    <tema_documento xmlns="571982ab-478d-447f-affd-9b4427d393f9">247</tema_documento>
    <area_documento xmlns="571982ab-478d-447f-affd-9b4427d393f9" xsi:nil="true"/>
    <abreviatura_documento xmlns="571982ab-478d-447f-affd-9b4427d393f9" xsi:nil="true"/>
    <tipo_evaluacion xmlns="571982ab-478d-447f-affd-9b4427d393f9">3</tipo_evaluacion>
    <institucion_documento xmlns="571982ab-478d-447f-affd-9b4427d393f9">36</institucion_documento>
    <modalidad_documento xmlns="571982ab-478d-447f-affd-9b4427d393f9">8</modalidad_documento>
    <tipo_documento xmlns="571982ab-478d-447f-affd-9b4427d393f9" xsi:nil="true"/>
    <biblioteca_documento xmlns="571982ab-478d-447f-affd-9b4427d393f9">Informes</biblioteca_documento>
    <ebook_documento xmlns="571982ab-478d-447f-affd-9b4427d393f9">
      <Url xsi:nil="true"/>
      <Description xsi:nil="true"/>
    </ebook_documento>
    <url_documento xmlns="571982ab-478d-447f-affd-9b4427d393f9">
      <Url>https://www.coneval.org.mx/Informes/Evaluacion/Diagnostico/Diagnostico_2014/Diagnostico_2014_SEDESOL_S070.docx</Url>
      <Description>https://www.coneval.org.mx/Informes/Evaluacion/Diagnostico/Diagnostico_2014/Diagnostico_2014_SEDESOL_S070.docx</Description>
    </url_documento>
    <descripcion_documento xmlns="571982ab-478d-447f-affd-9b4427d393f9" xsi:nil="true"/>
    <imagen_documento xmlns="571982ab-478d-447f-affd-9b4427d393f9">
      <Url>https://www.coneval.org.mx/Evaluacion/Documents/EV-DIAGNOSTICO.jpg</Url>
      <Description>https://www.coneval.org.mx/Evaluacion/Documents/EV-DIAGNOSTICO.jpg</Description>
    </imagen_documento>
    <numero_documento xmlns="571982ab-478d-447f-affd-9b4427d393f9" xsi:nil="true"/>
    <clave_documento xmlns="571982ab-478d-447f-affd-9b4427d393f9">126</clave_documento>
    <programa_documento xmlns="571982ab-478d-447f-affd-9b4427d393f9">732</programa_documento>
    <anio_documento xmlns="571982ab-478d-447f-affd-9b4427d393f9">2014</anio_documento>
    <titulo_documento xmlns="571982ab-478d-447f-affd-9b4427d393f9">Evaluación de Diagnóstico del Programa de Coinversión Social</titulo_documento>
    <PROGRAMAPB xmlns="571982ab-478d-447f-affd-9b4427d393f9">Programa de Coinversión Social</PROGRAMAPB>
    <Tipo_x002d_Informe xmlns="5b24dafa-154c-45a6-b0b9-bfb04b485f80">Informe Completo</Tipo_x002d_Informe>
    <Poblar xmlns="5b24dafa-154c-45a6-b0b9-bfb04b485f80">SI</Poblar>
  </documentManagement>
</p:properties>
</file>

<file path=customXml/itemProps1.xml><?xml version="1.0" encoding="utf-8"?>
<ds:datastoreItem xmlns:ds="http://schemas.openxmlformats.org/officeDocument/2006/customXml" ds:itemID="{38A1E358-BE53-43AB-BE7F-D057064F40D1}"/>
</file>

<file path=customXml/itemProps2.xml><?xml version="1.0" encoding="utf-8"?>
<ds:datastoreItem xmlns:ds="http://schemas.openxmlformats.org/officeDocument/2006/customXml" ds:itemID="{9A2E486C-2141-47B8-9E97-B22EDC887438}"/>
</file>

<file path=customXml/itemProps3.xml><?xml version="1.0" encoding="utf-8"?>
<ds:datastoreItem xmlns:ds="http://schemas.openxmlformats.org/officeDocument/2006/customXml" ds:itemID="{7578F319-5773-40C4-B7FE-18EFDA5C38FB}"/>
</file>

<file path=customXml/itemProps4.xml><?xml version="1.0" encoding="utf-8"?>
<ds:datastoreItem xmlns:ds="http://schemas.openxmlformats.org/officeDocument/2006/customXml" ds:itemID="{14FFED04-88D2-409A-90F1-970B59CB37FF}"/>
</file>

<file path=customXml/itemProps5.xml><?xml version="1.0" encoding="utf-8"?>
<ds:datastoreItem xmlns:ds="http://schemas.openxmlformats.org/officeDocument/2006/customXml" ds:itemID="{46CCDE97-CC7D-4316-ACCF-B4A6818F2700}"/>
</file>

<file path=docProps/app.xml><?xml version="1.0" encoding="utf-8"?>
<Properties xmlns="http://schemas.openxmlformats.org/officeDocument/2006/extended-properties" xmlns:vt="http://schemas.openxmlformats.org/officeDocument/2006/docPropsVTypes">
  <Template>Normal</Template>
  <TotalTime>2</TotalTime>
  <Pages>120</Pages>
  <Words>32060</Words>
  <Characters>176335</Characters>
  <Application>Microsoft Office Word</Application>
  <DocSecurity>0</DocSecurity>
  <Lines>1469</Lines>
  <Paragraphs>415</Paragraphs>
  <ScaleCrop>false</ScaleCrop>
  <HeadingPairs>
    <vt:vector size="2" baseType="variant">
      <vt:variant>
        <vt:lpstr>Título</vt:lpstr>
      </vt:variant>
      <vt:variant>
        <vt:i4>1</vt:i4>
      </vt:variant>
    </vt:vector>
  </HeadingPairs>
  <TitlesOfParts>
    <vt:vector size="1" baseType="lpstr">
      <vt:lpstr>Diseño de la Intervenci</vt:lpstr>
    </vt:vector>
  </TitlesOfParts>
  <Company>Hewlett-Packard</Company>
  <LinksUpToDate>false</LinksUpToDate>
  <CharactersWithSpaces>207980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Evaluación de Diagnóstico del Programa de Coinversión Social</dc:title>
  <dc:subject>Programa de Coinversión Social</dc:subject>
  <dc:creator>PCS</dc:creator>
  <cp:lastModifiedBy>Williams Peralta Lazo</cp:lastModifiedBy>
  <cp:revision>2</cp:revision>
  <cp:lastPrinted>2014-06-26T18:27:00Z</cp:lastPrinted>
  <dcterms:created xsi:type="dcterms:W3CDTF">2014-07-01T01:59:00Z</dcterms:created>
  <dcterms:modified xsi:type="dcterms:W3CDTF">2014-07-01T01:59:00Z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0x0101009148F5A04DDD49CBA7127AADA5FB792B00AADE34325A8B49CDA8BB4DB53328F21400FF0520D5D768CD4FA20B4CB9EEB6486E</vt:lpwstr>
  </property>
  <property fmtid="{D5CDD505-2E9C-101B-9397-08002B2CF9AE}" pid="3" name="_dlc_DocIdItemGuid">
    <vt:lpwstr>eda0fd80-79f7-4612-a760-3e0eb8d142c0</vt:lpwstr>
  </property>
</Properties>
</file>