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8.xml" ContentType="application/vnd.openxmlformats-officedocument.drawingml.chartshapes+xml"/>
  <Override PartName="/word/drawings/drawing2.xml" ContentType="application/vnd.openxmlformats-officedocument.drawingml.chartshapes+xml"/>
  <Override PartName="/word/diagrams/data1.xml" ContentType="application/vnd.openxmlformats-officedocument.drawingml.diagramData+xml"/>
  <Override PartName="/word/drawings/drawing7.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charts/chart1.xml" ContentType="application/vnd.openxmlformats-officedocument.drawingml.chart+xml"/>
  <Override PartName="/word/charts/chart23.xml" ContentType="application/vnd.openxmlformats-officedocument.drawingml.chart+xml"/>
  <Override PartName="/word/charts/chart22.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charts/chart2.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17.xml" ContentType="application/vnd.openxmlformats-officedocument.drawingml.chart+xml"/>
  <Override PartName="/word/charts/chart16.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ACC" w:rsidRPr="009E30D1" w:rsidRDefault="009051CC" w:rsidP="00B85C0B">
      <w:pPr>
        <w:spacing w:after="120"/>
        <w:rPr>
          <w:rFonts w:ascii="Adobe Caslon Pro" w:eastAsiaTheme="majorEastAsia" w:hAnsi="Adobe Caslon Pro" w:cstheme="majorBidi"/>
          <w:b/>
          <w:bCs/>
          <w:color w:val="C00000"/>
        </w:rPr>
      </w:pPr>
      <w:r w:rsidRPr="009E30D1">
        <w:rPr>
          <w:noProof/>
          <w:lang w:eastAsia="es-MX"/>
        </w:rPr>
        <w:drawing>
          <wp:anchor distT="0" distB="0" distL="114300" distR="114300" simplePos="0" relativeHeight="251662336" behindDoc="1" locked="0" layoutInCell="1" allowOverlap="1" wp14:anchorId="3442FE9B" wp14:editId="092E4A6B">
            <wp:simplePos x="0" y="0"/>
            <wp:positionH relativeFrom="column">
              <wp:posOffset>-1087755</wp:posOffset>
            </wp:positionH>
            <wp:positionV relativeFrom="paragraph">
              <wp:posOffset>-699770</wp:posOffset>
            </wp:positionV>
            <wp:extent cx="7853680" cy="10172700"/>
            <wp:effectExtent l="0" t="0" r="0" b="0"/>
            <wp:wrapNone/>
            <wp:docPr id="17" name="Imagen 17"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on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3680"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ACC" w:rsidRPr="009E30D1">
        <w:rPr>
          <w:noProof/>
          <w:lang w:eastAsia="es-MX"/>
        </w:rPr>
        <mc:AlternateContent>
          <mc:Choice Requires="wps">
            <w:drawing>
              <wp:anchor distT="0" distB="0" distL="114300" distR="114300" simplePos="0" relativeHeight="251663360" behindDoc="0" locked="0" layoutInCell="1" allowOverlap="1" wp14:anchorId="4FE990A2" wp14:editId="4E5E85AC">
                <wp:simplePos x="0" y="0"/>
                <wp:positionH relativeFrom="column">
                  <wp:posOffset>24130</wp:posOffset>
                </wp:positionH>
                <wp:positionV relativeFrom="paragraph">
                  <wp:posOffset>5164455</wp:posOffset>
                </wp:positionV>
                <wp:extent cx="5612130" cy="2493645"/>
                <wp:effectExtent l="0" t="0" r="0" b="1905"/>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2493645"/>
                        </a:xfrm>
                        <a:prstGeom prst="rect">
                          <a:avLst/>
                        </a:prstGeom>
                        <a:noFill/>
                        <a:ln w="6350">
                          <a:noFill/>
                        </a:ln>
                        <a:effectLst/>
                      </wps:spPr>
                      <wps:txbx>
                        <w:txbxContent>
                          <w:p w:rsidR="0098717D" w:rsidRPr="00771C51" w:rsidRDefault="0098717D" w:rsidP="00303ACC">
                            <w:pPr>
                              <w:spacing w:after="0" w:line="240" w:lineRule="auto"/>
                              <w:jc w:val="center"/>
                              <w:rPr>
                                <w:rFonts w:ascii="Trajan Pro" w:eastAsia="MS Mincho" w:hAnsi="Trajan Pro"/>
                                <w:b/>
                                <w:color w:val="808080"/>
                                <w:sz w:val="36"/>
                                <w:szCs w:val="48"/>
                                <w:lang w:eastAsia="es-ES"/>
                              </w:rPr>
                            </w:pPr>
                            <w:r w:rsidRPr="00771C51">
                              <w:rPr>
                                <w:rFonts w:ascii="Trajan Pro" w:eastAsia="MS Mincho" w:hAnsi="Trajan Pro"/>
                                <w:b/>
                                <w:color w:val="808080"/>
                                <w:sz w:val="36"/>
                                <w:szCs w:val="48"/>
                                <w:lang w:eastAsia="es-ES"/>
                              </w:rPr>
                              <w:t>Diagnóstico y Propuesta de Atención</w:t>
                            </w:r>
                          </w:p>
                          <w:p w:rsidR="0098717D" w:rsidRDefault="0098717D" w:rsidP="00303ACC">
                            <w:pPr>
                              <w:spacing w:after="0" w:line="240" w:lineRule="auto"/>
                              <w:jc w:val="center"/>
                              <w:rPr>
                                <w:rFonts w:ascii="Trajan Pro" w:eastAsia="MS Mincho" w:hAnsi="Trajan Pro"/>
                                <w:b/>
                                <w:color w:val="808080"/>
                                <w:sz w:val="48"/>
                                <w:szCs w:val="48"/>
                                <w:lang w:eastAsia="es-ES"/>
                              </w:rPr>
                            </w:pPr>
                            <w:r>
                              <w:rPr>
                                <w:rFonts w:ascii="Trajan Pro" w:eastAsia="MS Mincho" w:hAnsi="Trajan Pro"/>
                                <w:b/>
                                <w:color w:val="808080"/>
                                <w:sz w:val="48"/>
                                <w:szCs w:val="48"/>
                                <w:lang w:eastAsia="es-ES"/>
                              </w:rPr>
                              <w:t xml:space="preserve"> </w:t>
                            </w:r>
                          </w:p>
                          <w:p w:rsidR="0098717D" w:rsidRPr="00771C51" w:rsidRDefault="0098717D" w:rsidP="00303ACC">
                            <w:pPr>
                              <w:spacing w:after="0" w:line="240" w:lineRule="auto"/>
                              <w:jc w:val="center"/>
                              <w:rPr>
                                <w:rFonts w:ascii="Trajan Pro" w:eastAsia="MS Mincho" w:hAnsi="Trajan Pro"/>
                                <w:b/>
                                <w:color w:val="808080"/>
                                <w:sz w:val="36"/>
                                <w:szCs w:val="48"/>
                                <w:lang w:eastAsia="es-ES"/>
                              </w:rPr>
                            </w:pPr>
                            <w:r w:rsidRPr="00771C51">
                              <w:rPr>
                                <w:rFonts w:ascii="Trajan Pro" w:eastAsia="MS Mincho" w:hAnsi="Trajan Pro"/>
                                <w:b/>
                                <w:color w:val="808080"/>
                                <w:sz w:val="36"/>
                                <w:szCs w:val="48"/>
                                <w:lang w:eastAsia="es-ES"/>
                              </w:rPr>
                              <w:t>Programa de Apoyo a las Instancias de Mujeres en las Entidades Federativas</w:t>
                            </w:r>
                          </w:p>
                          <w:p w:rsidR="0098717D" w:rsidRPr="00771C51" w:rsidRDefault="0098717D" w:rsidP="00303ACC">
                            <w:pPr>
                              <w:spacing w:after="0" w:line="240" w:lineRule="auto"/>
                              <w:jc w:val="center"/>
                              <w:rPr>
                                <w:rFonts w:ascii="Trajan Pro" w:eastAsia="MS Mincho" w:hAnsi="Trajan Pro"/>
                                <w:b/>
                                <w:color w:val="808080"/>
                                <w:sz w:val="36"/>
                                <w:szCs w:val="48"/>
                                <w:lang w:eastAsia="es-ES"/>
                              </w:rPr>
                            </w:pPr>
                            <w:r w:rsidRPr="00771C51">
                              <w:rPr>
                                <w:rFonts w:ascii="Trajan Pro" w:eastAsia="MS Mincho" w:hAnsi="Trajan Pro"/>
                                <w:b/>
                                <w:color w:val="808080"/>
                                <w:sz w:val="36"/>
                                <w:szCs w:val="48"/>
                                <w:lang w:eastAsia="es-ES"/>
                              </w:rPr>
                              <w:t>(</w:t>
                            </w:r>
                            <w:r w:rsidR="00AC3842">
                              <w:rPr>
                                <w:rFonts w:ascii="Trajan Pro" w:eastAsia="MS Mincho" w:hAnsi="Trajan Pro"/>
                                <w:b/>
                                <w:color w:val="808080"/>
                                <w:sz w:val="36"/>
                                <w:szCs w:val="48"/>
                                <w:lang w:eastAsia="es-ES"/>
                              </w:rPr>
                              <w:t>PAIMEF</w:t>
                            </w:r>
                            <w:r w:rsidRPr="00771C51">
                              <w:rPr>
                                <w:rFonts w:ascii="Trajan Pro" w:eastAsia="MS Mincho" w:hAnsi="Trajan Pro"/>
                                <w:b/>
                                <w:color w:val="808080"/>
                                <w:sz w:val="36"/>
                                <w:szCs w:val="48"/>
                                <w:lang w:eastAsia="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5" o:spid="_x0000_s1026" type="#_x0000_t202" style="position:absolute;margin-left:1.9pt;margin-top:406.65pt;width:441.9pt;height:19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" filled="f" stroked="f" strokeweight=".5pt">
                <v:path arrowok="t"/>
                <v:textbox>
                  <w:txbxContent>
                    <w:p w:rsidR="0098717D" w:rsidRPr="00771C51" w:rsidRDefault="0098717D" w:rsidP="00303ACC">
                      <w:pPr>
                        <w:spacing w:after="0" w:line="240" w:lineRule="auto"/>
                        <w:jc w:val="center"/>
                        <w:rPr>
                          <w:rFonts w:ascii="Trajan Pro" w:eastAsia="MS Mincho" w:hAnsi="Trajan Pro"/>
                          <w:b/>
                          <w:color w:val="808080"/>
                          <w:sz w:val="36"/>
                          <w:szCs w:val="48"/>
                          <w:lang w:eastAsia="es-ES"/>
                        </w:rPr>
                      </w:pPr>
                      <w:r w:rsidRPr="00771C51">
                        <w:rPr>
                          <w:rFonts w:ascii="Trajan Pro" w:eastAsia="MS Mincho" w:hAnsi="Trajan Pro"/>
                          <w:b/>
                          <w:color w:val="808080"/>
                          <w:sz w:val="36"/>
                          <w:szCs w:val="48"/>
                          <w:lang w:eastAsia="es-ES"/>
                        </w:rPr>
                        <w:t>Diagnóstico y Propuesta de Atención</w:t>
                      </w:r>
                    </w:p>
                    <w:p w:rsidR="0098717D" w:rsidRDefault="0098717D" w:rsidP="00303ACC">
                      <w:pPr>
                        <w:spacing w:after="0" w:line="240" w:lineRule="auto"/>
                        <w:jc w:val="center"/>
                        <w:rPr>
                          <w:rFonts w:ascii="Trajan Pro" w:eastAsia="MS Mincho" w:hAnsi="Trajan Pro"/>
                          <w:b/>
                          <w:color w:val="808080"/>
                          <w:sz w:val="48"/>
                          <w:szCs w:val="48"/>
                          <w:lang w:eastAsia="es-ES"/>
                        </w:rPr>
                      </w:pPr>
                      <w:r>
                        <w:rPr>
                          <w:rFonts w:ascii="Trajan Pro" w:eastAsia="MS Mincho" w:hAnsi="Trajan Pro"/>
                          <w:b/>
                          <w:color w:val="808080"/>
                          <w:sz w:val="48"/>
                          <w:szCs w:val="48"/>
                          <w:lang w:eastAsia="es-ES"/>
                        </w:rPr>
                        <w:t xml:space="preserve"> </w:t>
                      </w:r>
                    </w:p>
                    <w:p w:rsidR="0098717D" w:rsidRPr="00771C51" w:rsidRDefault="0098717D" w:rsidP="00303ACC">
                      <w:pPr>
                        <w:spacing w:after="0" w:line="240" w:lineRule="auto"/>
                        <w:jc w:val="center"/>
                        <w:rPr>
                          <w:rFonts w:ascii="Trajan Pro" w:eastAsia="MS Mincho" w:hAnsi="Trajan Pro"/>
                          <w:b/>
                          <w:color w:val="808080"/>
                          <w:sz w:val="36"/>
                          <w:szCs w:val="48"/>
                          <w:lang w:eastAsia="es-ES"/>
                        </w:rPr>
                      </w:pPr>
                      <w:r w:rsidRPr="00771C51">
                        <w:rPr>
                          <w:rFonts w:ascii="Trajan Pro" w:eastAsia="MS Mincho" w:hAnsi="Trajan Pro"/>
                          <w:b/>
                          <w:color w:val="808080"/>
                          <w:sz w:val="36"/>
                          <w:szCs w:val="48"/>
                          <w:lang w:eastAsia="es-ES"/>
                        </w:rPr>
                        <w:t>Programa de Apoyo a las Instancias de Mujeres en las Entidades Federativas</w:t>
                      </w:r>
                    </w:p>
                    <w:p w:rsidR="0098717D" w:rsidRPr="00771C51" w:rsidRDefault="0098717D" w:rsidP="00303ACC">
                      <w:pPr>
                        <w:spacing w:after="0" w:line="240" w:lineRule="auto"/>
                        <w:jc w:val="center"/>
                        <w:rPr>
                          <w:rFonts w:ascii="Trajan Pro" w:eastAsia="MS Mincho" w:hAnsi="Trajan Pro"/>
                          <w:b/>
                          <w:color w:val="808080"/>
                          <w:sz w:val="36"/>
                          <w:szCs w:val="48"/>
                          <w:lang w:eastAsia="es-ES"/>
                        </w:rPr>
                      </w:pPr>
                      <w:r w:rsidRPr="00771C51">
                        <w:rPr>
                          <w:rFonts w:ascii="Trajan Pro" w:eastAsia="MS Mincho" w:hAnsi="Trajan Pro"/>
                          <w:b/>
                          <w:color w:val="808080"/>
                          <w:sz w:val="36"/>
                          <w:szCs w:val="48"/>
                          <w:lang w:eastAsia="es-ES"/>
                        </w:rPr>
                        <w:t>(</w:t>
                      </w:r>
                      <w:r w:rsidR="00AC3842">
                        <w:rPr>
                          <w:rFonts w:ascii="Trajan Pro" w:eastAsia="MS Mincho" w:hAnsi="Trajan Pro"/>
                          <w:b/>
                          <w:color w:val="808080"/>
                          <w:sz w:val="36"/>
                          <w:szCs w:val="48"/>
                          <w:lang w:eastAsia="es-ES"/>
                        </w:rPr>
                        <w:t>PAIMEF</w:t>
                      </w:r>
                      <w:r w:rsidRPr="00771C51">
                        <w:rPr>
                          <w:rFonts w:ascii="Trajan Pro" w:eastAsia="MS Mincho" w:hAnsi="Trajan Pro"/>
                          <w:b/>
                          <w:color w:val="808080"/>
                          <w:sz w:val="36"/>
                          <w:szCs w:val="48"/>
                          <w:lang w:eastAsia="es-ES"/>
                        </w:rPr>
                        <w:t>)</w:t>
                      </w:r>
                    </w:p>
                  </w:txbxContent>
                </v:textbox>
                <w10:wrap type="square"/>
              </v:shape>
            </w:pict>
          </mc:Fallback>
        </mc:AlternateContent>
      </w:r>
      <w:r w:rsidR="00303ACC" w:rsidRPr="009E30D1">
        <w:br w:type="page"/>
      </w:r>
    </w:p>
    <w:p w:rsidR="00664A26" w:rsidRPr="009E30D1" w:rsidRDefault="00664A26" w:rsidP="00B85C0B">
      <w:pPr>
        <w:pStyle w:val="Ttulo2"/>
        <w:spacing w:before="0" w:after="120"/>
      </w:pPr>
      <w:bookmarkStart w:id="0" w:name="_Toc391883365"/>
      <w:r w:rsidRPr="009E30D1">
        <w:lastRenderedPageBreak/>
        <w:t>Siglas y acrónimos</w:t>
      </w:r>
      <w:bookmarkEnd w:id="0"/>
      <w:r w:rsidRPr="009E30D1">
        <w:tab/>
      </w:r>
    </w:p>
    <w:p w:rsidR="00CC69AE" w:rsidRPr="009E30D1" w:rsidRDefault="00CC69AE" w:rsidP="006454CE">
      <w:pPr>
        <w:spacing w:after="0" w:line="240" w:lineRule="auto"/>
        <w:rPr>
          <w:rFonts w:ascii="Adobe Caslon Pro" w:hAnsi="Adobe Caslon Pro" w:cs="Arial"/>
          <w:b/>
          <w:bCs/>
        </w:rPr>
      </w:pPr>
      <w:r w:rsidRPr="009E30D1">
        <w:rPr>
          <w:rFonts w:ascii="Adobe Caslon Pro" w:hAnsi="Adobe Caslon Pro" w:cs="Arial"/>
          <w:b/>
        </w:rPr>
        <w:t xml:space="preserve">CEAMEG.- </w:t>
      </w:r>
      <w:r w:rsidRPr="009E30D1">
        <w:rPr>
          <w:rFonts w:ascii="Adobe Caslon Pro" w:hAnsi="Adobe Caslon Pro" w:cs="Arial"/>
        </w:rPr>
        <w:t>Centro de Estudios para el Adelanto de las Mujeres y la Equidad de Género.</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 xml:space="preserve">CEDAW.- </w:t>
      </w:r>
      <w:r w:rsidRPr="009E30D1">
        <w:rPr>
          <w:rFonts w:ascii="Adobe Caslon Pro" w:hAnsi="Adobe Caslon Pro" w:cs="Arial"/>
          <w:bCs/>
        </w:rPr>
        <w:t>Convención sobre la Eliminación de Todas las Formas de Discriminación contra la Mujer.</w:t>
      </w:r>
    </w:p>
    <w:p w:rsidR="00CC69AE" w:rsidRPr="009E30D1" w:rsidRDefault="00CC69AE" w:rsidP="006454CE">
      <w:pPr>
        <w:spacing w:after="0" w:line="240" w:lineRule="auto"/>
        <w:rPr>
          <w:rFonts w:ascii="Adobe Caslon Pro" w:hAnsi="Adobe Caslon Pro" w:cs="Arial"/>
        </w:rPr>
      </w:pPr>
      <w:proofErr w:type="spellStart"/>
      <w:r w:rsidRPr="009E30D1">
        <w:rPr>
          <w:rFonts w:ascii="Adobe Caslon Pro" w:hAnsi="Adobe Caslon Pro" w:cs="Arial"/>
          <w:b/>
        </w:rPr>
        <w:t>CENEGySR</w:t>
      </w:r>
      <w:proofErr w:type="spellEnd"/>
      <w:r w:rsidRPr="009E30D1">
        <w:rPr>
          <w:rFonts w:ascii="Adobe Caslon Pro" w:hAnsi="Adobe Caslon Pro" w:cs="Arial"/>
          <w:b/>
        </w:rPr>
        <w:t>.-</w:t>
      </w:r>
      <w:r w:rsidRPr="009E30D1">
        <w:rPr>
          <w:rFonts w:ascii="Adobe Caslon Pro" w:hAnsi="Adobe Caslon Pro" w:cs="Arial"/>
        </w:rPr>
        <w:t xml:space="preserve"> Centro Nacional de Equidad de Género y Salud Reproductiva.</w:t>
      </w:r>
    </w:p>
    <w:p w:rsidR="00CC69AE" w:rsidRPr="009E30D1" w:rsidRDefault="00CC69AE" w:rsidP="006454CE">
      <w:pPr>
        <w:spacing w:after="0" w:line="240" w:lineRule="auto"/>
        <w:rPr>
          <w:rFonts w:ascii="Adobe Caslon Pro" w:hAnsi="Adobe Caslon Pro" w:cs="Arial"/>
          <w:b/>
        </w:rPr>
      </w:pPr>
      <w:r w:rsidRPr="009E30D1">
        <w:rPr>
          <w:rFonts w:ascii="Adobe Caslon Pro" w:hAnsi="Adobe Caslon Pro" w:cs="Arial"/>
          <w:b/>
          <w:bCs/>
        </w:rPr>
        <w:t xml:space="preserve">CIMAC.- </w:t>
      </w:r>
      <w:r w:rsidRPr="009E30D1">
        <w:rPr>
          <w:rFonts w:ascii="Adobe Caslon Pro" w:hAnsi="Adobe Caslon Pro" w:cs="Arial"/>
          <w:bCs/>
        </w:rPr>
        <w:t>Comunicación e Información de la Mujer A</w:t>
      </w:r>
      <w:r w:rsidR="00C318B9" w:rsidRPr="009E30D1">
        <w:rPr>
          <w:rFonts w:ascii="Adobe Caslon Pro" w:hAnsi="Adobe Caslon Pro" w:cs="Arial"/>
          <w:bCs/>
        </w:rPr>
        <w:t>.</w:t>
      </w:r>
      <w:r w:rsidRPr="009E30D1">
        <w:rPr>
          <w:rFonts w:ascii="Adobe Caslon Pro" w:hAnsi="Adobe Caslon Pro" w:cs="Arial"/>
          <w:bCs/>
        </w:rPr>
        <w:t>C.</w:t>
      </w:r>
    </w:p>
    <w:p w:rsidR="00CC69AE" w:rsidRPr="009E30D1" w:rsidRDefault="00CC69AE" w:rsidP="006454CE">
      <w:pPr>
        <w:tabs>
          <w:tab w:val="left" w:pos="993"/>
        </w:tabs>
        <w:spacing w:after="0" w:line="240" w:lineRule="auto"/>
        <w:rPr>
          <w:rFonts w:ascii="Adobe Caslon Pro" w:hAnsi="Adobe Caslon Pro" w:cs="Arial"/>
          <w:bCs/>
        </w:rPr>
      </w:pPr>
      <w:r w:rsidRPr="009E30D1">
        <w:rPr>
          <w:rFonts w:ascii="Adobe Caslon Pro" w:hAnsi="Adobe Caslon Pro" w:cs="Arial"/>
          <w:b/>
          <w:bCs/>
        </w:rPr>
        <w:t xml:space="preserve">COFIPE.- </w:t>
      </w:r>
      <w:r w:rsidRPr="009E30D1">
        <w:rPr>
          <w:rFonts w:ascii="Adobe Caslon Pro" w:hAnsi="Adobe Caslon Pro" w:cs="Arial"/>
          <w:bCs/>
        </w:rPr>
        <w:t>Código Federal de Instituciones y Procedimientos Electorales.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CONAPO.-</w:t>
      </w:r>
      <w:r w:rsidRPr="009E30D1">
        <w:rPr>
          <w:rFonts w:ascii="Adobe Caslon Pro" w:hAnsi="Adobe Caslon Pro" w:cs="Arial"/>
          <w:bCs/>
        </w:rPr>
        <w:t xml:space="preserve"> Consejo Nacional de Población.</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 xml:space="preserve">CONAPRED.- </w:t>
      </w:r>
      <w:r w:rsidRPr="009E30D1">
        <w:rPr>
          <w:rFonts w:ascii="Adobe Caslon Pro" w:hAnsi="Adobe Caslon Pro" w:cs="Arial"/>
          <w:bCs/>
        </w:rPr>
        <w:t xml:space="preserve">Consejo Nacional para Prevenir la Discriminación. </w:t>
      </w:r>
    </w:p>
    <w:p w:rsidR="00CC69AE" w:rsidRPr="009E30D1" w:rsidRDefault="00CC69AE" w:rsidP="006454CE">
      <w:pPr>
        <w:spacing w:after="0" w:line="240" w:lineRule="auto"/>
        <w:rPr>
          <w:rFonts w:ascii="Adobe Caslon Pro" w:hAnsi="Adobe Caslon Pro" w:cs="Arial"/>
          <w:b/>
          <w:bCs/>
        </w:rPr>
      </w:pPr>
      <w:r w:rsidRPr="009E30D1">
        <w:rPr>
          <w:rFonts w:ascii="Adobe Caslon Pro" w:hAnsi="Adobe Caslon Pro" w:cs="Arial"/>
          <w:b/>
          <w:bCs/>
        </w:rPr>
        <w:t xml:space="preserve">CONAVIM.- </w:t>
      </w:r>
      <w:r w:rsidRPr="009E30D1">
        <w:rPr>
          <w:rFonts w:ascii="Adobe Caslon Pro" w:hAnsi="Adobe Caslon Pro" w:cs="Arial"/>
          <w:bCs/>
        </w:rPr>
        <w:t>Comisión Nacional para Pre</w:t>
      </w:r>
      <w:r w:rsidR="00B97889" w:rsidRPr="009E30D1">
        <w:rPr>
          <w:rFonts w:ascii="Adobe Caslon Pro" w:hAnsi="Adobe Caslon Pro" w:cs="Arial"/>
          <w:bCs/>
        </w:rPr>
        <w:t>venir y Erradicar la Violencia c</w:t>
      </w:r>
      <w:r w:rsidRPr="009E30D1">
        <w:rPr>
          <w:rFonts w:ascii="Adobe Caslon Pro" w:hAnsi="Adobe Caslon Pro" w:cs="Arial"/>
          <w:bCs/>
        </w:rPr>
        <w:t>ontra las Mujeres.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CONEVAL.-</w:t>
      </w:r>
      <w:r w:rsidRPr="009E30D1">
        <w:rPr>
          <w:rFonts w:ascii="Adobe Caslon Pro" w:hAnsi="Adobe Caslon Pro" w:cs="Arial"/>
          <w:bCs/>
        </w:rPr>
        <w:t xml:space="preserve"> Consejo Nacional de Evaluación de la Política de Desarrollo Social.</w:t>
      </w:r>
    </w:p>
    <w:p w:rsidR="00CC69AE" w:rsidRPr="009E30D1" w:rsidRDefault="00CC69AE" w:rsidP="006454CE">
      <w:pPr>
        <w:spacing w:after="0" w:line="240" w:lineRule="auto"/>
        <w:jc w:val="both"/>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 xml:space="preserve">DGAP.- </w:t>
      </w:r>
      <w:r w:rsidRPr="009E30D1">
        <w:rPr>
          <w:rFonts w:ascii="Adobe Caslon Pro" w:eastAsiaTheme="minorEastAsia" w:hAnsi="Adobe Caslon Pro" w:cs="Arial"/>
          <w:color w:val="000000" w:themeColor="text1"/>
          <w:lang w:eastAsia="es-MX"/>
        </w:rPr>
        <w:t>Dirección General de Análisis y Prospectiva.</w:t>
      </w:r>
    </w:p>
    <w:p w:rsidR="00CC69AE" w:rsidRPr="009E30D1" w:rsidRDefault="00CC69AE" w:rsidP="006454CE">
      <w:pPr>
        <w:spacing w:after="0" w:line="240" w:lineRule="auto"/>
        <w:jc w:val="both"/>
        <w:rPr>
          <w:rFonts w:ascii="Adobe Caslon Pro" w:eastAsiaTheme="minorEastAsia" w:hAnsi="Adobe Caslon Pro" w:cs="Arial"/>
          <w:b/>
          <w:color w:val="000000" w:themeColor="text1"/>
          <w:lang w:eastAsia="es-MX"/>
        </w:rPr>
      </w:pPr>
      <w:r w:rsidRPr="009E30D1">
        <w:rPr>
          <w:rFonts w:ascii="Adobe Caslon Pro" w:eastAsiaTheme="minorEastAsia" w:hAnsi="Adobe Caslon Pro" w:cs="Arial"/>
          <w:b/>
          <w:color w:val="000000" w:themeColor="text1"/>
          <w:lang w:eastAsia="es-MX"/>
        </w:rPr>
        <w:t xml:space="preserve">DIF.- </w:t>
      </w:r>
      <w:r w:rsidRPr="009E30D1">
        <w:rPr>
          <w:rFonts w:ascii="Adobe Caslon Pro" w:eastAsiaTheme="minorEastAsia" w:hAnsi="Adobe Caslon Pro" w:cs="Arial"/>
          <w:color w:val="000000" w:themeColor="text1"/>
          <w:lang w:eastAsia="es-MX"/>
        </w:rPr>
        <w:t>Sistema Nacional para el Desarrollo Integral de la Familia.</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DOF.-</w:t>
      </w:r>
      <w:r w:rsidRPr="009E30D1">
        <w:rPr>
          <w:rFonts w:ascii="Adobe Caslon Pro" w:eastAsiaTheme="minorEastAsia" w:hAnsi="Adobe Caslon Pro" w:cs="Arial"/>
          <w:color w:val="000000" w:themeColor="text1"/>
          <w:lang w:eastAsia="es-MX"/>
        </w:rPr>
        <w:t xml:space="preserve"> Diario Oficial de la Federación.</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 xml:space="preserve">ELCOS.- </w:t>
      </w:r>
      <w:r w:rsidRPr="009E30D1">
        <w:rPr>
          <w:rFonts w:ascii="Adobe Caslon Pro" w:hAnsi="Adobe Caslon Pro" w:cs="Arial"/>
          <w:lang w:val="es-ES"/>
        </w:rPr>
        <w:t>Encuesta Laboral y de Corresponsabilidad Social.</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 xml:space="preserve">ENA.- </w:t>
      </w:r>
      <w:r w:rsidRPr="009E30D1">
        <w:rPr>
          <w:rFonts w:ascii="Adobe Caslon Pro" w:hAnsi="Adobe Caslon Pro" w:cs="Arial"/>
          <w:lang w:val="es-ES"/>
        </w:rPr>
        <w:t>Encuesta Nacional de Adicciones.</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 xml:space="preserve">ENADIS.- </w:t>
      </w:r>
      <w:r w:rsidRPr="009E30D1">
        <w:rPr>
          <w:rFonts w:ascii="Adobe Caslon Pro" w:hAnsi="Adobe Caslon Pro" w:cs="Arial"/>
          <w:lang w:val="es-ES"/>
        </w:rPr>
        <w:t>Encuesta Nacional sobre Discriminación en México.</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ENAMIN.-</w:t>
      </w:r>
      <w:r w:rsidRPr="009E30D1">
        <w:rPr>
          <w:rFonts w:ascii="Adobe Caslon Pro" w:eastAsiaTheme="minorEastAsia" w:hAnsi="Adobe Caslon Pro" w:cs="Arial"/>
          <w:color w:val="000000" w:themeColor="text1"/>
          <w:lang w:eastAsia="es-MX"/>
        </w:rPr>
        <w:t xml:space="preserve"> Encuesta Nacional de Micro-negocios.</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ENCUP.-</w:t>
      </w:r>
      <w:r w:rsidRPr="009E30D1">
        <w:rPr>
          <w:rFonts w:ascii="Adobe Caslon Pro" w:eastAsiaTheme="minorEastAsia" w:hAnsi="Adobe Caslon Pro" w:cs="Arial"/>
          <w:color w:val="000000" w:themeColor="text1"/>
          <w:lang w:eastAsia="es-MX"/>
        </w:rPr>
        <w:t xml:space="preserve"> Encuesta Nacional sobre la Cultura Política y Practicas Ciudadanas.</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ENDIREH</w:t>
      </w:r>
      <w:r w:rsidRPr="009E30D1">
        <w:rPr>
          <w:rFonts w:ascii="Adobe Caslon Pro" w:eastAsiaTheme="minorEastAsia" w:hAnsi="Adobe Caslon Pro" w:cs="Arial"/>
          <w:color w:val="000000" w:themeColor="text1"/>
          <w:lang w:eastAsia="es-MX"/>
        </w:rPr>
        <w:t>.- Encuesta Nacional sobre la Dinámica de las Relaciones en los Hogares.</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ENIGH.-</w:t>
      </w:r>
      <w:r w:rsidRPr="009E30D1">
        <w:rPr>
          <w:rFonts w:ascii="Adobe Caslon Pro" w:eastAsiaTheme="minorEastAsia" w:hAnsi="Adobe Caslon Pro" w:cs="Arial"/>
          <w:color w:val="000000" w:themeColor="text1"/>
          <w:lang w:eastAsia="es-MX"/>
        </w:rPr>
        <w:t xml:space="preserve"> Encuesta Nacional de Ingresos y Gasto</w:t>
      </w:r>
      <w:r w:rsidR="00B97889" w:rsidRPr="009E30D1">
        <w:rPr>
          <w:rFonts w:ascii="Adobe Caslon Pro" w:eastAsiaTheme="minorEastAsia" w:hAnsi="Adobe Caslon Pro" w:cs="Arial"/>
          <w:color w:val="000000" w:themeColor="text1"/>
          <w:lang w:eastAsia="es-MX"/>
        </w:rPr>
        <w:t>s</w:t>
      </w:r>
      <w:r w:rsidRPr="009E30D1">
        <w:rPr>
          <w:rFonts w:ascii="Adobe Caslon Pro" w:eastAsiaTheme="minorEastAsia" w:hAnsi="Adobe Caslon Pro" w:cs="Arial"/>
          <w:color w:val="000000" w:themeColor="text1"/>
          <w:lang w:eastAsia="es-MX"/>
        </w:rPr>
        <w:t xml:space="preserve"> en los Hogares.</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 xml:space="preserve">ENJ.- </w:t>
      </w:r>
      <w:r w:rsidRPr="009E30D1">
        <w:rPr>
          <w:rFonts w:ascii="Adobe Caslon Pro" w:hAnsi="Adobe Caslon Pro" w:cs="Arial"/>
        </w:rPr>
        <w:t>Encuesta Nacional de Juventud.</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ENOE.-</w:t>
      </w:r>
      <w:r w:rsidRPr="009E30D1">
        <w:rPr>
          <w:rFonts w:ascii="Adobe Caslon Pro" w:eastAsiaTheme="minorEastAsia" w:hAnsi="Adobe Caslon Pro" w:cs="Arial"/>
          <w:color w:val="000000" w:themeColor="text1"/>
          <w:lang w:eastAsia="es-MX"/>
        </w:rPr>
        <w:t xml:space="preserve"> Encuesta</w:t>
      </w:r>
      <w:r w:rsidR="00B62DAE" w:rsidRPr="009E30D1">
        <w:rPr>
          <w:rFonts w:ascii="Adobe Caslon Pro" w:eastAsiaTheme="minorEastAsia" w:hAnsi="Adobe Caslon Pro" w:cs="Arial"/>
          <w:color w:val="000000" w:themeColor="text1"/>
          <w:lang w:eastAsia="es-MX"/>
        </w:rPr>
        <w:t xml:space="preserve"> Nacional de Ocupación y Empleo (se utiliza la información del primer trimestre de 2014). </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ENUT.-</w:t>
      </w:r>
      <w:r w:rsidRPr="009E30D1">
        <w:rPr>
          <w:rFonts w:ascii="Adobe Caslon Pro" w:eastAsiaTheme="minorEastAsia" w:hAnsi="Adobe Caslon Pro" w:cs="Arial"/>
          <w:color w:val="000000" w:themeColor="text1"/>
          <w:lang w:eastAsia="es-MX"/>
        </w:rPr>
        <w:t xml:space="preserve"> Encuesta Nacional sobre el Uso del Tiempo.</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ENVIPE.-</w:t>
      </w:r>
      <w:r w:rsidRPr="009E30D1">
        <w:rPr>
          <w:rFonts w:ascii="Adobe Caslon Pro" w:eastAsiaTheme="minorEastAsia" w:hAnsi="Adobe Caslon Pro" w:cs="Arial"/>
          <w:color w:val="000000" w:themeColor="text1"/>
          <w:lang w:eastAsia="es-MX"/>
        </w:rPr>
        <w:t xml:space="preserve"> Encuesta Nacional de Victimización y Percepción sobre Seguridad Pública.</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 xml:space="preserve">FEVIM.- </w:t>
      </w:r>
      <w:r w:rsidRPr="009E30D1">
        <w:rPr>
          <w:rFonts w:ascii="Adobe Caslon Pro" w:eastAsiaTheme="minorEastAsia" w:hAnsi="Adobe Caslon Pro" w:cs="Arial"/>
          <w:color w:val="000000" w:themeColor="text1"/>
          <w:lang w:eastAsia="es-MX"/>
        </w:rPr>
        <w:t>Fiscal</w:t>
      </w:r>
      <w:r w:rsidR="00C318B9" w:rsidRPr="009E30D1">
        <w:rPr>
          <w:rFonts w:ascii="Adobe Caslon Pro" w:eastAsiaTheme="minorEastAsia" w:hAnsi="Adobe Caslon Pro" w:cs="Arial"/>
          <w:color w:val="000000" w:themeColor="text1"/>
          <w:lang w:eastAsia="es-MX"/>
        </w:rPr>
        <w:t>í</w:t>
      </w:r>
      <w:r w:rsidRPr="009E30D1">
        <w:rPr>
          <w:rFonts w:ascii="Adobe Caslon Pro" w:eastAsiaTheme="minorEastAsia" w:hAnsi="Adobe Caslon Pro" w:cs="Arial"/>
          <w:color w:val="000000" w:themeColor="text1"/>
          <w:lang w:eastAsia="es-MX"/>
        </w:rPr>
        <w:t>a Especial de Violencia contra Mujeres.</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FEVIMTRA.-</w:t>
      </w:r>
      <w:r w:rsidRPr="009E30D1">
        <w:rPr>
          <w:rFonts w:ascii="Adobe Caslon Pro" w:eastAsiaTheme="minorEastAsia" w:hAnsi="Adobe Caslon Pro" w:cs="Arial"/>
          <w:color w:val="000000" w:themeColor="text1"/>
          <w:lang w:eastAsia="es-MX"/>
        </w:rPr>
        <w:t xml:space="preserve"> Fiscalía Especial para los Delitos de Violencia contra las Mujeres y Trata de Personas.</w:t>
      </w:r>
    </w:p>
    <w:p w:rsidR="00EC5AB5" w:rsidRPr="009E30D1" w:rsidRDefault="00CC69AE" w:rsidP="006454CE">
      <w:pPr>
        <w:spacing w:after="0" w:line="240" w:lineRule="auto"/>
        <w:rPr>
          <w:rFonts w:ascii="Adobe Caslon Pro" w:hAnsi="Adobe Caslon Pro" w:cs="Arial"/>
        </w:rPr>
      </w:pPr>
      <w:r w:rsidRPr="009E30D1">
        <w:rPr>
          <w:rFonts w:ascii="Adobe Caslon Pro" w:hAnsi="Adobe Caslon Pro" w:cs="Arial"/>
          <w:b/>
        </w:rPr>
        <w:t xml:space="preserve">GEM.- </w:t>
      </w:r>
      <w:r w:rsidRPr="009E30D1">
        <w:rPr>
          <w:rFonts w:ascii="Adobe Caslon Pro" w:hAnsi="Adobe Caslon Pro" w:cs="Arial"/>
        </w:rPr>
        <w:t>Escala de Equidad de Género para Hombres</w:t>
      </w:r>
      <w:r w:rsidR="00EC5AB5" w:rsidRPr="009E30D1">
        <w:rPr>
          <w:rFonts w:ascii="Adobe Caslon Pro" w:hAnsi="Adobe Caslon Pro" w:cs="Arial"/>
        </w:rPr>
        <w:t>.</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IMEF.-</w:t>
      </w:r>
      <w:r w:rsidRPr="009E30D1">
        <w:rPr>
          <w:rFonts w:ascii="Adobe Caslon Pro" w:eastAsiaTheme="minorEastAsia" w:hAnsi="Adobe Caslon Pro" w:cs="Arial"/>
          <w:color w:val="000000" w:themeColor="text1"/>
          <w:lang w:eastAsia="es-MX"/>
        </w:rPr>
        <w:t xml:space="preserve"> Instancias de Mujeres en las Entidades Federativas.</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IMM.-</w:t>
      </w:r>
      <w:r w:rsidRPr="009E30D1">
        <w:rPr>
          <w:rFonts w:ascii="Adobe Caslon Pro" w:eastAsiaTheme="minorEastAsia" w:hAnsi="Adobe Caslon Pro" w:cs="Arial"/>
          <w:color w:val="000000" w:themeColor="text1"/>
          <w:lang w:eastAsia="es-MX"/>
        </w:rPr>
        <w:t xml:space="preserve"> Instancias Municipales de </w:t>
      </w:r>
      <w:r w:rsidR="00C318B9" w:rsidRPr="009E30D1">
        <w:rPr>
          <w:rFonts w:ascii="Adobe Caslon Pro" w:eastAsiaTheme="minorEastAsia" w:hAnsi="Adobe Caslon Pro" w:cs="Arial"/>
          <w:color w:val="000000" w:themeColor="text1"/>
          <w:lang w:eastAsia="es-MX"/>
        </w:rPr>
        <w:t xml:space="preserve">la </w:t>
      </w:r>
      <w:r w:rsidRPr="009E30D1">
        <w:rPr>
          <w:rFonts w:ascii="Adobe Caslon Pro" w:eastAsiaTheme="minorEastAsia" w:hAnsi="Adobe Caslon Pro" w:cs="Arial"/>
          <w:color w:val="000000" w:themeColor="text1"/>
          <w:lang w:eastAsia="es-MX"/>
        </w:rPr>
        <w:t>Mujer.</w:t>
      </w:r>
    </w:p>
    <w:p w:rsidR="00CC69AE" w:rsidRPr="009E30D1" w:rsidRDefault="00CC69AE" w:rsidP="006454CE">
      <w:pPr>
        <w:spacing w:after="0" w:line="240" w:lineRule="auto"/>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INDESOL.-</w:t>
      </w:r>
      <w:r w:rsidRPr="009E30D1">
        <w:rPr>
          <w:rFonts w:ascii="Adobe Caslon Pro" w:eastAsiaTheme="minorEastAsia" w:hAnsi="Adobe Caslon Pro" w:cs="Arial"/>
          <w:color w:val="000000" w:themeColor="text1"/>
          <w:lang w:eastAsia="es-MX"/>
        </w:rPr>
        <w:t xml:space="preserve"> Instituto Nacional de Desarrollo Social.</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INEGI.-</w:t>
      </w:r>
      <w:r w:rsidRPr="009E30D1">
        <w:rPr>
          <w:rFonts w:ascii="Adobe Caslon Pro" w:hAnsi="Adobe Caslon Pro" w:cs="Arial"/>
        </w:rPr>
        <w:t xml:space="preserve"> Instituto</w:t>
      </w:r>
      <w:r w:rsidRPr="009E30D1">
        <w:rPr>
          <w:rFonts w:ascii="Adobe Caslon Pro" w:hAnsi="Adobe Caslon Pro" w:cs="Arial"/>
          <w:bCs/>
        </w:rPr>
        <w:t xml:space="preserve"> Nacional de Estadística y Geografía.</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INFONAVIT.-</w:t>
      </w:r>
      <w:r w:rsidRPr="009E30D1">
        <w:rPr>
          <w:rFonts w:ascii="Adobe Caslon Pro" w:hAnsi="Adobe Caslon Pro" w:cs="Arial"/>
          <w:bCs/>
        </w:rPr>
        <w:t xml:space="preserve"> Instituto del Fondo Nacional de la Vivienda para los Trabajadores.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lastRenderedPageBreak/>
        <w:t xml:space="preserve">INMUJERES.- </w:t>
      </w:r>
      <w:r w:rsidRPr="009E30D1">
        <w:rPr>
          <w:rFonts w:ascii="Adobe Caslon Pro" w:hAnsi="Adobe Caslon Pro" w:cs="Arial"/>
          <w:bCs/>
        </w:rPr>
        <w:t>Instituto Nacional de las Mujeres.</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 xml:space="preserve">INSP.- </w:t>
      </w:r>
      <w:r w:rsidRPr="009E30D1">
        <w:rPr>
          <w:rFonts w:ascii="Adobe Caslon Pro" w:hAnsi="Adobe Caslon Pro" w:cs="Arial"/>
        </w:rPr>
        <w:t>Instituto Nacional de Salud Pública.</w:t>
      </w:r>
    </w:p>
    <w:p w:rsidR="00310CED" w:rsidRPr="009E30D1" w:rsidRDefault="00EF326D" w:rsidP="006454CE">
      <w:pPr>
        <w:spacing w:after="0" w:line="240" w:lineRule="auto"/>
        <w:rPr>
          <w:rFonts w:ascii="Adobe Caslon Pro" w:hAnsi="Adobe Caslon Pro" w:cs="Arial"/>
          <w:bCs/>
        </w:rPr>
      </w:pPr>
      <w:r w:rsidRPr="009E30D1">
        <w:rPr>
          <w:rFonts w:ascii="Adobe Caslon Pro" w:hAnsi="Adobe Caslon Pro" w:cs="Arial"/>
          <w:b/>
          <w:bCs/>
        </w:rPr>
        <w:t>LAPVI</w:t>
      </w:r>
      <w:r w:rsidR="00310CED" w:rsidRPr="009E30D1">
        <w:rPr>
          <w:rFonts w:ascii="Adobe Caslon Pro" w:hAnsi="Adobe Caslon Pro" w:cs="Arial"/>
          <w:b/>
          <w:bCs/>
        </w:rPr>
        <w:t xml:space="preserve">.- </w:t>
      </w:r>
      <w:r w:rsidR="00310CED" w:rsidRPr="009E30D1">
        <w:rPr>
          <w:rStyle w:val="nfasis"/>
          <w:rFonts w:ascii="Adobe Caslon Pro" w:hAnsi="Adobe Caslon Pro" w:cs="Arial"/>
          <w:i w:val="0"/>
          <w:lang w:val="es-ES"/>
        </w:rPr>
        <w:t>Ley de Asistencia y P</w:t>
      </w:r>
      <w:r w:rsidRPr="009E30D1">
        <w:rPr>
          <w:rStyle w:val="nfasis"/>
          <w:rFonts w:ascii="Adobe Caslon Pro" w:hAnsi="Adobe Caslon Pro" w:cs="Arial"/>
          <w:i w:val="0"/>
          <w:lang w:val="es-ES"/>
        </w:rPr>
        <w:t>revención de la Violencia Intraf</w:t>
      </w:r>
      <w:r w:rsidR="00310CED" w:rsidRPr="009E30D1">
        <w:rPr>
          <w:rStyle w:val="nfasis"/>
          <w:rFonts w:ascii="Adobe Caslon Pro" w:hAnsi="Adobe Caslon Pro" w:cs="Arial"/>
          <w:i w:val="0"/>
          <w:lang w:val="es-ES"/>
        </w:rPr>
        <w:t>amiliar.</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LGAMVLV.-</w:t>
      </w:r>
      <w:r w:rsidRPr="009E30D1">
        <w:rPr>
          <w:rFonts w:ascii="Adobe Caslon Pro" w:hAnsi="Adobe Caslon Pro" w:cs="Arial"/>
          <w:bCs/>
        </w:rPr>
        <w:t xml:space="preserve"> Ley General de Acceso de las Mujeres a una Vida Libre de Violencia.</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 xml:space="preserve">LGIMH.- </w:t>
      </w:r>
      <w:r w:rsidRPr="009E30D1">
        <w:rPr>
          <w:rFonts w:ascii="Adobe Caslon Pro" w:hAnsi="Adobe Caslon Pro" w:cs="Arial"/>
          <w:bCs/>
        </w:rPr>
        <w:t>Ley General para la Igualdad entre Mujeres y Hombres.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LGV.-</w:t>
      </w:r>
      <w:r w:rsidRPr="009E30D1">
        <w:rPr>
          <w:rFonts w:ascii="Adobe Caslon Pro" w:hAnsi="Adobe Caslon Pro" w:cs="Arial"/>
          <w:bCs/>
        </w:rPr>
        <w:t xml:space="preserve"> Ley General de Víctimas.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MCS.-</w:t>
      </w:r>
      <w:r w:rsidRPr="009E30D1">
        <w:rPr>
          <w:rFonts w:ascii="Adobe Caslon Pro" w:hAnsi="Adobe Caslon Pro" w:cs="Arial"/>
          <w:bCs/>
        </w:rPr>
        <w:t xml:space="preserve"> Módulo de Condiciones Socio-económicas.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OEA.-</w:t>
      </w:r>
      <w:r w:rsidRPr="009E30D1">
        <w:rPr>
          <w:rFonts w:ascii="Adobe Caslon Pro" w:hAnsi="Adobe Caslon Pro" w:cs="Arial"/>
          <w:bCs/>
        </w:rPr>
        <w:t xml:space="preserve"> Organización de los Estados Americanos.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OMS.-</w:t>
      </w:r>
      <w:r w:rsidRPr="009E30D1">
        <w:rPr>
          <w:rFonts w:ascii="Adobe Caslon Pro" w:hAnsi="Adobe Caslon Pro" w:cs="Arial"/>
          <w:bCs/>
        </w:rPr>
        <w:t xml:space="preserve"> Organización Mundial de la Salud.</w:t>
      </w:r>
    </w:p>
    <w:p w:rsidR="00CC69AE" w:rsidRPr="009E30D1" w:rsidRDefault="00CC69AE" w:rsidP="006454CE">
      <w:pPr>
        <w:spacing w:after="0" w:line="240" w:lineRule="auto"/>
        <w:rPr>
          <w:rFonts w:ascii="Adobe Caslon Pro" w:hAnsi="Adobe Caslon Pro" w:cs="Arial"/>
          <w:b/>
        </w:rPr>
      </w:pPr>
      <w:r w:rsidRPr="009E30D1">
        <w:rPr>
          <w:rFonts w:ascii="Adobe Caslon Pro" w:hAnsi="Adobe Caslon Pro" w:cs="Arial"/>
          <w:b/>
        </w:rPr>
        <w:t xml:space="preserve">ONG.- </w:t>
      </w:r>
      <w:r w:rsidRPr="009E30D1">
        <w:rPr>
          <w:rFonts w:ascii="Adobe Caslon Pro" w:hAnsi="Adobe Caslon Pro" w:cs="Arial"/>
        </w:rPr>
        <w:t>Organización No Gubernamental.</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ONU.-</w:t>
      </w:r>
      <w:r w:rsidRPr="009E30D1">
        <w:rPr>
          <w:rFonts w:ascii="Adobe Caslon Pro" w:hAnsi="Adobe Caslon Pro" w:cs="Arial"/>
          <w:bCs/>
        </w:rPr>
        <w:t xml:space="preserve"> Organización de las Naciones Unidas.</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OSC.-</w:t>
      </w:r>
      <w:r w:rsidRPr="009E30D1">
        <w:rPr>
          <w:rFonts w:ascii="Adobe Caslon Pro" w:hAnsi="Adobe Caslon Pro" w:cs="Arial"/>
          <w:bCs/>
        </w:rPr>
        <w:t xml:space="preserve"> Organizaciones de la Sociedad Civil</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PAIMEF.-</w:t>
      </w:r>
      <w:r w:rsidRPr="009E30D1">
        <w:rPr>
          <w:rFonts w:ascii="Adobe Caslon Pro" w:hAnsi="Adobe Caslon Pro" w:cs="Arial"/>
        </w:rPr>
        <w:t xml:space="preserve"> Programa de Apoyo a las Instancias de Mujeres en las Entidades Federativas</w:t>
      </w:r>
      <w:r w:rsidR="00C318B9" w:rsidRPr="009E30D1">
        <w:rPr>
          <w:rFonts w:ascii="Adobe Caslon Pro" w:hAnsi="Adobe Caslon Pro" w:cs="Arial"/>
        </w:rPr>
        <w:t xml:space="preserve"> para Implementar y Ejecutar Programas de Prevención de la Violencia contra las Mujeres</w:t>
      </w:r>
      <w:r w:rsidRPr="009E30D1">
        <w:rPr>
          <w:rFonts w:ascii="Adobe Caslon Pro" w:hAnsi="Adobe Caslon Pro" w:cs="Arial"/>
        </w:rPr>
        <w:t>.</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PEA.-</w:t>
      </w:r>
      <w:r w:rsidRPr="009E30D1">
        <w:rPr>
          <w:rFonts w:ascii="Adobe Caslon Pro" w:hAnsi="Adobe Caslon Pro" w:cs="Arial"/>
        </w:rPr>
        <w:t xml:space="preserve"> Población Económicamente Activa.</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 xml:space="preserve">PGR.- </w:t>
      </w:r>
      <w:r w:rsidRPr="009E30D1">
        <w:rPr>
          <w:rFonts w:ascii="Adobe Caslon Pro" w:hAnsi="Adobe Caslon Pro" w:cs="Arial"/>
        </w:rPr>
        <w:t>Procuraduría General de la República.</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 xml:space="preserve">PIB.- </w:t>
      </w:r>
      <w:r w:rsidRPr="009E30D1">
        <w:rPr>
          <w:rFonts w:ascii="Adobe Caslon Pro" w:hAnsi="Adobe Caslon Pro" w:cs="Arial"/>
        </w:rPr>
        <w:t>Producto Interno Bruto.</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PIPASEVM.-</w:t>
      </w:r>
      <w:r w:rsidRPr="009E30D1">
        <w:rPr>
          <w:rFonts w:ascii="Adobe Caslon Pro" w:hAnsi="Adobe Caslon Pro" w:cs="Arial"/>
        </w:rPr>
        <w:t xml:space="preserve"> Programa Integral para Prevenir, Atender, Sancionar y Erradicar la Violencia contra las Mujeres.</w:t>
      </w:r>
    </w:p>
    <w:p w:rsidR="00CC69AE" w:rsidRPr="009E30D1" w:rsidRDefault="00CC69AE" w:rsidP="006454CE">
      <w:pPr>
        <w:spacing w:after="0" w:line="240" w:lineRule="auto"/>
        <w:rPr>
          <w:rFonts w:ascii="Adobe Caslon Pro" w:hAnsi="Adobe Caslon Pro" w:cs="Arial"/>
          <w:b/>
        </w:rPr>
      </w:pPr>
      <w:r w:rsidRPr="009E30D1">
        <w:rPr>
          <w:rFonts w:ascii="Adobe Caslon Pro" w:hAnsi="Adobe Caslon Pro" w:cs="Arial"/>
          <w:b/>
        </w:rPr>
        <w:t>PND.-</w:t>
      </w:r>
      <w:r w:rsidRPr="009E30D1">
        <w:rPr>
          <w:rFonts w:ascii="Adobe Caslon Pro" w:hAnsi="Adobe Caslon Pro" w:cs="Arial"/>
        </w:rPr>
        <w:t xml:space="preserve"> Plan Nacional de Desarrollo.</w:t>
      </w:r>
    </w:p>
    <w:p w:rsidR="00CC69AE" w:rsidRPr="009E30D1" w:rsidRDefault="00CC69AE" w:rsidP="006454CE">
      <w:pPr>
        <w:spacing w:after="0" w:line="240" w:lineRule="auto"/>
        <w:rPr>
          <w:rFonts w:ascii="Adobe Caslon Pro" w:hAnsi="Adobe Caslon Pro" w:cs="Arial"/>
          <w:bCs/>
        </w:rPr>
      </w:pPr>
      <w:r w:rsidRPr="009E30D1">
        <w:rPr>
          <w:rFonts w:ascii="Adobe Caslon Pro" w:hAnsi="Adobe Caslon Pro" w:cs="Arial"/>
          <w:b/>
          <w:bCs/>
        </w:rPr>
        <w:t xml:space="preserve">PNUD.- </w:t>
      </w:r>
      <w:r w:rsidRPr="009E30D1">
        <w:rPr>
          <w:rFonts w:ascii="Adobe Caslon Pro" w:hAnsi="Adobe Caslon Pro" w:cs="Arial"/>
          <w:bCs/>
        </w:rPr>
        <w:t>Programa de las Naciones Unidas para el Desarrollo.</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PROIGUALDAD.-</w:t>
      </w:r>
      <w:r w:rsidRPr="009E30D1">
        <w:rPr>
          <w:rFonts w:ascii="Adobe Caslon Pro" w:hAnsi="Adobe Caslon Pro" w:cs="Arial"/>
        </w:rPr>
        <w:t xml:space="preserve"> Programa Nacional para la Igualdad </w:t>
      </w:r>
      <w:r w:rsidR="00C318B9" w:rsidRPr="009E30D1">
        <w:rPr>
          <w:rFonts w:ascii="Adobe Caslon Pro" w:hAnsi="Adobe Caslon Pro" w:cs="Arial"/>
        </w:rPr>
        <w:t xml:space="preserve">de Oportunidades y no Discriminación contra las </w:t>
      </w:r>
      <w:r w:rsidRPr="009E30D1">
        <w:rPr>
          <w:rFonts w:ascii="Adobe Caslon Pro" w:hAnsi="Adobe Caslon Pro" w:cs="Arial"/>
        </w:rPr>
        <w:t>Mujeres.</w:t>
      </w:r>
    </w:p>
    <w:p w:rsidR="00C318B9" w:rsidRPr="009E30D1" w:rsidRDefault="00C318B9" w:rsidP="006454CE">
      <w:pPr>
        <w:spacing w:after="0" w:line="240" w:lineRule="auto"/>
        <w:rPr>
          <w:rFonts w:ascii="Adobe Caslon Pro" w:hAnsi="Adobe Caslon Pro" w:cs="Arial"/>
        </w:rPr>
      </w:pPr>
      <w:r w:rsidRPr="009E30D1">
        <w:rPr>
          <w:rFonts w:ascii="Adobe Caslon Pro" w:hAnsi="Adobe Caslon Pro" w:cs="Arial"/>
          <w:b/>
        </w:rPr>
        <w:t>PIPASEVM</w:t>
      </w:r>
      <w:r w:rsidRPr="009E30D1">
        <w:rPr>
          <w:rFonts w:ascii="Adobe Caslon Pro" w:hAnsi="Adobe Caslon Pro" w:cs="Arial"/>
        </w:rPr>
        <w:t>.- Programa Integral para Prevenir, Atender, Sancionar y Erradicar la Violencia contra las Mujeres.</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PSDS.-</w:t>
      </w:r>
      <w:r w:rsidRPr="009E30D1">
        <w:rPr>
          <w:rFonts w:ascii="Adobe Caslon Pro" w:hAnsi="Adobe Caslon Pro" w:cs="Arial"/>
        </w:rPr>
        <w:t xml:space="preserve"> Programa Sectorial de Desarrollo Social.</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SCNM.-</w:t>
      </w:r>
      <w:r w:rsidRPr="009E30D1">
        <w:rPr>
          <w:rFonts w:ascii="Adobe Caslon Pro" w:hAnsi="Adobe Caslon Pro" w:cs="Arial"/>
        </w:rPr>
        <w:t xml:space="preserve"> Sistema de Cuentas Nacionales de México.</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SEDESO.-</w:t>
      </w:r>
      <w:r w:rsidR="005D27BC" w:rsidRPr="009E30D1">
        <w:rPr>
          <w:rFonts w:ascii="Adobe Caslon Pro" w:hAnsi="Adobe Caslon Pro" w:cs="Arial"/>
        </w:rPr>
        <w:t xml:space="preserve"> Secretarí</w:t>
      </w:r>
      <w:r w:rsidRPr="009E30D1">
        <w:rPr>
          <w:rFonts w:ascii="Adobe Caslon Pro" w:hAnsi="Adobe Caslon Pro" w:cs="Arial"/>
        </w:rPr>
        <w:t>a de Desarrollo Social en las Entidades Federativas.</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SEDESOL.-</w:t>
      </w:r>
      <w:r w:rsidR="005D27BC" w:rsidRPr="009E30D1">
        <w:rPr>
          <w:rFonts w:ascii="Adobe Caslon Pro" w:hAnsi="Adobe Caslon Pro" w:cs="Arial"/>
        </w:rPr>
        <w:t xml:space="preserve"> Secretarí</w:t>
      </w:r>
      <w:r w:rsidRPr="009E30D1">
        <w:rPr>
          <w:rFonts w:ascii="Adobe Caslon Pro" w:hAnsi="Adobe Caslon Pro" w:cs="Arial"/>
        </w:rPr>
        <w:t>a de Desarrollo Social.</w:t>
      </w:r>
    </w:p>
    <w:p w:rsidR="00CC69AE" w:rsidRPr="009E30D1" w:rsidRDefault="00CC69AE" w:rsidP="006454CE">
      <w:pPr>
        <w:spacing w:after="0" w:line="240" w:lineRule="auto"/>
        <w:rPr>
          <w:rFonts w:ascii="Adobe Caslon Pro" w:hAnsi="Adobe Caslon Pro" w:cs="Arial"/>
          <w:lang w:val="es-ES"/>
        </w:rPr>
      </w:pPr>
      <w:bookmarkStart w:id="1" w:name="_Toc380844424"/>
      <w:r w:rsidRPr="009E30D1">
        <w:rPr>
          <w:rFonts w:ascii="Adobe Caslon Pro" w:hAnsi="Adobe Caslon Pro" w:cs="Arial"/>
          <w:b/>
          <w:lang w:val="es-ES"/>
        </w:rPr>
        <w:t>SEGOB</w:t>
      </w:r>
      <w:bookmarkEnd w:id="1"/>
      <w:r w:rsidRPr="009E30D1">
        <w:rPr>
          <w:rFonts w:ascii="Adobe Caslon Pro" w:hAnsi="Adobe Caslon Pro" w:cs="Arial"/>
          <w:b/>
          <w:lang w:val="es-ES"/>
        </w:rPr>
        <w:t>.-</w:t>
      </w:r>
      <w:r w:rsidRPr="009E30D1">
        <w:rPr>
          <w:rFonts w:ascii="Adobe Caslon Pro" w:hAnsi="Adobe Caslon Pro" w:cs="Arial"/>
          <w:lang w:val="es-ES"/>
        </w:rPr>
        <w:t xml:space="preserve"> Secretaría de Gobernación.</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SEP.-</w:t>
      </w:r>
      <w:r w:rsidRPr="009E30D1">
        <w:rPr>
          <w:rFonts w:ascii="Adobe Caslon Pro" w:hAnsi="Adobe Caslon Pro" w:cs="Arial"/>
          <w:lang w:val="es-ES"/>
        </w:rPr>
        <w:t xml:space="preserve"> Secretaría de Educación Pública.</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 xml:space="preserve">SIDA.- </w:t>
      </w:r>
      <w:r w:rsidRPr="009E30D1">
        <w:rPr>
          <w:rFonts w:ascii="Adobe Caslon Pro" w:hAnsi="Adobe Caslon Pro" w:cs="Arial"/>
          <w:lang w:val="es-ES"/>
        </w:rPr>
        <w:t>Síndrome de Inmunodeficiencia Adquirida.</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SM.-</w:t>
      </w:r>
      <w:r w:rsidRPr="009E30D1">
        <w:rPr>
          <w:rFonts w:ascii="Adobe Caslon Pro" w:hAnsi="Adobe Caslon Pro" w:cs="Arial"/>
          <w:lang w:val="es-ES"/>
        </w:rPr>
        <w:t xml:space="preserve"> Salarios Mínimos.</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 xml:space="preserve">SNI.- </w:t>
      </w:r>
      <w:r w:rsidRPr="009E30D1">
        <w:rPr>
          <w:rFonts w:ascii="Adobe Caslon Pro" w:hAnsi="Adobe Caslon Pro" w:cs="Arial"/>
          <w:lang w:val="es-ES"/>
        </w:rPr>
        <w:t>Sistema Nacional de Investigadores.</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lastRenderedPageBreak/>
        <w:t>SNPASEVM.-</w:t>
      </w:r>
      <w:r w:rsidRPr="009E30D1">
        <w:rPr>
          <w:rFonts w:ascii="Adobe Caslon Pro" w:hAnsi="Adobe Caslon Pro" w:cs="Arial"/>
          <w:lang w:val="es-ES"/>
        </w:rPr>
        <w:t xml:space="preserve"> Sistema Nacional para Prevenir, Atender, Sancionar y Erradicar la Violencia contra las Mujeres.</w:t>
      </w:r>
    </w:p>
    <w:p w:rsidR="00CC69AE" w:rsidRPr="009E30D1" w:rsidRDefault="00CC69AE" w:rsidP="006454CE">
      <w:pPr>
        <w:spacing w:after="0" w:line="240" w:lineRule="auto"/>
        <w:rPr>
          <w:rFonts w:ascii="Adobe Caslon Pro" w:hAnsi="Adobe Caslon Pro" w:cs="Arial"/>
          <w:b/>
          <w:lang w:val="es-ES"/>
        </w:rPr>
      </w:pPr>
      <w:r w:rsidRPr="009E30D1">
        <w:rPr>
          <w:rFonts w:ascii="Adobe Caslon Pro" w:hAnsi="Adobe Caslon Pro" w:cs="Arial"/>
          <w:b/>
          <w:lang w:val="es-ES"/>
        </w:rPr>
        <w:t>SPPE.-</w:t>
      </w:r>
      <w:r w:rsidRPr="009E30D1">
        <w:rPr>
          <w:rFonts w:ascii="Adobe Caslon Pro" w:hAnsi="Adobe Caslon Pro"/>
        </w:rPr>
        <w:t xml:space="preserve"> </w:t>
      </w:r>
      <w:r w:rsidRPr="009E30D1">
        <w:rPr>
          <w:rFonts w:ascii="Adobe Caslon Pro" w:hAnsi="Adobe Caslon Pro" w:cs="Arial"/>
          <w:lang w:val="es-ES"/>
        </w:rPr>
        <w:t>Subsecretaría de Prospectiva, Planeación y Evaluación.</w:t>
      </w:r>
    </w:p>
    <w:p w:rsidR="00CC69AE" w:rsidRPr="009E30D1" w:rsidRDefault="00CC69AE" w:rsidP="006454CE">
      <w:pPr>
        <w:spacing w:after="0" w:line="240" w:lineRule="auto"/>
        <w:rPr>
          <w:rFonts w:ascii="Adobe Caslon Pro" w:hAnsi="Adobe Caslon Pro" w:cs="Arial"/>
          <w:b/>
          <w:lang w:val="es-ES"/>
        </w:rPr>
      </w:pPr>
      <w:r w:rsidRPr="009E30D1">
        <w:rPr>
          <w:rFonts w:ascii="Adobe Caslon Pro" w:hAnsi="Adobe Caslon Pro" w:cs="Arial"/>
          <w:b/>
          <w:lang w:val="es-ES"/>
        </w:rPr>
        <w:t xml:space="preserve">UNICEF.- </w:t>
      </w:r>
      <w:r w:rsidRPr="009E30D1">
        <w:rPr>
          <w:rFonts w:ascii="Adobe Caslon Pro" w:hAnsi="Adobe Caslon Pro" w:cs="Arial"/>
          <w:lang w:val="es-ES"/>
        </w:rPr>
        <w:t>Fondo de las Naciones Unidas para la Infancia.</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UNIFEM.-</w:t>
      </w:r>
      <w:r w:rsidRPr="009E30D1">
        <w:rPr>
          <w:rFonts w:ascii="Adobe Caslon Pro" w:hAnsi="Adobe Caslon Pro" w:cs="Arial"/>
          <w:lang w:val="es-ES"/>
        </w:rPr>
        <w:t xml:space="preserve"> Fondo de Desarrollo de las Naciones Unidas para la Mujer.</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UPRI.-</w:t>
      </w:r>
      <w:r w:rsidRPr="009E30D1">
        <w:rPr>
          <w:rFonts w:ascii="Adobe Caslon Pro" w:hAnsi="Adobe Caslon Pro" w:cs="Arial"/>
          <w:lang w:val="es-ES"/>
        </w:rPr>
        <w:t xml:space="preserve"> Unidad de Planeación y Relaciones Internacionales.</w:t>
      </w:r>
    </w:p>
    <w:p w:rsidR="00CC69AE" w:rsidRPr="009E30D1" w:rsidRDefault="00CC69AE" w:rsidP="006454CE">
      <w:pPr>
        <w:spacing w:after="0" w:line="240" w:lineRule="auto"/>
        <w:rPr>
          <w:rFonts w:ascii="Adobe Caslon Pro" w:hAnsi="Adobe Caslon Pro" w:cs="Arial"/>
        </w:rPr>
      </w:pPr>
      <w:r w:rsidRPr="009E30D1">
        <w:rPr>
          <w:rFonts w:ascii="Adobe Caslon Pro" w:hAnsi="Adobe Caslon Pro" w:cs="Arial"/>
          <w:b/>
        </w:rPr>
        <w:t>VIF.-</w:t>
      </w:r>
      <w:r w:rsidRPr="009E30D1">
        <w:rPr>
          <w:rFonts w:ascii="Adobe Caslon Pro" w:hAnsi="Adobe Caslon Pro" w:cs="Arial"/>
        </w:rPr>
        <w:t xml:space="preserve"> Violencia Intrafamiliar.</w:t>
      </w:r>
    </w:p>
    <w:p w:rsidR="00CC69AE" w:rsidRPr="009E30D1" w:rsidRDefault="00CC69AE" w:rsidP="006454CE">
      <w:pPr>
        <w:spacing w:after="0" w:line="240" w:lineRule="auto"/>
        <w:rPr>
          <w:rFonts w:ascii="Adobe Caslon Pro" w:hAnsi="Adobe Caslon Pro" w:cs="Arial"/>
          <w:lang w:val="es-ES"/>
        </w:rPr>
      </w:pPr>
      <w:r w:rsidRPr="009E30D1">
        <w:rPr>
          <w:rFonts w:ascii="Adobe Caslon Pro" w:hAnsi="Adobe Caslon Pro" w:cs="Arial"/>
          <w:b/>
          <w:lang w:val="es-ES"/>
        </w:rPr>
        <w:t xml:space="preserve">VIH.- </w:t>
      </w:r>
      <w:r w:rsidRPr="009E30D1">
        <w:rPr>
          <w:rFonts w:ascii="Adobe Caslon Pro" w:hAnsi="Adobe Caslon Pro" w:cs="Arial"/>
          <w:lang w:val="es-ES"/>
        </w:rPr>
        <w:t>Virus de la Inmunodeficiencia Humana.</w:t>
      </w:r>
    </w:p>
    <w:p w:rsidR="00CC69AE" w:rsidRPr="009E30D1" w:rsidRDefault="00CC69AE" w:rsidP="006454CE">
      <w:pPr>
        <w:spacing w:after="0" w:line="240" w:lineRule="auto"/>
        <w:rPr>
          <w:rFonts w:ascii="Adobe Caslon Pro" w:hAnsi="Adobe Caslon Pro" w:cs="Arial"/>
          <w:b/>
        </w:rPr>
      </w:pPr>
    </w:p>
    <w:p w:rsidR="001C50F8" w:rsidRPr="009E30D1" w:rsidRDefault="001C50F8" w:rsidP="006454CE">
      <w:pPr>
        <w:spacing w:after="0" w:line="240" w:lineRule="auto"/>
        <w:rPr>
          <w:rFonts w:ascii="Adobe Caslon Pro" w:hAnsi="Adobe Caslon Pro"/>
        </w:rPr>
      </w:pPr>
      <w:r w:rsidRPr="009E30D1">
        <w:rPr>
          <w:rFonts w:ascii="Adobe Caslon Pro" w:hAnsi="Adobe Caslon Pro"/>
        </w:rPr>
        <w:br w:type="page"/>
      </w:r>
    </w:p>
    <w:p w:rsidR="00664A26" w:rsidRPr="009E30D1" w:rsidRDefault="00664A26" w:rsidP="00B85C0B">
      <w:pPr>
        <w:pStyle w:val="Ttulo2"/>
        <w:spacing w:before="0" w:after="120"/>
      </w:pPr>
      <w:bookmarkStart w:id="2" w:name="_Toc391883366"/>
      <w:r w:rsidRPr="009E30D1">
        <w:lastRenderedPageBreak/>
        <w:t>Glosario</w:t>
      </w:r>
      <w:bookmarkEnd w:id="2"/>
      <w:r w:rsidRPr="009E30D1">
        <w:tab/>
      </w:r>
    </w:p>
    <w:p w:rsidR="00C71214" w:rsidRPr="009E30D1" w:rsidRDefault="00C71214" w:rsidP="00B85C0B">
      <w:pPr>
        <w:pStyle w:val="ecxmsonormal"/>
        <w:spacing w:after="120"/>
        <w:jc w:val="both"/>
        <w:rPr>
          <w:rFonts w:ascii="Adobe Caslon Pro" w:hAnsi="Adobe Caslon Pro" w:cs="Arial"/>
          <w:bCs/>
          <w:color w:val="000000"/>
          <w:sz w:val="22"/>
          <w:szCs w:val="22"/>
          <w:lang w:val="es-ES"/>
        </w:rPr>
      </w:pPr>
      <w:r w:rsidRPr="009E30D1">
        <w:rPr>
          <w:rFonts w:ascii="Adobe Caslon Pro" w:hAnsi="Adobe Caslon Pro" w:cs="Arial"/>
          <w:b/>
          <w:bCs/>
          <w:color w:val="000000"/>
          <w:sz w:val="22"/>
          <w:szCs w:val="22"/>
          <w:lang w:val="es-ES"/>
        </w:rPr>
        <w:t xml:space="preserve">Actividades de cuidado.- </w:t>
      </w:r>
      <w:r w:rsidR="002E022E" w:rsidRPr="009E30D1">
        <w:rPr>
          <w:rFonts w:ascii="Adobe Caslon Pro" w:hAnsi="Adobe Caslon Pro" w:cs="Arial"/>
          <w:bCs/>
          <w:color w:val="000000"/>
          <w:sz w:val="22"/>
          <w:szCs w:val="22"/>
          <w:lang w:val="es-ES"/>
        </w:rPr>
        <w:t>Es la atención y asistencia a las personas que presentan algún grado de dependencia, pudiendo ser: moderada, cuando la persona necesita ayuda para realizar varias actividades básicas de la vida diaria, al menos una vez al día; severa que se presenta cuando la persona necesita ayuda para realizar varias actividades básicas de la vida diaria dos o tres veces al día, pero no requiere la presencia permanente de un cuidador o cuidadora; o gran dependencia que es cuando la persona necesita ayuda para realizar las actividades básicas de la vida diaria varias veces al día y, por su pérdida total de autonomía mental o física, y por ello se hace necesaria la presencia indispensable y continua de otra persona para su cuidado, ya sea que esta dependencia se derive de las discapacidades, de la propia vejez y/o de enfermedades crónico-degenerativas.</w:t>
      </w:r>
      <w:r w:rsidR="002E022E" w:rsidRPr="009E30D1">
        <w:rPr>
          <w:rFonts w:ascii="Adobe Caslon Pro" w:hAnsi="Adobe Caslon Pro" w:cs="Arial"/>
          <w:b/>
          <w:bCs/>
          <w:color w:val="000000"/>
          <w:sz w:val="22"/>
          <w:szCs w:val="22"/>
          <w:lang w:val="es-ES"/>
        </w:rPr>
        <w:t xml:space="preserve">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Alerta de violencia de género</w:t>
      </w:r>
      <w:r w:rsidR="0023409D" w:rsidRPr="009E30D1">
        <w:rPr>
          <w:rFonts w:ascii="Adobe Caslon Pro" w:hAnsi="Adobe Caslon Pro" w:cs="Arial"/>
          <w:b/>
          <w:color w:val="000000"/>
          <w:sz w:val="22"/>
          <w:szCs w:val="22"/>
          <w:lang w:val="es-ES"/>
        </w:rPr>
        <w:t>.-</w:t>
      </w:r>
      <w:r w:rsidR="00C73D3C"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C</w:t>
      </w:r>
      <w:r w:rsidRPr="009E30D1">
        <w:rPr>
          <w:rFonts w:ascii="Adobe Caslon Pro" w:hAnsi="Adobe Caslon Pro" w:cs="Arial"/>
          <w:color w:val="000000"/>
          <w:sz w:val="22"/>
          <w:szCs w:val="22"/>
          <w:lang w:val="es-ES"/>
        </w:rPr>
        <w:t xml:space="preserve">onjunto de acciones gubernamentales de emergencia para enfrentar y erradicar la violencia </w:t>
      </w:r>
      <w:proofErr w:type="spellStart"/>
      <w:r w:rsidRPr="009E30D1">
        <w:rPr>
          <w:rFonts w:ascii="Adobe Caslon Pro" w:hAnsi="Adobe Caslon Pro" w:cs="Arial"/>
          <w:color w:val="000000"/>
          <w:sz w:val="22"/>
          <w:szCs w:val="22"/>
          <w:lang w:val="es-ES"/>
        </w:rPr>
        <w:t>feminicida</w:t>
      </w:r>
      <w:proofErr w:type="spellEnd"/>
      <w:r w:rsidRPr="009E30D1">
        <w:rPr>
          <w:rFonts w:ascii="Adobe Caslon Pro" w:hAnsi="Adobe Caslon Pro" w:cs="Arial"/>
          <w:color w:val="000000"/>
          <w:sz w:val="22"/>
          <w:szCs w:val="22"/>
          <w:lang w:val="es-ES"/>
        </w:rPr>
        <w:t xml:space="preserve"> en un territorio determinado, ya sea ejercida por individuos o por la propia comunidad.</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Agresor</w:t>
      </w:r>
      <w:r w:rsidR="0023409D" w:rsidRPr="009E30D1">
        <w:rPr>
          <w:rFonts w:ascii="Adobe Caslon Pro" w:hAnsi="Adobe Caslon Pro" w:cs="Arial"/>
          <w:b/>
          <w:color w:val="000000"/>
          <w:sz w:val="22"/>
          <w:szCs w:val="22"/>
          <w:lang w:val="es-ES"/>
        </w:rPr>
        <w:t>.-</w:t>
      </w:r>
      <w:r w:rsidR="00C73D3C"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P</w:t>
      </w:r>
      <w:r w:rsidRPr="009E30D1">
        <w:rPr>
          <w:rFonts w:ascii="Adobe Caslon Pro" w:hAnsi="Adobe Caslon Pro" w:cs="Arial"/>
          <w:color w:val="000000"/>
          <w:sz w:val="22"/>
          <w:szCs w:val="22"/>
          <w:lang w:val="es-ES"/>
        </w:rPr>
        <w:t xml:space="preserve">ersona que inflige cualquier tipo de violencia contra las mujeres.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color w:val="000000"/>
          <w:sz w:val="22"/>
          <w:szCs w:val="22"/>
          <w:lang w:val="es-ES"/>
        </w:rPr>
        <w:t>Árbol del problema.-</w:t>
      </w:r>
      <w:r w:rsidRPr="009E30D1">
        <w:rPr>
          <w:rFonts w:ascii="Adobe Caslon Pro" w:hAnsi="Adobe Caslon Pro" w:cs="Arial"/>
          <w:color w:val="000000"/>
          <w:sz w:val="22"/>
          <w:szCs w:val="22"/>
          <w:lang w:val="es-ES"/>
        </w:rPr>
        <w:t xml:space="preserve"> Herramienta metodológica que permite identificar el problema principal que un programa público busca resolver, examinar los efectos que provoca el problema e identificar las causas que lo generan.</w:t>
      </w:r>
    </w:p>
    <w:p w:rsidR="00CC69AE" w:rsidRPr="009E30D1" w:rsidRDefault="00CC69AE" w:rsidP="00B85C0B">
      <w:pPr>
        <w:spacing w:after="120" w:line="240" w:lineRule="auto"/>
        <w:jc w:val="both"/>
        <w:rPr>
          <w:rFonts w:ascii="Adobe Caslon Pro" w:eastAsiaTheme="minorEastAsia" w:hAnsi="Adobe Caslon Pro" w:cs="Arial"/>
          <w:color w:val="000000" w:themeColor="text1"/>
          <w:lang w:eastAsia="es-MX"/>
        </w:rPr>
      </w:pPr>
      <w:r w:rsidRPr="009E30D1">
        <w:rPr>
          <w:rFonts w:ascii="Adobe Caslon Pro" w:eastAsiaTheme="minorEastAsia" w:hAnsi="Adobe Caslon Pro" w:cs="Arial"/>
          <w:b/>
          <w:color w:val="000000" w:themeColor="text1"/>
          <w:lang w:eastAsia="es-MX"/>
        </w:rPr>
        <w:t>Carencia social</w:t>
      </w:r>
      <w:r w:rsidRPr="009E30D1">
        <w:rPr>
          <w:rFonts w:ascii="Adobe Caslon Pro" w:eastAsiaTheme="minorEastAsia" w:hAnsi="Adobe Caslon Pro" w:cs="Arial"/>
          <w:color w:val="000000" w:themeColor="text1"/>
          <w:lang w:eastAsia="es-MX"/>
        </w:rPr>
        <w:t>.- Cada uno de los indicadores asociados al espacio de derechos sociales en la medición multidimensional de la pobreza.</w:t>
      </w:r>
      <w:r w:rsidR="009051CC" w:rsidRPr="009E30D1">
        <w:rPr>
          <w:rFonts w:ascii="Adobe Caslon Pro" w:eastAsiaTheme="minorEastAsia" w:hAnsi="Adobe Caslon Pro" w:cs="Arial"/>
          <w:color w:val="000000" w:themeColor="text1"/>
          <w:lang w:eastAsia="es-MX"/>
        </w:rPr>
        <w:t xml:space="preserve"> </w:t>
      </w:r>
      <w:r w:rsidRPr="009E30D1">
        <w:rPr>
          <w:rFonts w:ascii="Adobe Caslon Pro" w:eastAsiaTheme="minorEastAsia" w:hAnsi="Adobe Caslon Pro" w:cs="Arial"/>
          <w:color w:val="000000" w:themeColor="text1"/>
          <w:lang w:eastAsia="es-MX"/>
        </w:rPr>
        <w:t>Estos indicadores identifican a la población que no cuenta con los elementos mínimos esenciales del indicador correspondiente.</w:t>
      </w:r>
    </w:p>
    <w:p w:rsidR="00CC69AE" w:rsidRPr="009E30D1" w:rsidRDefault="00CC69AE" w:rsidP="00B85C0B">
      <w:pPr>
        <w:spacing w:after="120" w:line="240" w:lineRule="auto"/>
        <w:jc w:val="both"/>
        <w:rPr>
          <w:rFonts w:ascii="Adobe Caslon Pro" w:eastAsiaTheme="minorEastAsia" w:hAnsi="Adobe Caslon Pro"/>
          <w:lang w:eastAsia="es-MX"/>
        </w:rPr>
      </w:pPr>
      <w:r w:rsidRPr="009E30D1">
        <w:rPr>
          <w:rFonts w:ascii="Adobe Caslon Pro" w:eastAsiaTheme="minorEastAsia" w:hAnsi="Adobe Caslon Pro"/>
          <w:b/>
          <w:lang w:eastAsia="es-MX"/>
        </w:rPr>
        <w:t>Carencia por acceso a los servicios de salud</w:t>
      </w:r>
      <w:r w:rsidRPr="009E30D1">
        <w:rPr>
          <w:rFonts w:ascii="Adobe Caslon Pro" w:eastAsiaTheme="minorEastAsia" w:hAnsi="Adobe Caslon Pro"/>
          <w:lang w:eastAsia="es-MX"/>
        </w:rPr>
        <w:t xml:space="preserve">.- Se considera que una persona se encuentra en situación de carencia por acceso a los servicios de salud cuando no cuenta con adscripción o derecho a recibir servicios médicos de alguna institución que los presta, incluyendo el Seguro Popular, las instituciones públicas de seguridad social (IMSS, ISSSTE federal o estatal, PEMEX, Ejército o Marina) o los servicios médicos privados. </w:t>
      </w:r>
    </w:p>
    <w:p w:rsidR="00CC69AE" w:rsidRPr="009E30D1" w:rsidRDefault="00CC69AE" w:rsidP="00B85C0B">
      <w:pPr>
        <w:spacing w:after="120" w:line="240" w:lineRule="auto"/>
        <w:jc w:val="both"/>
        <w:rPr>
          <w:rFonts w:ascii="Adobe Caslon Pro" w:eastAsiaTheme="minorEastAsia" w:hAnsi="Adobe Caslon Pro"/>
          <w:lang w:eastAsia="es-MX"/>
        </w:rPr>
      </w:pPr>
      <w:r w:rsidRPr="009E30D1">
        <w:rPr>
          <w:rFonts w:ascii="Adobe Caslon Pro" w:eastAsiaTheme="minorEastAsia" w:hAnsi="Adobe Caslon Pro"/>
          <w:b/>
          <w:lang w:eastAsia="es-MX"/>
        </w:rPr>
        <w:t>Carencia por rezago educativo</w:t>
      </w:r>
      <w:r w:rsidRPr="009E30D1">
        <w:rPr>
          <w:rFonts w:ascii="Adobe Caslon Pro" w:eastAsiaTheme="minorEastAsia" w:hAnsi="Adobe Caslon Pro"/>
          <w:lang w:eastAsia="es-MX"/>
        </w:rPr>
        <w:t>.- La población con carencia por rezago educativo es aquella que cumple alguno de los siguientes criterios:</w:t>
      </w:r>
      <w:r w:rsidR="009051CC" w:rsidRPr="009E30D1">
        <w:rPr>
          <w:rFonts w:ascii="Adobe Caslon Pro" w:eastAsiaTheme="minorEastAsia" w:hAnsi="Adobe Caslon Pro"/>
          <w:lang w:eastAsia="es-MX"/>
        </w:rPr>
        <w:t xml:space="preserve"> </w:t>
      </w:r>
    </w:p>
    <w:p w:rsidR="00CC69AE" w:rsidRPr="009E30D1" w:rsidRDefault="00CC69AE" w:rsidP="0082753F">
      <w:pPr>
        <w:pStyle w:val="Prrafodelista"/>
        <w:numPr>
          <w:ilvl w:val="0"/>
          <w:numId w:val="1"/>
        </w:numPr>
        <w:spacing w:after="120" w:line="240" w:lineRule="auto"/>
        <w:contextualSpacing w:val="0"/>
        <w:jc w:val="both"/>
        <w:rPr>
          <w:rFonts w:ascii="Adobe Caslon Pro" w:eastAsiaTheme="minorEastAsia" w:hAnsi="Adobe Caslon Pro"/>
          <w:lang w:eastAsia="es-MX"/>
        </w:rPr>
      </w:pPr>
      <w:r w:rsidRPr="009E30D1">
        <w:rPr>
          <w:rFonts w:ascii="Adobe Caslon Pro" w:eastAsiaTheme="minorEastAsia" w:hAnsi="Adobe Caslon Pro"/>
          <w:lang w:eastAsia="es-MX"/>
        </w:rPr>
        <w:t>Tiene de tres a quince años, no cuenta con la educación básica obligatoria y no asiste a un centro de educación formal.</w:t>
      </w:r>
    </w:p>
    <w:p w:rsidR="00CC69AE" w:rsidRPr="009E30D1" w:rsidRDefault="00CC69AE" w:rsidP="0082753F">
      <w:pPr>
        <w:pStyle w:val="Prrafodelista"/>
        <w:numPr>
          <w:ilvl w:val="0"/>
          <w:numId w:val="1"/>
        </w:numPr>
        <w:spacing w:after="120" w:line="240" w:lineRule="auto"/>
        <w:contextualSpacing w:val="0"/>
        <w:jc w:val="both"/>
        <w:rPr>
          <w:rFonts w:ascii="Adobe Caslon Pro" w:eastAsiaTheme="minorEastAsia" w:hAnsi="Adobe Caslon Pro"/>
          <w:lang w:eastAsia="es-MX"/>
        </w:rPr>
      </w:pPr>
      <w:r w:rsidRPr="009E30D1">
        <w:rPr>
          <w:rFonts w:ascii="Adobe Caslon Pro" w:eastAsiaTheme="minorEastAsia" w:hAnsi="Adobe Caslon Pro"/>
          <w:lang w:eastAsia="es-MX"/>
        </w:rPr>
        <w:t xml:space="preserve">Nació antes de 1982 y no cuenta con el nivel de educación obligatoria vigente en el momento en que debía haberla cursado (primaria completa). </w:t>
      </w:r>
    </w:p>
    <w:p w:rsidR="00CC69AE" w:rsidRPr="009E30D1" w:rsidRDefault="00CC69AE" w:rsidP="0082753F">
      <w:pPr>
        <w:pStyle w:val="Prrafodelista"/>
        <w:numPr>
          <w:ilvl w:val="0"/>
          <w:numId w:val="1"/>
        </w:numPr>
        <w:spacing w:after="120" w:line="240" w:lineRule="auto"/>
        <w:contextualSpacing w:val="0"/>
        <w:jc w:val="both"/>
        <w:rPr>
          <w:rFonts w:ascii="Adobe Caslon Pro" w:eastAsiaTheme="minorEastAsia" w:hAnsi="Adobe Caslon Pro"/>
          <w:lang w:eastAsia="es-MX"/>
        </w:rPr>
      </w:pPr>
      <w:r w:rsidRPr="009E30D1">
        <w:rPr>
          <w:rFonts w:ascii="Adobe Caslon Pro" w:eastAsiaTheme="minorEastAsia" w:hAnsi="Adobe Caslon Pro"/>
          <w:lang w:eastAsia="es-MX"/>
        </w:rPr>
        <w:lastRenderedPageBreak/>
        <w:t>Nació a partir de 1982 y no cuenta con el nivel de educación obligatoria (secundaria completa).</w:t>
      </w:r>
    </w:p>
    <w:p w:rsidR="00CC69AE" w:rsidRPr="009E30D1" w:rsidRDefault="00CC69AE" w:rsidP="00B85C0B">
      <w:pPr>
        <w:pStyle w:val="ecxmsonormal"/>
        <w:spacing w:after="120"/>
        <w:jc w:val="both"/>
        <w:rPr>
          <w:rFonts w:ascii="Adobe Caslon Pro" w:hAnsi="Adobe Caslon Pro" w:cs="Arial"/>
          <w:color w:val="000000"/>
          <w:sz w:val="22"/>
          <w:szCs w:val="22"/>
        </w:rPr>
      </w:pPr>
      <w:r w:rsidRPr="009E30D1">
        <w:rPr>
          <w:rFonts w:ascii="Adobe Caslon Pro" w:hAnsi="Adobe Caslon Pro" w:cs="Arial"/>
          <w:b/>
          <w:color w:val="000000"/>
          <w:sz w:val="22"/>
          <w:szCs w:val="22"/>
        </w:rPr>
        <w:t>Constitución.-</w:t>
      </w:r>
      <w:r w:rsidRPr="009E30D1">
        <w:rPr>
          <w:rFonts w:ascii="Adobe Caslon Pro" w:hAnsi="Adobe Caslon Pro" w:cs="Arial"/>
          <w:color w:val="000000"/>
          <w:sz w:val="22"/>
          <w:szCs w:val="22"/>
        </w:rPr>
        <w:t xml:space="preserve"> Constitución Política de los Estados Unidos Mexicanos.</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Derechos Humanos de las Mujeres</w:t>
      </w:r>
      <w:r w:rsidR="0023409D" w:rsidRPr="009E30D1">
        <w:rPr>
          <w:rFonts w:ascii="Adobe Caslon Pro" w:hAnsi="Adobe Caslon Pro" w:cs="Arial"/>
          <w:b/>
          <w:color w:val="000000"/>
          <w:sz w:val="22"/>
          <w:szCs w:val="22"/>
          <w:lang w:val="es-ES"/>
        </w:rPr>
        <w:t>.-</w:t>
      </w:r>
      <w:r w:rsidR="00C73D3C"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R</w:t>
      </w:r>
      <w:r w:rsidRPr="009E30D1">
        <w:rPr>
          <w:rFonts w:ascii="Adobe Caslon Pro" w:hAnsi="Adobe Caslon Pro" w:cs="Arial"/>
          <w:color w:val="000000"/>
          <w:sz w:val="22"/>
          <w:szCs w:val="22"/>
          <w:lang w:val="es-ES"/>
        </w:rPr>
        <w:t>efiere a los derechos que son parte inalienable, integrante e indivisible de los derechos humanos universales contenidos en la Convenc</w:t>
      </w:r>
      <w:r w:rsidR="00736D20" w:rsidRPr="009E30D1">
        <w:rPr>
          <w:rFonts w:ascii="Adobe Caslon Pro" w:hAnsi="Adobe Caslon Pro" w:cs="Arial"/>
          <w:color w:val="000000"/>
          <w:sz w:val="22"/>
          <w:szCs w:val="22"/>
          <w:lang w:val="es-ES"/>
        </w:rPr>
        <w:t>ión sobre la Eliminación de Toda</w:t>
      </w:r>
      <w:r w:rsidRPr="009E30D1">
        <w:rPr>
          <w:rFonts w:ascii="Adobe Caslon Pro" w:hAnsi="Adobe Caslon Pro" w:cs="Arial"/>
          <w:color w:val="000000"/>
          <w:sz w:val="22"/>
          <w:szCs w:val="22"/>
          <w:lang w:val="es-ES"/>
        </w:rPr>
        <w:t xml:space="preserve">s las Formas de Discriminación contra la Mujer (CEDAW), la </w:t>
      </w:r>
      <w:r w:rsidR="00736D20" w:rsidRPr="009E30D1">
        <w:rPr>
          <w:rFonts w:ascii="Adobe Caslon Pro" w:hAnsi="Adobe Caslon Pro" w:cs="Arial"/>
          <w:color w:val="000000"/>
          <w:sz w:val="22"/>
          <w:szCs w:val="22"/>
          <w:lang w:val="es-ES"/>
        </w:rPr>
        <w:t>Convención sobre los Derechos del Niño</w:t>
      </w:r>
      <w:r w:rsidRPr="009E30D1">
        <w:rPr>
          <w:rFonts w:ascii="Adobe Caslon Pro" w:hAnsi="Adobe Caslon Pro" w:cs="Arial"/>
          <w:color w:val="000000"/>
          <w:sz w:val="22"/>
          <w:szCs w:val="22"/>
          <w:lang w:val="es-ES"/>
        </w:rPr>
        <w:t>, la Convención Interamericana para Prevenir, Sancionar y Erradicar la Violencia contra la Mujer (Belem Do Pará) y demás instrumento</w:t>
      </w:r>
      <w:r w:rsidR="00B97889" w:rsidRPr="009E30D1">
        <w:rPr>
          <w:rFonts w:ascii="Adobe Caslon Pro" w:hAnsi="Adobe Caslon Pro" w:cs="Arial"/>
          <w:color w:val="000000"/>
          <w:sz w:val="22"/>
          <w:szCs w:val="22"/>
          <w:lang w:val="es-ES"/>
        </w:rPr>
        <w:t>s internacionales en la materia.</w:t>
      </w:r>
      <w:r w:rsidRPr="009E30D1">
        <w:rPr>
          <w:rFonts w:ascii="Adobe Caslon Pro" w:hAnsi="Adobe Caslon Pro" w:cs="Arial"/>
          <w:color w:val="000000"/>
          <w:sz w:val="22"/>
          <w:szCs w:val="22"/>
          <w:lang w:val="es-ES"/>
        </w:rPr>
        <w:t xml:space="preserve">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Desarrollo social</w:t>
      </w:r>
      <w:r w:rsidR="00B97889" w:rsidRPr="009E30D1">
        <w:rPr>
          <w:rFonts w:ascii="Adobe Caslon Pro" w:hAnsi="Adobe Caslon Pro" w:cs="Arial"/>
          <w:color w:val="000000"/>
          <w:sz w:val="22"/>
          <w:szCs w:val="22"/>
          <w:lang w:val="es-ES"/>
        </w:rPr>
        <w:t>: N</w:t>
      </w:r>
      <w:r w:rsidRPr="009E30D1">
        <w:rPr>
          <w:rFonts w:ascii="Adobe Caslon Pro" w:hAnsi="Adobe Caslon Pro" w:cs="Arial"/>
          <w:color w:val="000000"/>
          <w:sz w:val="22"/>
          <w:szCs w:val="22"/>
          <w:lang w:val="es-ES"/>
        </w:rPr>
        <w:t>iveles o grados de desarrollo alcanzados por un país en términos del bienestar de su población.</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Desarrollo humano sustentable</w:t>
      </w:r>
      <w:r w:rsidR="0023409D" w:rsidRPr="009E30D1">
        <w:rPr>
          <w:rFonts w:ascii="Adobe Caslon Pro" w:hAnsi="Adobe Caslon Pro" w:cs="Arial"/>
          <w:b/>
          <w:color w:val="000000"/>
          <w:sz w:val="22"/>
          <w:szCs w:val="22"/>
          <w:lang w:val="es-ES"/>
        </w:rPr>
        <w:t>.-</w:t>
      </w:r>
      <w:r w:rsidR="00C73D3C"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A</w:t>
      </w:r>
      <w:r w:rsidRPr="009E30D1">
        <w:rPr>
          <w:rFonts w:ascii="Adobe Caslon Pro" w:hAnsi="Adobe Caslon Pro" w:cs="Arial"/>
          <w:color w:val="000000"/>
          <w:sz w:val="22"/>
          <w:szCs w:val="22"/>
          <w:lang w:val="es-ES"/>
        </w:rPr>
        <w:t>sume que el propósito del desarrollo consiste en crear una atmósfera en que todos puedan aumentar su capacidad y las oportunidades puedan ampliarse para las generaciones presentes y futuras.</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color w:val="000000"/>
          <w:sz w:val="22"/>
          <w:szCs w:val="22"/>
          <w:lang w:val="es-ES"/>
        </w:rPr>
        <w:t>Diagnóstico.-</w:t>
      </w:r>
      <w:r w:rsidRPr="009E30D1">
        <w:rPr>
          <w:rFonts w:ascii="Adobe Caslon Pro" w:hAnsi="Adobe Caslon Pro" w:cs="Arial"/>
          <w:color w:val="000000"/>
          <w:sz w:val="22"/>
          <w:szCs w:val="22"/>
          <w:lang w:val="es-ES"/>
        </w:rPr>
        <w:t xml:space="preserve"> Documento de análisis que busca identificar el problema que un programa público busca resolver y detallar sus características relevantes. De los resultados del análisis se deriva la propuesta de atención.</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Discriminación</w:t>
      </w:r>
      <w:r w:rsidR="0023409D" w:rsidRPr="009E30D1">
        <w:rPr>
          <w:rFonts w:ascii="Adobe Caslon Pro" w:hAnsi="Adobe Caslon Pro" w:cs="Arial"/>
          <w:b/>
          <w:color w:val="000000"/>
          <w:sz w:val="22"/>
          <w:szCs w:val="22"/>
          <w:lang w:val="es-ES"/>
        </w:rPr>
        <w:t>.-</w:t>
      </w:r>
      <w:r w:rsidR="00C73D3C"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T</w:t>
      </w:r>
      <w:r w:rsidRPr="009E30D1">
        <w:rPr>
          <w:rFonts w:ascii="Adobe Caslon Pro" w:hAnsi="Adobe Caslon Pro" w:cs="Arial"/>
          <w:color w:val="000000"/>
          <w:sz w:val="22"/>
          <w:szCs w:val="22"/>
          <w:lang w:val="es-ES"/>
        </w:rPr>
        <w:t xml:space="preserve">oda 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la Igualdad real de oportunidades de las personas.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Discriminación contra las mujeres</w:t>
      </w:r>
      <w:r w:rsidR="0023409D" w:rsidRPr="009E30D1">
        <w:rPr>
          <w:rFonts w:ascii="Adobe Caslon Pro" w:hAnsi="Adobe Caslon Pro" w:cs="Arial"/>
          <w:b/>
          <w:color w:val="000000"/>
          <w:sz w:val="22"/>
          <w:szCs w:val="22"/>
          <w:lang w:val="es-ES"/>
        </w:rPr>
        <w:t>.-</w:t>
      </w:r>
      <w:r w:rsidR="00C73D3C"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T</w:t>
      </w:r>
      <w:r w:rsidRPr="009E30D1">
        <w:rPr>
          <w:rFonts w:ascii="Adobe Caslon Pro" w:hAnsi="Adobe Caslon Pro" w:cs="Arial"/>
          <w:color w:val="000000"/>
          <w:sz w:val="22"/>
          <w:szCs w:val="22"/>
          <w:lang w:val="es-ES"/>
        </w:rPr>
        <w:t>oda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Empoderamiento de las Mujeres</w:t>
      </w:r>
      <w:r w:rsidR="0023409D" w:rsidRPr="009E30D1">
        <w:rPr>
          <w:rFonts w:ascii="Adobe Caslon Pro" w:hAnsi="Adobe Caslon Pro" w:cs="Arial"/>
          <w:b/>
          <w:color w:val="000000"/>
          <w:sz w:val="22"/>
          <w:szCs w:val="22"/>
          <w:lang w:val="es-ES"/>
        </w:rPr>
        <w:t>.-</w:t>
      </w:r>
      <w:r w:rsidR="00C73D3C"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P</w:t>
      </w:r>
      <w:r w:rsidRPr="009E30D1">
        <w:rPr>
          <w:rFonts w:ascii="Adobe Caslon Pro" w:hAnsi="Adobe Caslon Pro" w:cs="Arial"/>
          <w:color w:val="000000"/>
          <w:sz w:val="22"/>
          <w:szCs w:val="22"/>
          <w:lang w:val="es-ES"/>
        </w:rPr>
        <w:t>roceso por medio del cual las mujeres transitan de cualquier situación de opresión, desigualdad, discriminación, explotación o exclusión a un estadio de conciencia, autodeterminación y autonomía, el cual se manifiesta en el ejercicio del poder democrático que emana del goce pleno de sus derechos y libertades</w:t>
      </w:r>
      <w:r w:rsidR="00B97889" w:rsidRPr="009E30D1">
        <w:rPr>
          <w:rFonts w:ascii="Adobe Caslon Pro" w:hAnsi="Adobe Caslon Pro" w:cs="Arial"/>
          <w:color w:val="000000"/>
          <w:sz w:val="22"/>
          <w:szCs w:val="22"/>
          <w:lang w:val="es-ES"/>
        </w:rPr>
        <w:t>.</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Equidad de Género</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P</w:t>
      </w:r>
      <w:r w:rsidRPr="009E30D1">
        <w:rPr>
          <w:rFonts w:ascii="Adobe Caslon Pro" w:hAnsi="Adobe Caslon Pro" w:cs="Arial"/>
          <w:color w:val="000000"/>
          <w:sz w:val="22"/>
          <w:szCs w:val="22"/>
          <w:lang w:val="es-ES"/>
        </w:rPr>
        <w:t xml:space="preserve">rincipio de justicia social conforme al cual hombres y mujeres poseen el mismo derecho de acceso al uso, control y beneficios de los bienes y servicios de la sociedad y cuya </w:t>
      </w:r>
      <w:r w:rsidRPr="009E30D1">
        <w:rPr>
          <w:rFonts w:ascii="Adobe Caslon Pro" w:hAnsi="Adobe Caslon Pro" w:cs="Arial"/>
          <w:color w:val="000000"/>
          <w:sz w:val="22"/>
          <w:szCs w:val="22"/>
          <w:lang w:val="es-ES"/>
        </w:rPr>
        <w:lastRenderedPageBreak/>
        <w:t xml:space="preserve">finalidad es lograr la participación equitativa de las mujeres en la toma de decisiones en todos los ámbitos de la vida social, económica, política, cultural y familiar.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Exclusión social</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C</w:t>
      </w:r>
      <w:r w:rsidRPr="009E30D1">
        <w:rPr>
          <w:rFonts w:ascii="Adobe Caslon Pro" w:hAnsi="Adobe Caslon Pro" w:cs="Arial"/>
          <w:color w:val="000000"/>
          <w:sz w:val="22"/>
          <w:szCs w:val="22"/>
          <w:lang w:val="es-ES"/>
        </w:rPr>
        <w:t xml:space="preserve">arencia o insuficiencia de oportunidades para acceder a los servicios básicos necesarios para el desarrollo humano, social y económico de individuos y grupos, como son educación, empleo, cultura, vivienda, seguridad, certeza jurídico-legal y recreación.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Fortalecimiento institucional de las IMEF</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P</w:t>
      </w:r>
      <w:r w:rsidRPr="009E30D1">
        <w:rPr>
          <w:rFonts w:ascii="Adobe Caslon Pro" w:hAnsi="Adobe Caslon Pro" w:cs="Arial"/>
          <w:color w:val="000000"/>
          <w:sz w:val="22"/>
          <w:szCs w:val="22"/>
          <w:lang w:val="es-ES"/>
        </w:rPr>
        <w:t xml:space="preserve">roceso por el cual las IMEF adquieren la capacidad de ejercer sus responsabilidades definidas en el marco legal, de fijarse objetivos y de poner en práctica los medios para alcanzarlos de manera directa o a través de la construcción de alianzas interinstitucionales para prevenir y atender la violencia contra las mujeres.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Género</w:t>
      </w:r>
      <w:r w:rsidR="00E51FA9" w:rsidRPr="009E30D1">
        <w:rPr>
          <w:rFonts w:ascii="Adobe Caslon Pro" w:hAnsi="Adobe Caslon Pro" w:cs="Arial"/>
          <w:color w:val="000000"/>
          <w:sz w:val="22"/>
          <w:szCs w:val="22"/>
          <w:lang w:val="es-ES"/>
        </w:rPr>
        <w:t>.-</w:t>
      </w:r>
      <w:r w:rsidR="00B97889" w:rsidRPr="009E30D1">
        <w:rPr>
          <w:rFonts w:ascii="Adobe Caslon Pro" w:hAnsi="Adobe Caslon Pro" w:cs="Arial"/>
          <w:color w:val="000000"/>
          <w:sz w:val="22"/>
          <w:szCs w:val="22"/>
          <w:lang w:val="es-ES"/>
        </w:rPr>
        <w:t xml:space="preserve"> C</w:t>
      </w:r>
      <w:r w:rsidRPr="009E30D1">
        <w:rPr>
          <w:rFonts w:ascii="Adobe Caslon Pro" w:hAnsi="Adobe Caslon Pro" w:cs="Arial"/>
          <w:color w:val="000000"/>
          <w:sz w:val="22"/>
          <w:szCs w:val="22"/>
          <w:lang w:val="es-ES"/>
        </w:rPr>
        <w:t>oncepto que refiere a los valores, atributos, roles y representaciones que la sociedad asigna a hombres y mujeres.</w:t>
      </w:r>
    </w:p>
    <w:p w:rsidR="00DE29B6"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Grupos sociales en situación de vulnerabilidad</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A</w:t>
      </w:r>
      <w:r w:rsidRPr="009E30D1">
        <w:rPr>
          <w:rFonts w:ascii="Adobe Caslon Pro" w:hAnsi="Adobe Caslon Pro" w:cs="Arial"/>
          <w:color w:val="000000"/>
          <w:sz w:val="22"/>
          <w:szCs w:val="22"/>
          <w:lang w:val="es-ES"/>
        </w:rPr>
        <w:t>quellos núcleos de población y personas que por diferentes factores o la combinación de ellos, enfrentan situaciones de riesgo o discriminación que les impiden alcanzar mejores niveles de vida y, por lo tanto, requieren de la atención e inversión del Gobierno para lograr su bienestar.</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IMEF</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w:t>
      </w:r>
      <w:r w:rsidRPr="009E30D1">
        <w:rPr>
          <w:rFonts w:ascii="Adobe Caslon Pro" w:hAnsi="Adobe Caslon Pro" w:cs="Arial"/>
          <w:color w:val="000000"/>
          <w:sz w:val="22"/>
          <w:szCs w:val="22"/>
          <w:lang w:val="es-ES"/>
        </w:rPr>
        <w:t>Instancias de Mujeres en las Entidades Federativas, que pueden ser institutos, secretarías, consejos u oficinas que, en los estados y en el Distrito Federal, atienden los programas y acciones a favor de las mujeres. Son las responsables de ejecutar el PAIMEF.</w:t>
      </w:r>
    </w:p>
    <w:p w:rsidR="00CC69AE" w:rsidRPr="009E30D1" w:rsidRDefault="0064479B"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INDESOL</w:t>
      </w:r>
      <w:r w:rsidR="0023409D" w:rsidRPr="009E30D1">
        <w:rPr>
          <w:rFonts w:ascii="Adobe Caslon Pro" w:hAnsi="Adobe Caslon Pro" w:cs="Arial"/>
          <w:b/>
          <w:color w:val="000000"/>
          <w:sz w:val="22"/>
          <w:szCs w:val="22"/>
          <w:lang w:val="es-ES"/>
        </w:rPr>
        <w:t>.-</w:t>
      </w:r>
      <w:r w:rsidR="00CC69AE" w:rsidRPr="009E30D1">
        <w:rPr>
          <w:rFonts w:ascii="Adobe Caslon Pro" w:hAnsi="Adobe Caslon Pro" w:cs="Arial"/>
          <w:color w:val="000000"/>
          <w:sz w:val="22"/>
          <w:szCs w:val="22"/>
          <w:lang w:val="es-ES"/>
        </w:rPr>
        <w:t xml:space="preserve"> Instituto Nacional de Desarrollo Social.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Índice de Fortalecimiento Institucional (IFI)</w:t>
      </w:r>
      <w:r w:rsidR="0023409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I</w:t>
      </w:r>
      <w:r w:rsidRPr="009E30D1">
        <w:rPr>
          <w:rFonts w:ascii="Adobe Caslon Pro" w:hAnsi="Adobe Caslon Pro" w:cs="Arial"/>
          <w:color w:val="000000"/>
          <w:sz w:val="22"/>
          <w:szCs w:val="22"/>
          <w:lang w:val="es-ES"/>
        </w:rPr>
        <w:t xml:space="preserve">nstrumento que permite monitorear y conocer el estado y avances en el cumplimiento de su Propósito desde una perspectiva cualitativa y cuantitativa. </w:t>
      </w:r>
    </w:p>
    <w:p w:rsidR="00DE29B6" w:rsidRPr="009E30D1" w:rsidRDefault="00DE29B6" w:rsidP="00B97889">
      <w:pPr>
        <w:pStyle w:val="Textocomentario"/>
        <w:jc w:val="both"/>
        <w:rPr>
          <w:rFonts w:ascii="Adobe Caslon Pro" w:hAnsi="Adobe Caslon Pro" w:cs="Arial"/>
          <w:color w:val="000000"/>
          <w:sz w:val="22"/>
          <w:szCs w:val="22"/>
          <w:lang w:val="es-ES"/>
        </w:rPr>
      </w:pPr>
      <w:r w:rsidRPr="009E30D1">
        <w:rPr>
          <w:rFonts w:ascii="Adobe Caslon Pro" w:hAnsi="Adobe Caslon Pro" w:cs="Arial"/>
          <w:b/>
          <w:color w:val="000000"/>
          <w:sz w:val="22"/>
          <w:szCs w:val="22"/>
          <w:lang w:val="es-ES"/>
        </w:rPr>
        <w:t>Interculturalidad.-</w:t>
      </w:r>
      <w:r w:rsidRPr="009E30D1">
        <w:rPr>
          <w:rFonts w:ascii="Adobe Caslon Pro" w:hAnsi="Adobe Caslon Pro" w:cs="Arial"/>
          <w:color w:val="000000"/>
          <w:sz w:val="22"/>
          <w:szCs w:val="22"/>
          <w:lang w:val="es-ES"/>
        </w:rPr>
        <w:t xml:space="preserve"> Proceso de intercambio y diálogo entre actores provenientes de culturas diferentes. El enfoque intercultural en las políticas públicas contribuye a mejorar los términos de este intercambio al facilitar que los esquemas e instrumentos de políticas sean más sensibles a la diversidad cultural y estén mejor adecuados a las necesidades diferenciadas de una ciudadanía plural en términos de raza, etnia y género.</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color w:val="000000"/>
          <w:sz w:val="22"/>
          <w:szCs w:val="22"/>
          <w:lang w:val="es-ES"/>
        </w:rPr>
        <w:t>Institucionalización</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P</w:t>
      </w:r>
      <w:r w:rsidRPr="009E30D1">
        <w:rPr>
          <w:rFonts w:ascii="Adobe Caslon Pro" w:hAnsi="Adobe Caslon Pro" w:cs="Arial"/>
          <w:color w:val="000000"/>
          <w:sz w:val="22"/>
          <w:szCs w:val="22"/>
          <w:lang w:val="es-ES"/>
        </w:rPr>
        <w:t xml:space="preserve">roceso que posibilita la apropiación de valores y principios de actuación en el quehacer, normatividad y cultura institucional de las IMEF, así como la consolidación y formalización de estrategias, enfoques, programas, modelos y acciones, en materia de prevención y atención de la violencia contra las mujeres.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Marginación</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E</w:t>
      </w:r>
      <w:r w:rsidRPr="009E30D1">
        <w:rPr>
          <w:rFonts w:ascii="Adobe Caslon Pro" w:hAnsi="Adobe Caslon Pro" w:cs="Arial"/>
          <w:color w:val="000000"/>
          <w:sz w:val="22"/>
          <w:szCs w:val="22"/>
          <w:lang w:val="es-ES"/>
        </w:rPr>
        <w:t xml:space="preserve">stado de exclusión en el que se encuentran algunos individuos, sectores y grupos de la población respecto al disfrute y beneficios que conlleva el desarrollo social y humano.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lastRenderedPageBreak/>
        <w:t>Matriz de Indicadores para Resultados (MIR)</w:t>
      </w:r>
      <w:r w:rsidR="0023409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H</w:t>
      </w:r>
      <w:r w:rsidRPr="009E30D1">
        <w:rPr>
          <w:rFonts w:ascii="Adobe Caslon Pro" w:hAnsi="Adobe Caslon Pro" w:cs="Arial"/>
          <w:color w:val="000000"/>
          <w:sz w:val="22"/>
          <w:szCs w:val="22"/>
          <w:lang w:val="es-ES"/>
        </w:rPr>
        <w:t xml:space="preserve">erramienta de planeación que en forma resumida, sencilla y armónica establece con claridad los objetivos de un programa, incorpora los indicadores que miden dichos objetivos y sus resultados esperados. También identifica los medios para obtener y verificar la información de los indicadores e incluye los riesgos y contingencias que pueden afectar el desempeño del programa.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color w:val="000000"/>
          <w:sz w:val="22"/>
          <w:szCs w:val="22"/>
          <w:lang w:val="es-ES"/>
        </w:rPr>
        <w:t>Metodología de Marco Lógico.-</w:t>
      </w:r>
      <w:r w:rsidRPr="009E30D1">
        <w:rPr>
          <w:rFonts w:ascii="Adobe Caslon Pro" w:hAnsi="Adobe Caslon Pro" w:cs="Arial"/>
          <w:color w:val="000000"/>
          <w:sz w:val="22"/>
          <w:szCs w:val="22"/>
          <w:lang w:val="es-ES"/>
        </w:rPr>
        <w:t xml:space="preserve"> Metodología mediante la cual se elabora una matriz que describe el fin, propósito, componentes y actividades de un programa público; así como los indicadores, metas, medios de verificación y supuestos correspondientes.</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Modalidades de Violencia</w:t>
      </w:r>
      <w:r w:rsidR="0023409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Las formas, manifestaciones o los ámbitos de ocurrencia en que se presenta l</w:t>
      </w:r>
      <w:r w:rsidR="00B97889" w:rsidRPr="009E30D1">
        <w:rPr>
          <w:rFonts w:ascii="Adobe Caslon Pro" w:hAnsi="Adobe Caslon Pro" w:cs="Arial"/>
          <w:color w:val="000000"/>
          <w:sz w:val="22"/>
          <w:szCs w:val="22"/>
          <w:lang w:val="es-ES"/>
        </w:rPr>
        <w:t>a violencia contra las mujeres.</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Modelo</w:t>
      </w:r>
      <w:r w:rsidR="0023409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w:t>
      </w:r>
      <w:r w:rsidR="0023409D" w:rsidRPr="009E30D1">
        <w:rPr>
          <w:rFonts w:ascii="Adobe Caslon Pro" w:hAnsi="Adobe Caslon Pro" w:cs="Arial"/>
          <w:color w:val="000000"/>
          <w:sz w:val="22"/>
          <w:szCs w:val="22"/>
          <w:lang w:val="es-ES"/>
        </w:rPr>
        <w:t>R</w:t>
      </w:r>
      <w:r w:rsidRPr="009E30D1">
        <w:rPr>
          <w:rFonts w:ascii="Adobe Caslon Pro" w:hAnsi="Adobe Caslon Pro" w:cs="Arial"/>
          <w:color w:val="000000"/>
          <w:sz w:val="22"/>
          <w:szCs w:val="22"/>
          <w:lang w:val="es-ES"/>
        </w:rPr>
        <w:t>epresentación abstracta, conceptual, gráfica o visual de fenómenos, sistemas o procesos interconectados, su propósito es establecer relaciones conceptuales que permitan analizar, describir, explicar, simular, explorar (y a veces controlar y predecir) los elementos que conforman un fenómeno o proceso en estudio.</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Mujeres en situación de vulnerabilidad</w:t>
      </w:r>
      <w:r w:rsidR="0023409D" w:rsidRPr="009E30D1">
        <w:rPr>
          <w:rFonts w:ascii="Adobe Caslon Pro" w:hAnsi="Adobe Caslon Pro" w:cs="Arial"/>
          <w:b/>
          <w:color w:val="000000"/>
          <w:sz w:val="22"/>
          <w:szCs w:val="22"/>
          <w:lang w:val="es-ES"/>
        </w:rPr>
        <w:t>.-</w:t>
      </w:r>
      <w:r w:rsidR="0023409D" w:rsidRPr="009E30D1">
        <w:rPr>
          <w:rFonts w:ascii="Adobe Caslon Pro" w:hAnsi="Adobe Caslon Pro" w:cs="Arial"/>
          <w:color w:val="000000"/>
          <w:sz w:val="22"/>
          <w:szCs w:val="22"/>
          <w:lang w:val="es-ES"/>
        </w:rPr>
        <w:t xml:space="preserve"> A</w:t>
      </w:r>
      <w:r w:rsidRPr="009E30D1">
        <w:rPr>
          <w:rFonts w:ascii="Adobe Caslon Pro" w:hAnsi="Adobe Caslon Pro" w:cs="Arial"/>
          <w:color w:val="000000"/>
          <w:sz w:val="22"/>
          <w:szCs w:val="22"/>
          <w:lang w:val="es-ES"/>
        </w:rPr>
        <w:t xml:space="preserve">quellas que por su situación económica, social y familiar, carecen de elementos para integrarse al desarrollo y tienen más posibilidades de sufrir doble discriminación, maltrato y violencia de género.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OSC</w:t>
      </w:r>
      <w:r w:rsidR="0023409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Organizaciones de la Sociedad Civil</w:t>
      </w:r>
      <w:r w:rsidR="0023409D" w:rsidRPr="009E30D1">
        <w:rPr>
          <w:rFonts w:ascii="Adobe Caslon Pro" w:hAnsi="Adobe Caslon Pro" w:cs="Arial"/>
          <w:color w:val="000000"/>
          <w:sz w:val="22"/>
          <w:szCs w:val="22"/>
          <w:lang w:val="es-ES"/>
        </w:rPr>
        <w:t>.</w:t>
      </w:r>
      <w:r w:rsidRPr="009E30D1">
        <w:rPr>
          <w:rFonts w:ascii="Adobe Caslon Pro" w:hAnsi="Adobe Caslon Pro" w:cs="Arial"/>
          <w:color w:val="000000"/>
          <w:sz w:val="22"/>
          <w:szCs w:val="22"/>
          <w:lang w:val="es-ES"/>
        </w:rPr>
        <w:t xml:space="preserve">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Perspectiva de Género</w:t>
      </w:r>
      <w:r w:rsidR="0073352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w:t>
      </w:r>
      <w:r w:rsidR="0073352D" w:rsidRPr="009E30D1">
        <w:rPr>
          <w:rFonts w:ascii="Adobe Caslon Pro" w:hAnsi="Adobe Caslon Pro" w:cs="Arial"/>
          <w:color w:val="000000"/>
          <w:sz w:val="22"/>
          <w:szCs w:val="22"/>
          <w:lang w:val="es-ES"/>
        </w:rPr>
        <w:t>V</w:t>
      </w:r>
      <w:r w:rsidRPr="009E30D1">
        <w:rPr>
          <w:rFonts w:ascii="Adobe Caslon Pro" w:hAnsi="Adobe Caslon Pro" w:cs="Arial"/>
          <w:color w:val="000000"/>
          <w:sz w:val="22"/>
          <w:szCs w:val="22"/>
          <w:lang w:val="es-ES"/>
        </w:rPr>
        <w:t xml:space="preserve">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decisiones;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Pobreza</w:t>
      </w:r>
      <w:r w:rsidR="0073352D" w:rsidRPr="009E30D1">
        <w:rPr>
          <w:rFonts w:ascii="Adobe Caslon Pro" w:hAnsi="Adobe Caslon Pro" w:cs="Arial"/>
          <w:b/>
          <w:color w:val="000000"/>
          <w:sz w:val="22"/>
          <w:szCs w:val="22"/>
          <w:lang w:val="es-ES"/>
        </w:rPr>
        <w:t>.-</w:t>
      </w:r>
      <w:r w:rsidR="00B97889" w:rsidRPr="009E30D1">
        <w:rPr>
          <w:rFonts w:ascii="Adobe Caslon Pro" w:hAnsi="Adobe Caslon Pro" w:cs="Arial"/>
          <w:color w:val="000000"/>
          <w:sz w:val="22"/>
          <w:szCs w:val="22"/>
          <w:lang w:val="es-ES"/>
        </w:rPr>
        <w:t xml:space="preserve"> D</w:t>
      </w:r>
      <w:r w:rsidRPr="009E30D1">
        <w:rPr>
          <w:rFonts w:ascii="Adobe Caslon Pro" w:hAnsi="Adobe Caslon Pro" w:cs="Arial"/>
          <w:color w:val="000000"/>
          <w:sz w:val="22"/>
          <w:szCs w:val="22"/>
          <w:lang w:val="es-ES"/>
        </w:rPr>
        <w:t xml:space="preserve">e acuerdo con los criterios establecidos por el </w:t>
      </w:r>
      <w:proofErr w:type="spellStart"/>
      <w:r w:rsidRPr="009E30D1">
        <w:rPr>
          <w:rFonts w:ascii="Adobe Caslon Pro" w:hAnsi="Adobe Caslon Pro" w:cs="Arial"/>
          <w:color w:val="000000"/>
          <w:sz w:val="22"/>
          <w:szCs w:val="22"/>
          <w:lang w:val="es-ES"/>
        </w:rPr>
        <w:t>Coneval</w:t>
      </w:r>
      <w:proofErr w:type="spellEnd"/>
      <w:r w:rsidRPr="009E30D1">
        <w:rPr>
          <w:rFonts w:ascii="Adobe Caslon Pro" w:hAnsi="Adobe Caslon Pro" w:cs="Arial"/>
          <w:color w:val="000000"/>
          <w:sz w:val="22"/>
          <w:szCs w:val="22"/>
          <w:lang w:val="es-ES"/>
        </w:rPr>
        <w:t xml:space="preserve">, se considera que una persona está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 y acceso a la alimentación.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Programa</w:t>
      </w:r>
      <w:r w:rsidR="0073352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Programa de Apoyo a las Instancias de Mujeres en las Entidades Federativas, para Implementar y Ejecutar Programas de Prevención de la Violencia Contra las Mujeres (PAIMEF).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color w:val="000000"/>
          <w:sz w:val="22"/>
          <w:szCs w:val="22"/>
          <w:lang w:val="es-ES"/>
        </w:rPr>
        <w:lastRenderedPageBreak/>
        <w:t>Propuesta de atención.-</w:t>
      </w:r>
      <w:r w:rsidR="009051CC" w:rsidRPr="009E30D1">
        <w:rPr>
          <w:rFonts w:ascii="Adobe Caslon Pro" w:hAnsi="Adobe Caslon Pro" w:cs="Arial"/>
          <w:color w:val="000000"/>
          <w:sz w:val="22"/>
          <w:szCs w:val="22"/>
          <w:lang w:val="es-ES"/>
        </w:rPr>
        <w:t xml:space="preserve"> </w:t>
      </w:r>
      <w:r w:rsidRPr="009E30D1">
        <w:rPr>
          <w:rFonts w:ascii="Adobe Caslon Pro" w:hAnsi="Adobe Caslon Pro" w:cs="Arial"/>
          <w:color w:val="000000"/>
          <w:sz w:val="22"/>
          <w:szCs w:val="22"/>
          <w:lang w:val="es-ES"/>
        </w:rPr>
        <w:t>Documento que, partiendo de los resultados de un diagnóstico, identifica y propone una alternativa viable para la atención de problemas públicos, a través de programas públicos.</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Reglas</w:t>
      </w:r>
      <w:r w:rsidR="0073352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Reglas de Operación del PAIMEF para </w:t>
      </w:r>
      <w:r w:rsidR="00B97889" w:rsidRPr="009E30D1">
        <w:rPr>
          <w:rFonts w:ascii="Adobe Caslon Pro" w:hAnsi="Adobe Caslon Pro" w:cs="Arial"/>
          <w:color w:val="000000"/>
          <w:sz w:val="22"/>
          <w:szCs w:val="22"/>
          <w:lang w:val="es-ES"/>
        </w:rPr>
        <w:t>ejercicios fiscales de diversos años</w:t>
      </w:r>
      <w:r w:rsidRPr="009E30D1">
        <w:rPr>
          <w:rFonts w:ascii="Adobe Caslon Pro" w:hAnsi="Adobe Caslon Pro" w:cs="Arial"/>
          <w:color w:val="000000"/>
          <w:sz w:val="22"/>
          <w:szCs w:val="22"/>
          <w:lang w:val="es-ES"/>
        </w:rPr>
        <w:t xml:space="preserve">. </w:t>
      </w:r>
    </w:p>
    <w:p w:rsidR="00CC69AE" w:rsidRPr="009E30D1" w:rsidRDefault="0064479B"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SEDESOL</w:t>
      </w:r>
      <w:r w:rsidR="0073352D" w:rsidRPr="009E30D1">
        <w:rPr>
          <w:rFonts w:ascii="Adobe Caslon Pro" w:hAnsi="Adobe Caslon Pro" w:cs="Arial"/>
          <w:b/>
          <w:color w:val="000000"/>
          <w:sz w:val="22"/>
          <w:szCs w:val="22"/>
          <w:lang w:val="es-ES"/>
        </w:rPr>
        <w:t>.-</w:t>
      </w:r>
      <w:r w:rsidR="00CC69AE" w:rsidRPr="009E30D1">
        <w:rPr>
          <w:rFonts w:ascii="Adobe Caslon Pro" w:hAnsi="Adobe Caslon Pro" w:cs="Arial"/>
          <w:color w:val="000000"/>
          <w:sz w:val="22"/>
          <w:szCs w:val="22"/>
          <w:lang w:val="es-ES"/>
        </w:rPr>
        <w:t xml:space="preserve"> Secretaría de Desarrollo Social. </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Transversalidad</w:t>
      </w:r>
      <w:r w:rsidR="0073352D" w:rsidRPr="009E30D1">
        <w:rPr>
          <w:rFonts w:ascii="Adobe Caslon Pro" w:hAnsi="Adobe Caslon Pro" w:cs="Arial"/>
          <w:b/>
          <w:color w:val="000000"/>
          <w:sz w:val="22"/>
          <w:szCs w:val="22"/>
          <w:lang w:val="es-ES"/>
        </w:rPr>
        <w:t>.-</w:t>
      </w:r>
      <w:r w:rsidR="0073352D" w:rsidRPr="009E30D1">
        <w:rPr>
          <w:rFonts w:ascii="Adobe Caslon Pro" w:hAnsi="Adobe Caslon Pro" w:cs="Arial"/>
          <w:color w:val="000000"/>
          <w:sz w:val="22"/>
          <w:szCs w:val="22"/>
          <w:lang w:val="es-ES"/>
        </w:rPr>
        <w:t xml:space="preserve"> P</w:t>
      </w:r>
      <w:r w:rsidRPr="009E30D1">
        <w:rPr>
          <w:rFonts w:ascii="Adobe Caslon Pro" w:hAnsi="Adobe Caslon Pro" w:cs="Arial"/>
          <w:color w:val="000000"/>
          <w:sz w:val="22"/>
          <w:szCs w:val="22"/>
          <w:lang w:val="es-ES"/>
        </w:rPr>
        <w:t>roceso que permite garantizar la incorporación de la perspectiva de género con el objetivo de valorar las implicaciones que tiene para las mujeres y los hombres cualquier acción que se programe, tratándose de legislación, políticas públicas, actividades administrativas, económicas y culturales en las instituciones públicas y privadas.</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contra las mujeres</w:t>
      </w:r>
      <w:r w:rsidR="0073352D" w:rsidRPr="009E30D1">
        <w:rPr>
          <w:rFonts w:ascii="Adobe Caslon Pro" w:hAnsi="Adobe Caslon Pro" w:cs="Arial"/>
          <w:b/>
          <w:color w:val="000000"/>
          <w:sz w:val="22"/>
          <w:szCs w:val="22"/>
          <w:lang w:val="es-ES"/>
        </w:rPr>
        <w:t>.-</w:t>
      </w:r>
      <w:r w:rsidR="0073352D" w:rsidRPr="009E30D1">
        <w:rPr>
          <w:rFonts w:ascii="Adobe Caslon Pro" w:hAnsi="Adobe Caslon Pro" w:cs="Arial"/>
          <w:color w:val="000000"/>
          <w:sz w:val="22"/>
          <w:szCs w:val="22"/>
          <w:lang w:val="es-ES"/>
        </w:rPr>
        <w:t xml:space="preserve"> C</w:t>
      </w:r>
      <w:r w:rsidRPr="009E30D1">
        <w:rPr>
          <w:rFonts w:ascii="Adobe Caslon Pro" w:hAnsi="Adobe Caslon Pro" w:cs="Arial"/>
          <w:color w:val="000000"/>
          <w:sz w:val="22"/>
          <w:szCs w:val="22"/>
          <w:lang w:val="es-ES"/>
        </w:rPr>
        <w:t>ualquier acción u omisión, basada en su género, que les cause daño o sufrimiento psicológico, físico, patrimonial, económico, sexual o la muerte tanto en el ámbito privado como en el público.</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económica</w:t>
      </w:r>
      <w:r w:rsidR="0073352D" w:rsidRPr="009E30D1">
        <w:rPr>
          <w:rFonts w:ascii="Adobe Caslon Pro" w:hAnsi="Adobe Caslon Pro" w:cs="Arial"/>
          <w:b/>
          <w:color w:val="000000"/>
          <w:sz w:val="22"/>
          <w:szCs w:val="22"/>
          <w:lang w:val="es-ES"/>
        </w:rPr>
        <w:t>.-</w:t>
      </w:r>
      <w:r w:rsidR="0073352D" w:rsidRPr="009E30D1">
        <w:rPr>
          <w:rFonts w:ascii="Adobe Caslon Pro" w:hAnsi="Adobe Caslon Pro" w:cs="Arial"/>
          <w:color w:val="000000"/>
          <w:sz w:val="22"/>
          <w:szCs w:val="22"/>
          <w:lang w:val="es-ES"/>
        </w:rPr>
        <w:t xml:space="preserve"> T</w:t>
      </w:r>
      <w:r w:rsidRPr="009E30D1">
        <w:rPr>
          <w:rFonts w:ascii="Adobe Caslon Pro" w:hAnsi="Adobe Caslon Pro" w:cs="Arial"/>
          <w:color w:val="000000"/>
          <w:sz w:val="22"/>
          <w:szCs w:val="22"/>
          <w:lang w:val="es-ES"/>
        </w:rPr>
        <w: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en la comunidad</w:t>
      </w:r>
      <w:r w:rsidR="0073352D" w:rsidRPr="009E30D1">
        <w:rPr>
          <w:rFonts w:ascii="Adobe Caslon Pro" w:hAnsi="Adobe Caslon Pro" w:cs="Arial"/>
          <w:b/>
          <w:color w:val="000000"/>
          <w:sz w:val="22"/>
          <w:szCs w:val="22"/>
          <w:lang w:val="es-ES"/>
        </w:rPr>
        <w:t>.-</w:t>
      </w:r>
      <w:r w:rsidRPr="009E30D1">
        <w:rPr>
          <w:rFonts w:ascii="Adobe Caslon Pro" w:hAnsi="Adobe Caslon Pro" w:cs="Arial"/>
          <w:color w:val="000000"/>
          <w:sz w:val="22"/>
          <w:szCs w:val="22"/>
          <w:lang w:val="es-ES"/>
        </w:rPr>
        <w:t xml:space="preserve"> </w:t>
      </w:r>
      <w:r w:rsidR="0073352D" w:rsidRPr="009E30D1">
        <w:rPr>
          <w:rFonts w:ascii="Adobe Caslon Pro" w:hAnsi="Adobe Caslon Pro" w:cs="Arial"/>
          <w:color w:val="000000"/>
          <w:sz w:val="22"/>
          <w:szCs w:val="22"/>
          <w:lang w:val="es-ES"/>
        </w:rPr>
        <w:t>A</w:t>
      </w:r>
      <w:r w:rsidRPr="009E30D1">
        <w:rPr>
          <w:rFonts w:ascii="Adobe Caslon Pro" w:hAnsi="Adobe Caslon Pro" w:cs="Arial"/>
          <w:color w:val="000000"/>
          <w:sz w:val="22"/>
          <w:szCs w:val="22"/>
          <w:lang w:val="es-ES"/>
        </w:rPr>
        <w:t>ctos individuales o colectivos que transgreden derechos fundamentales de las mujeres y propician su denigración, discriminación, marginación o exclusión en el ámbito público.</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familiar</w:t>
      </w:r>
      <w:r w:rsidR="0073352D" w:rsidRPr="009E30D1">
        <w:rPr>
          <w:rFonts w:ascii="Adobe Caslon Pro" w:hAnsi="Adobe Caslon Pro" w:cs="Arial"/>
          <w:b/>
          <w:color w:val="000000"/>
          <w:sz w:val="22"/>
          <w:szCs w:val="22"/>
          <w:lang w:val="es-ES"/>
        </w:rPr>
        <w:t>.-</w:t>
      </w:r>
      <w:r w:rsidR="0073352D" w:rsidRPr="009E30D1">
        <w:rPr>
          <w:rFonts w:ascii="Adobe Caslon Pro" w:hAnsi="Adobe Caslon Pro" w:cs="Arial"/>
          <w:color w:val="000000"/>
          <w:sz w:val="22"/>
          <w:szCs w:val="22"/>
          <w:lang w:val="es-ES"/>
        </w:rPr>
        <w:t xml:space="preserve"> A</w:t>
      </w:r>
      <w:r w:rsidRPr="009E30D1">
        <w:rPr>
          <w:rFonts w:ascii="Adobe Caslon Pro" w:hAnsi="Adobe Caslon Pro" w:cs="Arial"/>
          <w:color w:val="000000"/>
          <w:sz w:val="22"/>
          <w:szCs w:val="22"/>
          <w:lang w:val="es-ES"/>
        </w:rPr>
        <w:t>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 xml:space="preserve">Violencia </w:t>
      </w:r>
      <w:proofErr w:type="spellStart"/>
      <w:r w:rsidRPr="009E30D1">
        <w:rPr>
          <w:rFonts w:ascii="Adobe Caslon Pro" w:hAnsi="Adobe Caslon Pro" w:cs="Arial"/>
          <w:b/>
          <w:bCs/>
          <w:color w:val="000000"/>
          <w:sz w:val="22"/>
          <w:szCs w:val="22"/>
          <w:lang w:val="es-ES"/>
        </w:rPr>
        <w:t>feminicida</w:t>
      </w:r>
      <w:proofErr w:type="spellEnd"/>
      <w:r w:rsidR="0073352D" w:rsidRPr="009E30D1">
        <w:rPr>
          <w:rFonts w:ascii="Adobe Caslon Pro" w:hAnsi="Adobe Caslon Pro" w:cs="Arial"/>
          <w:b/>
          <w:color w:val="000000"/>
          <w:sz w:val="22"/>
          <w:szCs w:val="22"/>
          <w:lang w:val="es-ES"/>
        </w:rPr>
        <w:t>.-</w:t>
      </w:r>
      <w:r w:rsidR="0073352D" w:rsidRPr="009E30D1">
        <w:rPr>
          <w:rFonts w:ascii="Adobe Caslon Pro" w:hAnsi="Adobe Caslon Pro" w:cs="Arial"/>
          <w:color w:val="000000"/>
          <w:sz w:val="22"/>
          <w:szCs w:val="22"/>
          <w:lang w:val="es-ES"/>
        </w:rPr>
        <w:t xml:space="preserve"> F</w:t>
      </w:r>
      <w:r w:rsidRPr="009E30D1">
        <w:rPr>
          <w:rFonts w:ascii="Adobe Caslon Pro" w:hAnsi="Adobe Caslon Pro" w:cs="Arial"/>
          <w:color w:val="000000"/>
          <w:sz w:val="22"/>
          <w:szCs w:val="22"/>
          <w:lang w:val="es-ES"/>
        </w:rPr>
        <w:t>orma extrema de violencia de género contra las mujeres, producto de la violación de sus derechos humanos, en los ámbitos público y privado, conformada por el conjunto de conductas misóginas que pueden conllevar impunidad social y del Estado y puede culminar en homicidio.</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física</w:t>
      </w:r>
      <w:r w:rsidR="0073352D" w:rsidRPr="009E30D1">
        <w:rPr>
          <w:rFonts w:ascii="Adobe Caslon Pro" w:hAnsi="Adobe Caslon Pro" w:cs="Arial"/>
          <w:b/>
          <w:color w:val="000000"/>
          <w:sz w:val="22"/>
          <w:szCs w:val="22"/>
          <w:lang w:val="es-ES"/>
        </w:rPr>
        <w:t>.-</w:t>
      </w:r>
      <w:r w:rsidR="0073352D" w:rsidRPr="009E30D1">
        <w:rPr>
          <w:rFonts w:ascii="Adobe Caslon Pro" w:hAnsi="Adobe Caslon Pro" w:cs="Arial"/>
          <w:color w:val="000000"/>
          <w:sz w:val="22"/>
          <w:szCs w:val="22"/>
          <w:lang w:val="es-ES"/>
        </w:rPr>
        <w:t xml:space="preserve"> C</w:t>
      </w:r>
      <w:r w:rsidRPr="009E30D1">
        <w:rPr>
          <w:rFonts w:ascii="Adobe Caslon Pro" w:hAnsi="Adobe Caslon Pro" w:cs="Arial"/>
          <w:color w:val="000000"/>
          <w:sz w:val="22"/>
          <w:szCs w:val="22"/>
          <w:lang w:val="es-ES"/>
        </w:rPr>
        <w:t>ualquier acto que inflige daño no accidental, usando la fuerza física o algún tipo de arma u objeto que pueda provocar o no lesiones ya sean internas, externas, o ambas.</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institucional</w:t>
      </w:r>
      <w:r w:rsidR="004C63DD" w:rsidRPr="009E30D1">
        <w:rPr>
          <w:rFonts w:ascii="Adobe Caslon Pro" w:hAnsi="Adobe Caslon Pro" w:cs="Arial"/>
          <w:b/>
          <w:bCs/>
          <w:color w:val="000000"/>
          <w:sz w:val="22"/>
          <w:szCs w:val="22"/>
          <w:lang w:val="es-ES"/>
        </w:rPr>
        <w:t>.-</w:t>
      </w:r>
      <w:r w:rsidR="00C73D3C" w:rsidRPr="009E30D1">
        <w:rPr>
          <w:rFonts w:ascii="Adobe Caslon Pro" w:hAnsi="Adobe Caslon Pro" w:cs="Arial"/>
          <w:color w:val="000000"/>
          <w:sz w:val="22"/>
          <w:szCs w:val="22"/>
          <w:lang w:val="es-ES"/>
        </w:rPr>
        <w:t xml:space="preserve"> A</w:t>
      </w:r>
      <w:r w:rsidRPr="009E30D1">
        <w:rPr>
          <w:rFonts w:ascii="Adobe Caslon Pro" w:hAnsi="Adobe Caslon Pro" w:cs="Arial"/>
          <w:color w:val="000000"/>
          <w:sz w:val="22"/>
          <w:szCs w:val="22"/>
          <w:lang w:val="es-ES"/>
        </w:rPr>
        <w:t xml:space="preserve">ctos u omisiones de las y los servidores públicos de cualquier orden de gobierno que discriminen o tengan como fin dilatar, obstaculizar o impedir el goce y ejercicio de los </w:t>
      </w:r>
      <w:r w:rsidRPr="009E30D1">
        <w:rPr>
          <w:rFonts w:ascii="Adobe Caslon Pro" w:hAnsi="Adobe Caslon Pro" w:cs="Arial"/>
          <w:color w:val="000000"/>
          <w:sz w:val="22"/>
          <w:szCs w:val="22"/>
          <w:lang w:val="es-ES"/>
        </w:rPr>
        <w:lastRenderedPageBreak/>
        <w:t>derechos humanos de las mujeres así como su acceso al disfrute de políticas públicas destinadas a prevenir, atender, investigar, sancionar y erradicar los diferentes tipos de violencia.</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Laboral y Docente</w:t>
      </w:r>
      <w:r w:rsidR="004C63DD" w:rsidRPr="009E30D1">
        <w:rPr>
          <w:rFonts w:ascii="Adobe Caslon Pro" w:hAnsi="Adobe Caslon Pro" w:cs="Arial"/>
          <w:color w:val="000000"/>
          <w:sz w:val="22"/>
          <w:szCs w:val="22"/>
          <w:lang w:val="es-ES"/>
        </w:rPr>
        <w:t>.-</w:t>
      </w:r>
      <w:r w:rsidR="00C73D3C" w:rsidRPr="009E30D1">
        <w:rPr>
          <w:rFonts w:ascii="Adobe Caslon Pro" w:hAnsi="Adobe Caslon Pro" w:cs="Arial"/>
          <w:color w:val="000000"/>
          <w:sz w:val="22"/>
          <w:szCs w:val="22"/>
          <w:lang w:val="es-ES"/>
        </w:rPr>
        <w:t xml:space="preserve"> Ejercida</w:t>
      </w:r>
      <w:r w:rsidRPr="009E30D1">
        <w:rPr>
          <w:rFonts w:ascii="Adobe Caslon Pro" w:hAnsi="Adobe Caslon Pro" w:cs="Arial"/>
          <w:color w:val="000000"/>
          <w:sz w:val="22"/>
          <w:szCs w:val="22"/>
          <w:lang w:val="es-ES"/>
        </w:rPr>
        <w:t xml:space="preserve"> por las personas que tienen un vínculo laboral, docente o análogo con la víctima, independientemente de la relación jerárquica, consistente en un acto o una omisión en abuso de poder que daña la autoestima, salud, integridad, libertad y seguridad de la víctima, e impide su desarrollo y atenta contra la igualdad. Puede consistir en un solo evento dañino o en una serie de eventos cuya suma produce el daño. También incluye el acoso o el hostigamiento sexual.</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patrimonial</w:t>
      </w:r>
      <w:r w:rsidR="00C73D3C" w:rsidRPr="009E30D1">
        <w:rPr>
          <w:rFonts w:ascii="Adobe Caslon Pro" w:hAnsi="Adobe Caslon Pro" w:cs="Arial"/>
          <w:color w:val="000000"/>
          <w:sz w:val="22"/>
          <w:szCs w:val="22"/>
          <w:lang w:val="es-ES"/>
        </w:rPr>
        <w:t>.- C</w:t>
      </w:r>
      <w:r w:rsidRPr="009E30D1">
        <w:rPr>
          <w:rFonts w:ascii="Adobe Caslon Pro" w:hAnsi="Adobe Caslon Pro" w:cs="Arial"/>
          <w:color w:val="000000"/>
          <w:sz w:val="22"/>
          <w:szCs w:val="22"/>
          <w:lang w:val="es-ES"/>
        </w:rPr>
        <w:t>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psicológica</w:t>
      </w:r>
      <w:r w:rsidR="00C73D3C" w:rsidRPr="009E30D1">
        <w:rPr>
          <w:rFonts w:ascii="Adobe Caslon Pro" w:hAnsi="Adobe Caslon Pro" w:cs="Arial"/>
          <w:color w:val="000000"/>
          <w:sz w:val="22"/>
          <w:szCs w:val="22"/>
          <w:lang w:val="es-ES"/>
        </w:rPr>
        <w:t>.- C</w:t>
      </w:r>
      <w:r w:rsidRPr="009E30D1">
        <w:rPr>
          <w:rFonts w:ascii="Adobe Caslon Pro" w:hAnsi="Adobe Caslon Pro" w:cs="Arial"/>
          <w:color w:val="000000"/>
          <w:sz w:val="22"/>
          <w:szCs w:val="22"/>
          <w:lang w:val="es-ES"/>
        </w:rPr>
        <w:t>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w:t>
      </w:r>
    </w:p>
    <w:p w:rsidR="00CC69AE" w:rsidRPr="009E30D1" w:rsidRDefault="00CC69AE" w:rsidP="00B85C0B">
      <w:pPr>
        <w:pStyle w:val="ecxmsonormal"/>
        <w:spacing w:after="120"/>
        <w:jc w:val="both"/>
        <w:rPr>
          <w:rFonts w:ascii="Adobe Caslon Pro" w:hAnsi="Adobe Caslon Pro" w:cs="Arial"/>
          <w:color w:val="000000"/>
          <w:sz w:val="22"/>
          <w:szCs w:val="22"/>
          <w:lang w:val="es-ES"/>
        </w:rPr>
      </w:pPr>
      <w:r w:rsidRPr="009E30D1">
        <w:rPr>
          <w:rFonts w:ascii="Adobe Caslon Pro" w:hAnsi="Adobe Caslon Pro" w:cs="Arial"/>
          <w:b/>
          <w:bCs/>
          <w:color w:val="000000"/>
          <w:sz w:val="22"/>
          <w:szCs w:val="22"/>
          <w:lang w:val="es-ES"/>
        </w:rPr>
        <w:t>Violencia sexual</w:t>
      </w:r>
      <w:r w:rsidR="00C73D3C" w:rsidRPr="009E30D1">
        <w:rPr>
          <w:rFonts w:ascii="Adobe Caslon Pro" w:hAnsi="Adobe Caslon Pro" w:cs="Arial"/>
          <w:color w:val="000000"/>
          <w:sz w:val="22"/>
          <w:szCs w:val="22"/>
          <w:lang w:val="es-ES"/>
        </w:rPr>
        <w:t>.- C</w:t>
      </w:r>
      <w:r w:rsidRPr="009E30D1">
        <w:rPr>
          <w:rFonts w:ascii="Adobe Caslon Pro" w:hAnsi="Adobe Caslon Pro" w:cs="Arial"/>
          <w:color w:val="000000"/>
          <w:sz w:val="22"/>
          <w:szCs w:val="22"/>
          <w:lang w:val="es-ES"/>
        </w:rPr>
        <w:t>ualquier acto que degrada o daña el cuerpo y/o la sexualidad de la Víctima y que por tanto atenta contra su libertad, dignidad e integridad física. Es una expresión de abuso de poder que implica la supremacía masculina sobre la mujer, al denigrarla y concebirla como objeto.</w:t>
      </w:r>
    </w:p>
    <w:p w:rsidR="002E6610" w:rsidRPr="009E30D1" w:rsidRDefault="002E6610" w:rsidP="00B85C0B">
      <w:pPr>
        <w:spacing w:after="120" w:line="240" w:lineRule="auto"/>
        <w:rPr>
          <w:rFonts w:ascii="Adobe Caslon Pro" w:hAnsi="Adobe Caslon Pro"/>
        </w:rPr>
      </w:pPr>
      <w:r w:rsidRPr="009E30D1">
        <w:rPr>
          <w:rFonts w:ascii="Adobe Caslon Pro" w:hAnsi="Adobe Caslon Pro"/>
        </w:rPr>
        <w:br w:type="page"/>
      </w:r>
    </w:p>
    <w:p w:rsidR="002E6610" w:rsidRPr="009E30D1" w:rsidRDefault="00664A26" w:rsidP="00B85C0B">
      <w:pPr>
        <w:pStyle w:val="Ttulo2"/>
        <w:spacing w:before="0" w:after="120"/>
      </w:pPr>
      <w:bookmarkStart w:id="3" w:name="_Toc391883367"/>
      <w:r w:rsidRPr="009E30D1">
        <w:lastRenderedPageBreak/>
        <w:t>Presentación</w:t>
      </w:r>
      <w:bookmarkEnd w:id="3"/>
    </w:p>
    <w:p w:rsidR="009B24D3" w:rsidRPr="009E30D1" w:rsidRDefault="009B24D3" w:rsidP="00B85C0B">
      <w:pPr>
        <w:spacing w:after="120" w:line="240" w:lineRule="auto"/>
        <w:jc w:val="both"/>
        <w:rPr>
          <w:rFonts w:ascii="Adobe Caslon Pro" w:hAnsi="Adobe Caslon Pro" w:cs="Arial"/>
          <w:bCs/>
        </w:rPr>
      </w:pPr>
      <w:r w:rsidRPr="009E30D1">
        <w:rPr>
          <w:rFonts w:ascii="Adobe Caslon Pro" w:hAnsi="Adobe Caslon Pro" w:cs="Arial"/>
          <w:bCs/>
        </w:rPr>
        <w:t>Desde que se inició la elaboración de los diagnósticos y propuestas de atención de los programas sociales a cargo de la SEDESOL, o de alguno de sus organismos sectorizados, se planteó la necesidad de que la creación o la modificación sustantiva de un programa público debe estar sólidamente fundamentada en la identificación, caracterización y cuantificación del problema que éste busca resolver, para lo que se debe procurar utilizar fuentes de información oficial, tales como las que las dependencias y organismos del ejecutivo federal pone</w:t>
      </w:r>
      <w:r w:rsidR="00E96BD7" w:rsidRPr="009E30D1">
        <w:rPr>
          <w:rFonts w:ascii="Adobe Caslon Pro" w:hAnsi="Adobe Caslon Pro" w:cs="Arial"/>
          <w:bCs/>
        </w:rPr>
        <w:t>n</w:t>
      </w:r>
      <w:r w:rsidRPr="009E30D1">
        <w:rPr>
          <w:rFonts w:ascii="Adobe Caslon Pro" w:hAnsi="Adobe Caslon Pro" w:cs="Arial"/>
          <w:bCs/>
        </w:rPr>
        <w:t xml:space="preserve"> regularmente a disposición del público. </w:t>
      </w:r>
    </w:p>
    <w:p w:rsidR="009B24D3" w:rsidRPr="009E30D1" w:rsidRDefault="009B24D3" w:rsidP="00B85C0B">
      <w:pPr>
        <w:spacing w:after="120" w:line="240" w:lineRule="auto"/>
        <w:jc w:val="both"/>
        <w:rPr>
          <w:rFonts w:ascii="Adobe Caslon Pro" w:hAnsi="Adobe Caslon Pro" w:cs="Arial"/>
          <w:bCs/>
          <w:i/>
        </w:rPr>
      </w:pPr>
      <w:r w:rsidRPr="009E30D1">
        <w:rPr>
          <w:rFonts w:ascii="Adobe Caslon Pro" w:hAnsi="Adobe Caslon Pro" w:cs="Arial"/>
          <w:bCs/>
        </w:rPr>
        <w:t xml:space="preserve">De tal forma, el presente documento ofrece, por una parte, el diagnóstico que identifica el problema público que busca resolver el PAIMEF y, por otra, la propuesta de atención del programa, con base en los </w:t>
      </w:r>
      <w:r w:rsidRPr="009E30D1">
        <w:rPr>
          <w:rFonts w:ascii="Adobe Caslon Pro" w:hAnsi="Adobe Caslon Pro" w:cs="Arial"/>
          <w:bCs/>
          <w:i/>
        </w:rPr>
        <w:t>Lineamientos Generales para la Elaboración de Diagnósticos, de cuyos resultados se obtienen Propuestas de Atención de Programas de Desarrollo Social</w:t>
      </w:r>
      <w:r w:rsidRPr="009E30D1">
        <w:rPr>
          <w:rFonts w:ascii="Adobe Caslon Pro" w:hAnsi="Adobe Caslon Pro" w:cs="Arial"/>
          <w:bCs/>
        </w:rPr>
        <w:t>, publicados en el DOF el 7 de mayo de 2009,</w:t>
      </w:r>
      <w:r w:rsidRPr="009E30D1">
        <w:rPr>
          <w:rStyle w:val="Refdenotaalpie"/>
          <w:rFonts w:ascii="Adobe Caslon Pro" w:hAnsi="Adobe Caslon Pro" w:cs="Arial"/>
          <w:bCs/>
        </w:rPr>
        <w:footnoteReference w:id="1"/>
      </w:r>
      <w:r w:rsidRPr="009E30D1">
        <w:rPr>
          <w:rFonts w:ascii="Adobe Caslon Pro" w:hAnsi="Adobe Caslon Pro" w:cs="Arial"/>
          <w:bCs/>
        </w:rPr>
        <w:t xml:space="preserve"> en los que se establecen los elementos mínimos que se deben observar en la elaboración de los diagnósticos y las propuestas de atención de los programas sociales a cargo de la SEDESOL y de sus organismos sectorizados. Asimismo, el documento se apega a lo dispuesto por el CONEVAL en la guía denominada </w:t>
      </w:r>
      <w:r w:rsidRPr="009E30D1">
        <w:rPr>
          <w:rFonts w:ascii="Adobe Caslon Pro" w:hAnsi="Adobe Caslon Pro" w:cs="Arial"/>
          <w:bCs/>
          <w:i/>
        </w:rPr>
        <w:t>Elementos mínimos a considerar en la elaboración de diagnósticos de programas nuevos.</w:t>
      </w:r>
      <w:r w:rsidRPr="009E30D1">
        <w:rPr>
          <w:rStyle w:val="Refdenotaalpie"/>
          <w:rFonts w:ascii="Adobe Caslon Pro" w:hAnsi="Adobe Caslon Pro" w:cs="Arial"/>
          <w:bCs/>
          <w:i/>
        </w:rPr>
        <w:footnoteReference w:id="2"/>
      </w:r>
    </w:p>
    <w:p w:rsidR="002E6610" w:rsidRPr="009E30D1" w:rsidRDefault="000567A0" w:rsidP="00B85C0B">
      <w:pPr>
        <w:spacing w:after="120" w:line="240" w:lineRule="auto"/>
        <w:jc w:val="both"/>
        <w:rPr>
          <w:rFonts w:ascii="Adobe Caslon Pro" w:hAnsi="Adobe Caslon Pro" w:cs="Arial"/>
        </w:rPr>
      </w:pPr>
      <w:r w:rsidRPr="009E30D1">
        <w:rPr>
          <w:rFonts w:ascii="Adobe Caslon Pro" w:hAnsi="Adobe Caslon Pro" w:cs="Arial"/>
          <w:bCs/>
        </w:rPr>
        <w:t xml:space="preserve">El </w:t>
      </w:r>
      <w:r w:rsidR="009B24D3" w:rsidRPr="009E30D1">
        <w:rPr>
          <w:rFonts w:ascii="Adobe Caslon Pro" w:hAnsi="Adobe Caslon Pro" w:cs="Arial"/>
          <w:bCs/>
        </w:rPr>
        <w:t xml:space="preserve">documento contribuye al análisis </w:t>
      </w:r>
      <w:r w:rsidR="002C04F4" w:rsidRPr="009E30D1">
        <w:rPr>
          <w:rFonts w:ascii="Adobe Caslon Pro" w:hAnsi="Adobe Caslon Pro" w:cs="Arial"/>
          <w:bCs/>
        </w:rPr>
        <w:t xml:space="preserve">de </w:t>
      </w:r>
      <w:r w:rsidR="00E8069D" w:rsidRPr="009E30D1">
        <w:rPr>
          <w:rFonts w:ascii="Adobe Caslon Pro" w:hAnsi="Adobe Caslon Pro" w:cs="Arial"/>
          <w:bCs/>
        </w:rPr>
        <w:t>la violencia contra las mujeres</w:t>
      </w:r>
      <w:r w:rsidR="00957973" w:rsidRPr="009E30D1">
        <w:rPr>
          <w:rFonts w:ascii="Adobe Caslon Pro" w:hAnsi="Adobe Caslon Pro" w:cs="Arial"/>
          <w:bCs/>
        </w:rPr>
        <w:t xml:space="preserve"> </w:t>
      </w:r>
      <w:r w:rsidR="002C04F4" w:rsidRPr="009E30D1">
        <w:rPr>
          <w:rFonts w:ascii="Adobe Caslon Pro" w:hAnsi="Adobe Caslon Pro" w:cs="Arial"/>
          <w:bCs/>
        </w:rPr>
        <w:t xml:space="preserve">que se tiene </w:t>
      </w:r>
      <w:r w:rsidR="00957973" w:rsidRPr="009E30D1">
        <w:rPr>
          <w:rFonts w:ascii="Adobe Caslon Pro" w:hAnsi="Adobe Caslon Pro" w:cs="Arial"/>
          <w:bCs/>
        </w:rPr>
        <w:t>en el país</w:t>
      </w:r>
      <w:r w:rsidR="00E8069D" w:rsidRPr="009E30D1">
        <w:rPr>
          <w:rFonts w:ascii="Adobe Caslon Pro" w:hAnsi="Adobe Caslon Pro" w:cs="Arial"/>
          <w:bCs/>
        </w:rPr>
        <w:t xml:space="preserve"> desde una perspectiva multidisciplinaria</w:t>
      </w:r>
      <w:r w:rsidR="00E7783F" w:rsidRPr="009E30D1">
        <w:rPr>
          <w:rFonts w:ascii="Adobe Caslon Pro" w:hAnsi="Adobe Caslon Pro" w:cs="Arial"/>
          <w:bCs/>
        </w:rPr>
        <w:t>, con el objetivo de</w:t>
      </w:r>
      <w:r w:rsidR="009B24D3" w:rsidRPr="009E30D1">
        <w:rPr>
          <w:rFonts w:ascii="Adobe Caslon Pro" w:hAnsi="Adobe Caslon Pro" w:cs="Arial"/>
          <w:bCs/>
        </w:rPr>
        <w:t xml:space="preserve"> desarrollar políticas públicas que f</w:t>
      </w:r>
      <w:r w:rsidR="002C04F4" w:rsidRPr="009E30D1">
        <w:rPr>
          <w:rFonts w:ascii="Adobe Caslon Pro" w:hAnsi="Adobe Caslon Pro" w:cs="Arial"/>
          <w:bCs/>
        </w:rPr>
        <w:t>avorezcan</w:t>
      </w:r>
      <w:r w:rsidR="009B24D3" w:rsidRPr="009E30D1">
        <w:rPr>
          <w:rFonts w:ascii="Adobe Caslon Pro" w:hAnsi="Adobe Caslon Pro" w:cs="Arial"/>
          <w:bCs/>
        </w:rPr>
        <w:t xml:space="preserve"> </w:t>
      </w:r>
      <w:r w:rsidR="00E8069D" w:rsidRPr="009E30D1">
        <w:rPr>
          <w:rFonts w:ascii="Adobe Caslon Pro" w:hAnsi="Adobe Caslon Pro" w:cs="Arial"/>
          <w:bCs/>
        </w:rPr>
        <w:t xml:space="preserve">la construcción </w:t>
      </w:r>
      <w:r w:rsidR="002C04F4" w:rsidRPr="009E30D1">
        <w:rPr>
          <w:rFonts w:ascii="Adobe Caslon Pro" w:hAnsi="Adobe Caslon Pro" w:cs="Arial"/>
          <w:bCs/>
        </w:rPr>
        <w:t xml:space="preserve">de una sociedad </w:t>
      </w:r>
      <w:r w:rsidR="00E8069D" w:rsidRPr="009E30D1">
        <w:rPr>
          <w:rFonts w:ascii="Adobe Caslon Pro" w:hAnsi="Adobe Caslon Pro" w:cs="Arial"/>
          <w:bCs/>
        </w:rPr>
        <w:t>igualitaria en donde las mujeres tengan acceso</w:t>
      </w:r>
      <w:r w:rsidR="00060189" w:rsidRPr="009E30D1">
        <w:rPr>
          <w:rFonts w:ascii="Adobe Caslon Pro" w:hAnsi="Adobe Caslon Pro" w:cs="Arial"/>
          <w:bCs/>
        </w:rPr>
        <w:t xml:space="preserve"> a</w:t>
      </w:r>
      <w:r w:rsidR="00E8069D" w:rsidRPr="009E30D1">
        <w:rPr>
          <w:rFonts w:ascii="Adobe Caslon Pro" w:hAnsi="Adobe Caslon Pro" w:cs="Arial"/>
          <w:bCs/>
        </w:rPr>
        <w:t xml:space="preserve"> una vida libre de violencia conforme a derecho Constitucional</w:t>
      </w:r>
      <w:r w:rsidR="009B24D3" w:rsidRPr="009E30D1">
        <w:rPr>
          <w:rFonts w:ascii="Adobe Caslon Pro" w:hAnsi="Adobe Caslon Pro" w:cs="Arial"/>
          <w:bCs/>
        </w:rPr>
        <w:t>. Este trabajo es producto de la colaboración entre la SPPE de la SEDESOL y el INDESOL, quienes aportaron dedicación y energía con el fin de desarroll</w:t>
      </w:r>
      <w:r w:rsidRPr="009E30D1">
        <w:rPr>
          <w:rFonts w:ascii="Adobe Caslon Pro" w:hAnsi="Adobe Caslon Pro" w:cs="Arial"/>
          <w:bCs/>
        </w:rPr>
        <w:t xml:space="preserve">ar </w:t>
      </w:r>
      <w:r w:rsidR="009B24D3" w:rsidRPr="009E30D1">
        <w:rPr>
          <w:rFonts w:ascii="Adobe Caslon Pro" w:hAnsi="Adobe Caslon Pro" w:cs="Arial"/>
          <w:bCs/>
        </w:rPr>
        <w:t xml:space="preserve">políticas de atención a la problemática que aquí se presenta. Asimismo, se agradece la contribución de insumos para la preparación del documento por parte de la consultoría </w:t>
      </w:r>
      <w:r w:rsidR="00596955" w:rsidRPr="009E30D1">
        <w:rPr>
          <w:rFonts w:ascii="Adobe Caslon Pro" w:hAnsi="Adobe Caslon Pro" w:cs="Arial"/>
        </w:rPr>
        <w:t>BHMC</w:t>
      </w:r>
      <w:r w:rsidR="009B24D3" w:rsidRPr="009E30D1">
        <w:rPr>
          <w:rFonts w:ascii="Adobe Caslon Pro" w:hAnsi="Adobe Caslon Pro" w:cs="Arial"/>
        </w:rPr>
        <w:t xml:space="preserve"> </w:t>
      </w:r>
      <w:r w:rsidR="00F704F8" w:rsidRPr="009E30D1">
        <w:rPr>
          <w:rFonts w:ascii="Adobe Caslon Pro" w:hAnsi="Adobe Caslon Pro" w:cs="Arial"/>
        </w:rPr>
        <w:t xml:space="preserve">Consultores </w:t>
      </w:r>
      <w:r w:rsidR="009B24D3" w:rsidRPr="009E30D1">
        <w:rPr>
          <w:rFonts w:ascii="Adobe Caslon Pro" w:hAnsi="Adobe Caslon Pro" w:cs="Arial"/>
        </w:rPr>
        <w:t>A.C.</w:t>
      </w:r>
    </w:p>
    <w:p w:rsidR="002E6610" w:rsidRPr="009E30D1" w:rsidRDefault="002E6610" w:rsidP="00B85C0B">
      <w:pPr>
        <w:spacing w:after="120" w:line="240" w:lineRule="auto"/>
        <w:rPr>
          <w:rFonts w:ascii="Adobe Caslon Pro" w:hAnsi="Adobe Caslon Pro"/>
        </w:rPr>
      </w:pPr>
    </w:p>
    <w:p w:rsidR="002E6610" w:rsidRPr="009E30D1" w:rsidRDefault="002E6610" w:rsidP="00B85C0B">
      <w:pPr>
        <w:spacing w:after="120" w:line="240" w:lineRule="auto"/>
        <w:rPr>
          <w:rFonts w:ascii="Adobe Caslon Pro" w:hAnsi="Adobe Caslon Pro"/>
        </w:rPr>
      </w:pPr>
      <w:r w:rsidRPr="009E30D1">
        <w:rPr>
          <w:rFonts w:ascii="Adobe Caslon Pro" w:hAnsi="Adobe Caslon Pro"/>
        </w:rPr>
        <w:br w:type="page"/>
      </w:r>
    </w:p>
    <w:p w:rsidR="001C50F8" w:rsidRPr="009E30D1" w:rsidRDefault="00664A26" w:rsidP="00B85C0B">
      <w:pPr>
        <w:pStyle w:val="Ttulo2"/>
        <w:spacing w:before="0" w:after="120"/>
      </w:pPr>
      <w:bookmarkStart w:id="4" w:name="_Toc391883368"/>
      <w:r w:rsidRPr="009E30D1">
        <w:lastRenderedPageBreak/>
        <w:t>Índice</w:t>
      </w:r>
      <w:bookmarkEnd w:id="4"/>
      <w:r w:rsidRPr="009E30D1">
        <w:tab/>
      </w:r>
    </w:p>
    <w:sdt>
      <w:sdtPr>
        <w:rPr>
          <w:rFonts w:ascii="Adobe Caslon Pro" w:eastAsia="Calibri" w:hAnsi="Adobe Caslon Pro" w:cs="Times New Roman"/>
          <w:sz w:val="20"/>
          <w:lang w:val="es-ES" w:eastAsia="en-US"/>
        </w:rPr>
        <w:id w:val="-175968873"/>
        <w:docPartObj>
          <w:docPartGallery w:val="Table of Contents"/>
          <w:docPartUnique/>
        </w:docPartObj>
      </w:sdtPr>
      <w:sdtEndPr/>
      <w:sdtContent>
        <w:p w:rsidR="006D794C" w:rsidRPr="009E30D1" w:rsidRDefault="006D794C" w:rsidP="00D47662">
          <w:pPr>
            <w:pStyle w:val="Sinespaciado"/>
            <w:spacing w:after="120"/>
            <w:rPr>
              <w:rFonts w:ascii="Adobe Caslon Pro" w:hAnsi="Adobe Caslon Pro"/>
              <w:sz w:val="18"/>
              <w:szCs w:val="20"/>
            </w:rPr>
          </w:pPr>
        </w:p>
        <w:p w:rsidR="00B41860" w:rsidRPr="009E30D1" w:rsidRDefault="006D794C"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r w:rsidRPr="009E30D1">
            <w:rPr>
              <w:rFonts w:ascii="Adobe Caslon Pro" w:hAnsi="Adobe Caslon Pro"/>
              <w:sz w:val="18"/>
              <w:szCs w:val="20"/>
            </w:rPr>
            <w:fldChar w:fldCharType="begin"/>
          </w:r>
          <w:r w:rsidRPr="009E30D1">
            <w:rPr>
              <w:rFonts w:ascii="Adobe Caslon Pro" w:hAnsi="Adobe Caslon Pro"/>
              <w:sz w:val="18"/>
              <w:szCs w:val="20"/>
            </w:rPr>
            <w:instrText xml:space="preserve"> TOC \o "1-3" \h \z \u </w:instrText>
          </w:r>
          <w:r w:rsidRPr="009E30D1">
            <w:rPr>
              <w:rFonts w:ascii="Adobe Caslon Pro" w:hAnsi="Adobe Caslon Pro"/>
              <w:sz w:val="18"/>
              <w:szCs w:val="20"/>
            </w:rPr>
            <w:fldChar w:fldCharType="separate"/>
          </w:r>
          <w:hyperlink w:anchor="_Toc391883365" w:history="1">
            <w:r w:rsidR="00B41860" w:rsidRPr="009E30D1">
              <w:rPr>
                <w:rStyle w:val="Hipervnculo"/>
                <w:rFonts w:ascii="Adobe Caslon Pro" w:hAnsi="Adobe Caslon Pro"/>
                <w:b w:val="0"/>
                <w:noProof/>
                <w:sz w:val="20"/>
              </w:rPr>
              <w:t>Siglas y acrónimos</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_Toc391883365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66" w:history="1">
            <w:r w:rsidR="00B41860" w:rsidRPr="009E30D1">
              <w:rPr>
                <w:rStyle w:val="Hipervnculo"/>
                <w:rFonts w:ascii="Adobe Caslon Pro" w:hAnsi="Adobe Caslon Pro"/>
                <w:b w:val="0"/>
                <w:noProof/>
                <w:sz w:val="20"/>
              </w:rPr>
              <w:t>Glosario</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_Toc391883366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4</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67" w:history="1">
            <w:r w:rsidR="00B41860" w:rsidRPr="009E30D1">
              <w:rPr>
                <w:rStyle w:val="Hipervnculo"/>
                <w:rFonts w:ascii="Adobe Caslon Pro" w:hAnsi="Adobe Caslon Pro"/>
                <w:b w:val="0"/>
                <w:noProof/>
                <w:sz w:val="20"/>
              </w:rPr>
              <w:t>Presentación</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_Toc391883367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10</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68" w:history="1">
            <w:r w:rsidR="00B41860" w:rsidRPr="009E30D1">
              <w:rPr>
                <w:rStyle w:val="Hipervnculo"/>
                <w:rFonts w:ascii="Adobe Caslon Pro" w:hAnsi="Adobe Caslon Pro"/>
                <w:b w:val="0"/>
                <w:noProof/>
                <w:sz w:val="20"/>
              </w:rPr>
              <w:t>Índice</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_Toc391883368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11</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69" w:history="1">
            <w:r w:rsidR="00B41860" w:rsidRPr="009E30D1">
              <w:rPr>
                <w:rStyle w:val="Hipervnculo"/>
                <w:rFonts w:ascii="Adobe Caslon Pro" w:hAnsi="Adobe Caslon Pro"/>
                <w:b w:val="0"/>
                <w:noProof/>
                <w:sz w:val="20"/>
              </w:rPr>
              <w:t>1. Introducción</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_Toc391883369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12</w:t>
            </w:r>
            <w:r w:rsidR="00B41860" w:rsidRPr="009E30D1">
              <w:rPr>
                <w:rFonts w:ascii="Adobe Caslon Pro" w:hAnsi="Adobe Caslon Pro"/>
                <w:b w:val="0"/>
                <w:noProof/>
                <w:webHidden/>
                <w:sz w:val="20"/>
              </w:rPr>
              <w:fldChar w:fldCharType="end"/>
            </w:r>
          </w:hyperlink>
        </w:p>
        <w:p w:rsidR="00B41860" w:rsidRPr="009E30D1" w:rsidRDefault="006E5628" w:rsidP="00B41860">
          <w:pPr>
            <w:pStyle w:val="TDC1"/>
            <w:tabs>
              <w:tab w:val="left" w:pos="440"/>
              <w:tab w:val="right" w:leader="dot" w:pos="8828"/>
            </w:tabs>
            <w:spacing w:line="240" w:lineRule="auto"/>
            <w:rPr>
              <w:rFonts w:ascii="Adobe Caslon Pro" w:eastAsiaTheme="minorEastAsia" w:hAnsi="Adobe Caslon Pro" w:cstheme="minorBidi"/>
              <w:b w:val="0"/>
              <w:noProof/>
              <w:sz w:val="20"/>
              <w:szCs w:val="22"/>
              <w:lang w:eastAsia="es-MX"/>
            </w:rPr>
          </w:pPr>
          <w:hyperlink r:id="rId10" w:anchor="_Toc391883370" w:history="1">
            <w:r w:rsidR="00B41860" w:rsidRPr="009E30D1">
              <w:rPr>
                <w:rStyle w:val="Hipervnculo"/>
                <w:rFonts w:ascii="Adobe Caslon Pro" w:hAnsi="Adobe Caslon Pro"/>
                <w:b w:val="0"/>
                <w:noProof/>
                <w:sz w:val="22"/>
              </w:rPr>
              <w:t>2.</w:t>
            </w:r>
            <w:r w:rsidR="00B41860" w:rsidRPr="009E30D1">
              <w:rPr>
                <w:rFonts w:ascii="Adobe Caslon Pro" w:eastAsiaTheme="minorEastAsia" w:hAnsi="Adobe Caslon Pro" w:cstheme="minorBidi"/>
                <w:b w:val="0"/>
                <w:noProof/>
                <w:sz w:val="20"/>
                <w:szCs w:val="22"/>
                <w:lang w:eastAsia="es-MX"/>
              </w:rPr>
              <w:tab/>
            </w:r>
            <w:r w:rsidR="00B41860" w:rsidRPr="009E30D1">
              <w:rPr>
                <w:rStyle w:val="Hipervnculo"/>
                <w:rFonts w:ascii="Adobe Caslon Pro" w:hAnsi="Adobe Caslon Pro"/>
                <w:b w:val="0"/>
                <w:noProof/>
                <w:sz w:val="22"/>
              </w:rPr>
              <w:t>Diagnóstico</w:t>
            </w:r>
            <w:r w:rsidR="00B41860" w:rsidRPr="009E30D1">
              <w:rPr>
                <w:rFonts w:ascii="Adobe Caslon Pro" w:hAnsi="Adobe Caslon Pro"/>
                <w:b w:val="0"/>
                <w:noProof/>
                <w:webHidden/>
                <w:sz w:val="22"/>
              </w:rPr>
              <w:tab/>
            </w:r>
            <w:r w:rsidR="00B41860" w:rsidRPr="009E30D1">
              <w:rPr>
                <w:rFonts w:ascii="Adobe Caslon Pro" w:hAnsi="Adobe Caslon Pro"/>
                <w:b w:val="0"/>
                <w:noProof/>
                <w:webHidden/>
                <w:sz w:val="22"/>
              </w:rPr>
              <w:fldChar w:fldCharType="begin"/>
            </w:r>
            <w:r w:rsidR="00B41860" w:rsidRPr="009E30D1">
              <w:rPr>
                <w:rFonts w:ascii="Adobe Caslon Pro" w:hAnsi="Adobe Caslon Pro"/>
                <w:b w:val="0"/>
                <w:noProof/>
                <w:webHidden/>
                <w:sz w:val="22"/>
              </w:rPr>
              <w:instrText xml:space="preserve"> PAGEREF _Toc391883370 \h </w:instrText>
            </w:r>
            <w:r w:rsidR="00B41860" w:rsidRPr="009E30D1">
              <w:rPr>
                <w:rFonts w:ascii="Adobe Caslon Pro" w:hAnsi="Adobe Caslon Pro"/>
                <w:b w:val="0"/>
                <w:noProof/>
                <w:webHidden/>
                <w:sz w:val="22"/>
              </w:rPr>
            </w:r>
            <w:r w:rsidR="00B41860" w:rsidRPr="009E30D1">
              <w:rPr>
                <w:rFonts w:ascii="Adobe Caslon Pro" w:hAnsi="Adobe Caslon Pro"/>
                <w:b w:val="0"/>
                <w:noProof/>
                <w:webHidden/>
                <w:sz w:val="22"/>
              </w:rPr>
              <w:fldChar w:fldCharType="separate"/>
            </w:r>
            <w:r w:rsidR="00B41860" w:rsidRPr="009E30D1">
              <w:rPr>
                <w:rFonts w:ascii="Adobe Caslon Pro" w:hAnsi="Adobe Caslon Pro"/>
                <w:b w:val="0"/>
                <w:noProof/>
                <w:webHidden/>
                <w:sz w:val="22"/>
              </w:rPr>
              <w:t>14</w:t>
            </w:r>
            <w:r w:rsidR="00B41860" w:rsidRPr="009E30D1">
              <w:rPr>
                <w:rFonts w:ascii="Adobe Caslon Pro" w:hAnsi="Adobe Caslon Pro"/>
                <w:b w:val="0"/>
                <w:noProof/>
                <w:webHidden/>
                <w:sz w:val="22"/>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71" w:history="1">
            <w:r w:rsidR="00B41860" w:rsidRPr="009E30D1">
              <w:rPr>
                <w:rStyle w:val="Hipervnculo"/>
                <w:rFonts w:ascii="Adobe Caslon Pro" w:hAnsi="Adobe Caslon Pro"/>
                <w:b w:val="0"/>
                <w:noProof/>
                <w:sz w:val="20"/>
              </w:rPr>
              <w:t>2.1Antecedentes</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_Toc391883371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15</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72" w:history="1">
            <w:r w:rsidR="00B41860" w:rsidRPr="009E30D1">
              <w:rPr>
                <w:rStyle w:val="Hipervnculo"/>
                <w:rFonts w:ascii="Adobe Caslon Pro" w:hAnsi="Adobe Caslon Pro"/>
                <w:b w:val="0"/>
                <w:noProof/>
                <w:sz w:val="20"/>
              </w:rPr>
              <w:t>2.2 Análisis del Problema</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_Toc391883372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19</w:t>
            </w:r>
            <w:r w:rsidR="00B41860" w:rsidRPr="009E30D1">
              <w:rPr>
                <w:rFonts w:ascii="Adobe Caslon Pro" w:hAnsi="Adobe Caslon Pro"/>
                <w:b w:val="0"/>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73" w:history="1">
            <w:r w:rsidR="00B41860" w:rsidRPr="009E30D1">
              <w:rPr>
                <w:rStyle w:val="Hipervnculo"/>
                <w:rFonts w:ascii="Adobe Caslon Pro" w:hAnsi="Adobe Caslon Pro"/>
                <w:noProof/>
                <w:sz w:val="20"/>
                <w:lang w:val="es-ES_tradnl"/>
              </w:rPr>
              <w:t>Evolución y estado actual del problema</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_Toc391883373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21</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74" w:history="1">
            <w:r w:rsidR="00B41860" w:rsidRPr="009E30D1">
              <w:rPr>
                <w:rStyle w:val="Hipervnculo"/>
                <w:rFonts w:ascii="Adobe Caslon Pro" w:hAnsi="Adobe Caslon Pro"/>
                <w:noProof/>
                <w:sz w:val="20"/>
              </w:rPr>
              <w:t>Árbol del problema</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_Toc391883374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4</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75" w:history="1">
            <w:r w:rsidR="00B41860" w:rsidRPr="009E30D1">
              <w:rPr>
                <w:rStyle w:val="Hipervnculo"/>
                <w:rFonts w:ascii="Adobe Caslon Pro" w:hAnsi="Adobe Caslon Pro"/>
                <w:noProof/>
                <w:sz w:val="20"/>
              </w:rPr>
              <w:t>Análisis de las causas del problema</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_Toc391883375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5</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76" w:history="1">
            <w:r w:rsidR="00B41860" w:rsidRPr="009E30D1">
              <w:rPr>
                <w:rStyle w:val="Hipervnculo"/>
                <w:rFonts w:ascii="Adobe Caslon Pro" w:hAnsi="Adobe Caslon Pro"/>
                <w:noProof/>
                <w:sz w:val="20"/>
              </w:rPr>
              <w:t>Análisis de los efectos del problema</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_Toc391883376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25</w:t>
            </w:r>
            <w:r w:rsidR="00B41860" w:rsidRPr="009E30D1">
              <w:rPr>
                <w:rFonts w:ascii="Adobe Caslon Pro" w:hAnsi="Adobe Caslon Pro"/>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77" w:history="1">
            <w:r w:rsidR="00B41860" w:rsidRPr="009E30D1">
              <w:rPr>
                <w:rStyle w:val="Hipervnculo"/>
                <w:rFonts w:ascii="Adobe Caslon Pro" w:hAnsi="Adobe Caslon Pro"/>
                <w:b w:val="0"/>
                <w:noProof/>
                <w:sz w:val="20"/>
                <w:lang w:val="es-ES_tradnl"/>
              </w:rPr>
              <w:t>2.3 Población potencial y objetivo del PAIMEF</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_Toc391883377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40</w:t>
            </w:r>
            <w:r w:rsidR="00B41860" w:rsidRPr="009E30D1">
              <w:rPr>
                <w:rFonts w:ascii="Adobe Caslon Pro" w:hAnsi="Adobe Caslon Pro"/>
                <w:b w:val="0"/>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78" w:history="1">
            <w:r w:rsidR="00B41860" w:rsidRPr="009E30D1">
              <w:rPr>
                <w:rStyle w:val="Hipervnculo"/>
                <w:rFonts w:ascii="Adobe Caslon Pro" w:hAnsi="Adobe Caslon Pro"/>
                <w:noProof/>
                <w:sz w:val="20"/>
                <w:lang w:val="es-ES_tradnl"/>
              </w:rPr>
              <w:t>Evolución de la población potencial y objetivo</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_Toc391883378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54</w:t>
            </w:r>
            <w:r w:rsidR="00B41860" w:rsidRPr="009E30D1">
              <w:rPr>
                <w:rFonts w:ascii="Adobe Caslon Pro" w:hAnsi="Adobe Caslon Pro"/>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79" w:history="1">
            <w:r w:rsidR="00B41860" w:rsidRPr="009E30D1">
              <w:rPr>
                <w:rStyle w:val="Hipervnculo"/>
                <w:rFonts w:ascii="Adobe Caslon Pro" w:hAnsi="Adobe Caslon Pro"/>
                <w:b w:val="0"/>
                <w:noProof/>
                <w:sz w:val="20"/>
                <w:lang w:val="es-ES_tradnl"/>
              </w:rPr>
              <w:t xml:space="preserve">2.4 </w:t>
            </w:r>
            <w:r w:rsidR="00B41860" w:rsidRPr="009E30D1">
              <w:rPr>
                <w:rStyle w:val="Hipervnculo"/>
                <w:rFonts w:ascii="Adobe Caslon Pro" w:hAnsi="Adobe Caslon Pro"/>
                <w:b w:val="0"/>
                <w:noProof/>
                <w:sz w:val="20"/>
              </w:rPr>
              <w:t>Conclusiones del diagnóstico</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_Toc391883379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56</w:t>
            </w:r>
            <w:r w:rsidR="00B41860" w:rsidRPr="009E30D1">
              <w:rPr>
                <w:rFonts w:ascii="Adobe Caslon Pro" w:hAnsi="Adobe Caslon Pro"/>
                <w:b w:val="0"/>
                <w:noProof/>
                <w:webHidden/>
                <w:sz w:val="20"/>
              </w:rPr>
              <w:fldChar w:fldCharType="end"/>
            </w:r>
          </w:hyperlink>
        </w:p>
        <w:p w:rsidR="00B41860" w:rsidRPr="009E30D1" w:rsidRDefault="006E5628" w:rsidP="00B41860">
          <w:pPr>
            <w:pStyle w:val="TDC1"/>
            <w:tabs>
              <w:tab w:val="right" w:leader="dot" w:pos="8828"/>
            </w:tabs>
            <w:spacing w:line="240" w:lineRule="auto"/>
            <w:rPr>
              <w:rFonts w:ascii="Adobe Caslon Pro" w:eastAsiaTheme="minorEastAsia" w:hAnsi="Adobe Caslon Pro" w:cstheme="minorBidi"/>
              <w:b w:val="0"/>
              <w:noProof/>
              <w:sz w:val="20"/>
              <w:szCs w:val="22"/>
              <w:lang w:eastAsia="es-MX"/>
            </w:rPr>
          </w:pPr>
          <w:hyperlink r:id="rId11" w:anchor="_Toc391883380" w:history="1">
            <w:r w:rsidR="00B41860" w:rsidRPr="009E30D1">
              <w:rPr>
                <w:rStyle w:val="Hipervnculo"/>
                <w:rFonts w:ascii="Adobe Caslon Pro" w:hAnsi="Adobe Caslon Pro"/>
                <w:b w:val="0"/>
                <w:noProof/>
                <w:sz w:val="22"/>
              </w:rPr>
              <w:t>3. Propuesta de atención</w:t>
            </w:r>
            <w:r w:rsidR="00B41860" w:rsidRPr="009E30D1">
              <w:rPr>
                <w:rFonts w:ascii="Adobe Caslon Pro" w:hAnsi="Adobe Caslon Pro"/>
                <w:b w:val="0"/>
                <w:noProof/>
                <w:webHidden/>
                <w:sz w:val="22"/>
              </w:rPr>
              <w:tab/>
            </w:r>
            <w:r w:rsidR="00B41860" w:rsidRPr="009E30D1">
              <w:rPr>
                <w:rFonts w:ascii="Adobe Caslon Pro" w:hAnsi="Adobe Caslon Pro"/>
                <w:b w:val="0"/>
                <w:noProof/>
                <w:webHidden/>
                <w:sz w:val="22"/>
              </w:rPr>
              <w:fldChar w:fldCharType="begin"/>
            </w:r>
            <w:r w:rsidR="00B41860" w:rsidRPr="009E30D1">
              <w:rPr>
                <w:rFonts w:ascii="Adobe Caslon Pro" w:hAnsi="Adobe Caslon Pro"/>
                <w:b w:val="0"/>
                <w:noProof/>
                <w:webHidden/>
                <w:sz w:val="22"/>
              </w:rPr>
              <w:instrText xml:space="preserve"> PAGEREF _Toc391883380 \h </w:instrText>
            </w:r>
            <w:r w:rsidR="00B41860" w:rsidRPr="009E30D1">
              <w:rPr>
                <w:rFonts w:ascii="Adobe Caslon Pro" w:hAnsi="Adobe Caslon Pro"/>
                <w:b w:val="0"/>
                <w:noProof/>
                <w:webHidden/>
                <w:sz w:val="22"/>
              </w:rPr>
            </w:r>
            <w:r w:rsidR="00B41860" w:rsidRPr="009E30D1">
              <w:rPr>
                <w:rFonts w:ascii="Adobe Caslon Pro" w:hAnsi="Adobe Caslon Pro"/>
                <w:b w:val="0"/>
                <w:noProof/>
                <w:webHidden/>
                <w:sz w:val="22"/>
              </w:rPr>
              <w:fldChar w:fldCharType="separate"/>
            </w:r>
            <w:r w:rsidR="00B41860" w:rsidRPr="009E30D1">
              <w:rPr>
                <w:rFonts w:ascii="Adobe Caslon Pro" w:hAnsi="Adobe Caslon Pro"/>
                <w:b w:val="0"/>
                <w:noProof/>
                <w:webHidden/>
                <w:sz w:val="22"/>
              </w:rPr>
              <w:t>59</w:t>
            </w:r>
            <w:r w:rsidR="00B41860" w:rsidRPr="009E30D1">
              <w:rPr>
                <w:rFonts w:ascii="Adobe Caslon Pro" w:hAnsi="Adobe Caslon Pro"/>
                <w:b w:val="0"/>
                <w:noProof/>
                <w:webHidden/>
                <w:sz w:val="22"/>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81" w:history="1">
            <w:r w:rsidR="00B41860" w:rsidRPr="009E30D1">
              <w:rPr>
                <w:rStyle w:val="Hipervnculo"/>
                <w:rFonts w:ascii="Adobe Caslon Pro" w:hAnsi="Adobe Caslon Pro"/>
                <w:b w:val="0"/>
                <w:noProof/>
                <w:sz w:val="20"/>
              </w:rPr>
              <w:t>3.1 Experiencias de atención a la problemática</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_Toc391883381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62</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82" w:history="1">
            <w:r w:rsidR="00B41860" w:rsidRPr="009E30D1">
              <w:rPr>
                <w:rStyle w:val="Hipervnculo"/>
                <w:rFonts w:ascii="Adobe Caslon Pro" w:hAnsi="Adobe Caslon Pro"/>
                <w:b w:val="0"/>
                <w:noProof/>
                <w:sz w:val="20"/>
              </w:rPr>
              <w:t>3.2 Propuesta de diseño</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_Toc391883382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70</w:t>
            </w:r>
            <w:r w:rsidR="00B41860" w:rsidRPr="009E30D1">
              <w:rPr>
                <w:rFonts w:ascii="Adobe Caslon Pro" w:hAnsi="Adobe Caslon Pro"/>
                <w:b w:val="0"/>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83" w:history="1">
            <w:r w:rsidR="00B41860" w:rsidRPr="009E30D1">
              <w:rPr>
                <w:rStyle w:val="Hipervnculo"/>
                <w:rFonts w:ascii="Adobe Caslon Pro" w:eastAsia="Calibri" w:hAnsi="Adobe Caslon Pro"/>
                <w:noProof/>
                <w:sz w:val="20"/>
              </w:rPr>
              <w:t>Árbol de objetivos</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_Toc391883383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70</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84" w:history="1">
            <w:r w:rsidR="00B41860" w:rsidRPr="009E30D1">
              <w:rPr>
                <w:rStyle w:val="Hipervnculo"/>
                <w:rFonts w:ascii="Adobe Caslon Pro" w:eastAsia="Calibri" w:hAnsi="Adobe Caslon Pro"/>
                <w:noProof/>
                <w:sz w:val="20"/>
              </w:rPr>
              <w:t>Alternativa de solución al problema</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_Toc391883384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74</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85" w:history="1">
            <w:r w:rsidR="00B41860" w:rsidRPr="009E30D1">
              <w:rPr>
                <w:rStyle w:val="Hipervnculo"/>
                <w:rFonts w:ascii="Adobe Caslon Pro" w:eastAsia="Calibri" w:hAnsi="Adobe Caslon Pro"/>
                <w:noProof/>
                <w:sz w:val="20"/>
              </w:rPr>
              <w:t>Matriz de Marco Lógico</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_Toc391883385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81</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86" w:history="1">
            <w:r w:rsidR="00B41860" w:rsidRPr="009E30D1">
              <w:rPr>
                <w:rStyle w:val="Hipervnculo"/>
                <w:rFonts w:ascii="Adobe Caslon Pro" w:eastAsia="Calibri" w:hAnsi="Adobe Caslon Pro"/>
                <w:noProof/>
                <w:sz w:val="20"/>
              </w:rPr>
              <w:t>Población objetivo y criterios de elegibilidad</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_Toc391883386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84</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87" w:history="1">
            <w:r w:rsidR="00B41860" w:rsidRPr="009E30D1">
              <w:rPr>
                <w:rStyle w:val="Hipervnculo"/>
                <w:rFonts w:ascii="Adobe Caslon Pro" w:eastAsia="Calibri" w:hAnsi="Adobe Caslon Pro"/>
                <w:noProof/>
                <w:sz w:val="20"/>
              </w:rPr>
              <w:t>Cobertura</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_Toc391883387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86</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88" w:history="1">
            <w:r w:rsidR="00B41860" w:rsidRPr="009E30D1">
              <w:rPr>
                <w:rStyle w:val="Hipervnculo"/>
                <w:rFonts w:ascii="Adobe Caslon Pro" w:eastAsia="Calibri" w:hAnsi="Adobe Caslon Pro"/>
                <w:noProof/>
                <w:sz w:val="20"/>
              </w:rPr>
              <w:t>Tipos y montos de apoyo</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_Toc391883388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88</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89" w:history="1">
            <w:r w:rsidR="00B41860" w:rsidRPr="009E30D1">
              <w:rPr>
                <w:rStyle w:val="Hipervnculo"/>
                <w:rFonts w:ascii="Adobe Caslon Pro" w:eastAsia="Calibri" w:hAnsi="Adobe Caslon Pro"/>
                <w:noProof/>
                <w:sz w:val="20"/>
              </w:rPr>
              <w:t>Criterios de selección</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_Toc391883389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98</w:t>
            </w:r>
            <w:r w:rsidR="00B41860" w:rsidRPr="009E30D1">
              <w:rPr>
                <w:rFonts w:ascii="Adobe Caslon Pro" w:hAnsi="Adobe Caslon Pro"/>
                <w:noProof/>
                <w:webHidden/>
                <w:sz w:val="20"/>
              </w:rPr>
              <w:fldChar w:fldCharType="end"/>
            </w:r>
          </w:hyperlink>
        </w:p>
        <w:p w:rsidR="00B41860" w:rsidRPr="009E30D1" w:rsidRDefault="006E5628" w:rsidP="00B41860">
          <w:pPr>
            <w:pStyle w:val="TDC3"/>
            <w:tabs>
              <w:tab w:val="right" w:leader="dot" w:pos="8828"/>
            </w:tabs>
            <w:spacing w:line="240" w:lineRule="auto"/>
            <w:rPr>
              <w:rFonts w:ascii="Adobe Caslon Pro" w:eastAsiaTheme="minorEastAsia" w:hAnsi="Adobe Caslon Pro" w:cstheme="minorBidi"/>
              <w:noProof/>
              <w:sz w:val="20"/>
              <w:lang w:eastAsia="es-MX"/>
            </w:rPr>
          </w:pPr>
          <w:hyperlink w:anchor="_Toc391883390" w:history="1">
            <w:r w:rsidR="00B41860" w:rsidRPr="009E30D1">
              <w:rPr>
                <w:rStyle w:val="Hipervnculo"/>
                <w:rFonts w:ascii="Adobe Caslon Pro" w:eastAsia="Calibri" w:hAnsi="Adobe Caslon Pro"/>
                <w:noProof/>
                <w:sz w:val="20"/>
              </w:rPr>
              <w:t>Duplicidades y complementariedades</w:t>
            </w:r>
            <w:r w:rsidR="00B41860" w:rsidRPr="009E30D1">
              <w:rPr>
                <w:rFonts w:ascii="Adobe Caslon Pro" w:hAnsi="Adobe Caslon Pro"/>
                <w:noProof/>
                <w:webHidden/>
                <w:sz w:val="20"/>
              </w:rPr>
              <w:tab/>
            </w:r>
            <w:r w:rsidR="00B41860" w:rsidRPr="009E30D1">
              <w:rPr>
                <w:rFonts w:ascii="Adobe Caslon Pro" w:hAnsi="Adobe Caslon Pro"/>
                <w:noProof/>
                <w:webHidden/>
                <w:sz w:val="20"/>
              </w:rPr>
              <w:fldChar w:fldCharType="begin"/>
            </w:r>
            <w:r w:rsidR="00B41860" w:rsidRPr="009E30D1">
              <w:rPr>
                <w:rFonts w:ascii="Adobe Caslon Pro" w:hAnsi="Adobe Caslon Pro"/>
                <w:noProof/>
                <w:webHidden/>
                <w:sz w:val="20"/>
              </w:rPr>
              <w:instrText xml:space="preserve"> PAGEREF _Toc391883390 \h </w:instrText>
            </w:r>
            <w:r w:rsidR="00B41860" w:rsidRPr="009E30D1">
              <w:rPr>
                <w:rFonts w:ascii="Adobe Caslon Pro" w:hAnsi="Adobe Caslon Pro"/>
                <w:noProof/>
                <w:webHidden/>
                <w:sz w:val="20"/>
              </w:rPr>
            </w:r>
            <w:r w:rsidR="00B41860" w:rsidRPr="009E30D1">
              <w:rPr>
                <w:rFonts w:ascii="Adobe Caslon Pro" w:hAnsi="Adobe Caslon Pro"/>
                <w:noProof/>
                <w:webHidden/>
                <w:sz w:val="20"/>
              </w:rPr>
              <w:fldChar w:fldCharType="separate"/>
            </w:r>
            <w:r w:rsidR="00B41860" w:rsidRPr="009E30D1">
              <w:rPr>
                <w:rFonts w:ascii="Adobe Caslon Pro" w:hAnsi="Adobe Caslon Pro"/>
                <w:noProof/>
                <w:webHidden/>
                <w:sz w:val="20"/>
              </w:rPr>
              <w:t>100</w:t>
            </w:r>
            <w:r w:rsidR="00B41860" w:rsidRPr="009E30D1">
              <w:rPr>
                <w:rFonts w:ascii="Adobe Caslon Pro" w:hAnsi="Adobe Caslon Pro"/>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91" w:history="1">
            <w:r w:rsidR="00B41860" w:rsidRPr="009E30D1">
              <w:rPr>
                <w:rStyle w:val="Hipervnculo"/>
                <w:rFonts w:ascii="Adobe Caslon Pro" w:eastAsia="Calibri" w:hAnsi="Adobe Caslon Pro"/>
                <w:b w:val="0"/>
                <w:noProof/>
                <w:sz w:val="20"/>
              </w:rPr>
              <w:t>3.3 Marco de actuación de la propuesta</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_Toc391883391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106</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92" w:history="1">
            <w:r w:rsidR="00B41860" w:rsidRPr="009E30D1">
              <w:rPr>
                <w:rStyle w:val="Hipervnculo"/>
                <w:rFonts w:ascii="Adobe Caslon Pro" w:eastAsia="Calibri" w:hAnsi="Adobe Caslon Pro"/>
                <w:b w:val="0"/>
                <w:noProof/>
                <w:sz w:val="20"/>
              </w:rPr>
              <w:t>3.4 Proyecciones financieras</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_Toc391883392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113</w:t>
            </w:r>
            <w:r w:rsidR="00B41860" w:rsidRPr="009E30D1">
              <w:rPr>
                <w:rFonts w:ascii="Adobe Caslon Pro" w:hAnsi="Adobe Caslon Pro"/>
                <w:b w:val="0"/>
                <w:noProof/>
                <w:webHidden/>
                <w:sz w:val="20"/>
              </w:rPr>
              <w:fldChar w:fldCharType="end"/>
            </w:r>
          </w:hyperlink>
        </w:p>
        <w:p w:rsidR="00B41860" w:rsidRPr="009E30D1" w:rsidRDefault="006E5628" w:rsidP="00B41860">
          <w:pPr>
            <w:pStyle w:val="TDC2"/>
            <w:tabs>
              <w:tab w:val="right" w:leader="dot" w:pos="8828"/>
            </w:tabs>
            <w:spacing w:line="240" w:lineRule="auto"/>
            <w:rPr>
              <w:rFonts w:ascii="Adobe Caslon Pro" w:eastAsiaTheme="minorEastAsia" w:hAnsi="Adobe Caslon Pro" w:cstheme="minorBidi"/>
              <w:b w:val="0"/>
              <w:noProof/>
              <w:sz w:val="20"/>
              <w:lang w:eastAsia="es-MX"/>
            </w:rPr>
          </w:pPr>
          <w:hyperlink w:anchor="_Toc391883393" w:history="1">
            <w:r w:rsidR="00B41860" w:rsidRPr="009E30D1">
              <w:rPr>
                <w:rStyle w:val="Hipervnculo"/>
                <w:rFonts w:ascii="Adobe Caslon Pro" w:eastAsia="Calibri" w:hAnsi="Adobe Caslon Pro"/>
                <w:b w:val="0"/>
                <w:noProof/>
                <w:sz w:val="20"/>
              </w:rPr>
              <w:t>3.5 Previsiones para la integración de padrones</w:t>
            </w:r>
            <w:r w:rsidR="00B41860" w:rsidRPr="009E30D1">
              <w:rPr>
                <w:rFonts w:ascii="Adobe Caslon Pro" w:hAnsi="Adobe Caslon Pro"/>
                <w:b w:val="0"/>
                <w:noProof/>
                <w:webHidden/>
                <w:sz w:val="20"/>
              </w:rPr>
              <w:tab/>
            </w:r>
            <w:r w:rsidR="00B41860" w:rsidRPr="009E30D1">
              <w:rPr>
                <w:rFonts w:ascii="Adobe Caslon Pro" w:hAnsi="Adobe Caslon Pro"/>
                <w:b w:val="0"/>
                <w:noProof/>
                <w:webHidden/>
                <w:sz w:val="20"/>
              </w:rPr>
              <w:fldChar w:fldCharType="begin"/>
            </w:r>
            <w:r w:rsidR="00B41860" w:rsidRPr="009E30D1">
              <w:rPr>
                <w:rFonts w:ascii="Adobe Caslon Pro" w:hAnsi="Adobe Caslon Pro"/>
                <w:b w:val="0"/>
                <w:noProof/>
                <w:webHidden/>
                <w:sz w:val="20"/>
              </w:rPr>
              <w:instrText xml:space="preserve"> PAGEREF _Toc391883393 \h </w:instrText>
            </w:r>
            <w:r w:rsidR="00B41860" w:rsidRPr="009E30D1">
              <w:rPr>
                <w:rFonts w:ascii="Adobe Caslon Pro" w:hAnsi="Adobe Caslon Pro"/>
                <w:b w:val="0"/>
                <w:noProof/>
                <w:webHidden/>
                <w:sz w:val="20"/>
              </w:rPr>
            </w:r>
            <w:r w:rsidR="00B41860" w:rsidRPr="009E30D1">
              <w:rPr>
                <w:rFonts w:ascii="Adobe Caslon Pro" w:hAnsi="Adobe Caslon Pro"/>
                <w:b w:val="0"/>
                <w:noProof/>
                <w:webHidden/>
                <w:sz w:val="20"/>
              </w:rPr>
              <w:fldChar w:fldCharType="separate"/>
            </w:r>
            <w:r w:rsidR="00B41860" w:rsidRPr="009E30D1">
              <w:rPr>
                <w:rFonts w:ascii="Adobe Caslon Pro" w:hAnsi="Adobe Caslon Pro"/>
                <w:b w:val="0"/>
                <w:noProof/>
                <w:webHidden/>
                <w:sz w:val="20"/>
              </w:rPr>
              <w:t>114</w:t>
            </w:r>
            <w:r w:rsidR="00B41860" w:rsidRPr="009E30D1">
              <w:rPr>
                <w:rFonts w:ascii="Adobe Caslon Pro" w:hAnsi="Adobe Caslon Pro"/>
                <w:b w:val="0"/>
                <w:noProof/>
                <w:webHidden/>
                <w:sz w:val="20"/>
              </w:rPr>
              <w:fldChar w:fldCharType="end"/>
            </w:r>
          </w:hyperlink>
        </w:p>
        <w:p w:rsidR="00B41860" w:rsidRPr="009E30D1" w:rsidRDefault="006E5628" w:rsidP="00B41860">
          <w:pPr>
            <w:pStyle w:val="TDC1"/>
            <w:tabs>
              <w:tab w:val="right" w:leader="dot" w:pos="8828"/>
            </w:tabs>
            <w:spacing w:line="240" w:lineRule="auto"/>
            <w:rPr>
              <w:rFonts w:ascii="Adobe Caslon Pro" w:eastAsiaTheme="minorEastAsia" w:hAnsi="Adobe Caslon Pro" w:cstheme="minorBidi"/>
              <w:b w:val="0"/>
              <w:noProof/>
              <w:sz w:val="20"/>
              <w:szCs w:val="22"/>
              <w:lang w:eastAsia="es-MX"/>
            </w:rPr>
          </w:pPr>
          <w:hyperlink w:anchor="_Toc391883394" w:history="1">
            <w:r w:rsidR="00B41860" w:rsidRPr="009E30D1">
              <w:rPr>
                <w:rStyle w:val="Hipervnculo"/>
                <w:rFonts w:ascii="Adobe Caslon Pro" w:hAnsi="Adobe Caslon Pro"/>
                <w:b w:val="0"/>
                <w:noProof/>
                <w:sz w:val="22"/>
              </w:rPr>
              <w:t>4. Conclusiones generales</w:t>
            </w:r>
            <w:r w:rsidR="00B41860" w:rsidRPr="009E30D1">
              <w:rPr>
                <w:rFonts w:ascii="Adobe Caslon Pro" w:hAnsi="Adobe Caslon Pro"/>
                <w:b w:val="0"/>
                <w:noProof/>
                <w:webHidden/>
                <w:sz w:val="22"/>
              </w:rPr>
              <w:tab/>
            </w:r>
            <w:r w:rsidR="00B41860" w:rsidRPr="009E30D1">
              <w:rPr>
                <w:rFonts w:ascii="Adobe Caslon Pro" w:hAnsi="Adobe Caslon Pro"/>
                <w:b w:val="0"/>
                <w:noProof/>
                <w:webHidden/>
                <w:sz w:val="22"/>
              </w:rPr>
              <w:fldChar w:fldCharType="begin"/>
            </w:r>
            <w:r w:rsidR="00B41860" w:rsidRPr="009E30D1">
              <w:rPr>
                <w:rFonts w:ascii="Adobe Caslon Pro" w:hAnsi="Adobe Caslon Pro"/>
                <w:b w:val="0"/>
                <w:noProof/>
                <w:webHidden/>
                <w:sz w:val="22"/>
              </w:rPr>
              <w:instrText xml:space="preserve"> PAGEREF _Toc391883394 \h </w:instrText>
            </w:r>
            <w:r w:rsidR="00B41860" w:rsidRPr="009E30D1">
              <w:rPr>
                <w:rFonts w:ascii="Adobe Caslon Pro" w:hAnsi="Adobe Caslon Pro"/>
                <w:b w:val="0"/>
                <w:noProof/>
                <w:webHidden/>
                <w:sz w:val="22"/>
              </w:rPr>
            </w:r>
            <w:r w:rsidR="00B41860" w:rsidRPr="009E30D1">
              <w:rPr>
                <w:rFonts w:ascii="Adobe Caslon Pro" w:hAnsi="Adobe Caslon Pro"/>
                <w:b w:val="0"/>
                <w:noProof/>
                <w:webHidden/>
                <w:sz w:val="22"/>
              </w:rPr>
              <w:fldChar w:fldCharType="separate"/>
            </w:r>
            <w:r w:rsidR="00B41860" w:rsidRPr="009E30D1">
              <w:rPr>
                <w:rFonts w:ascii="Adobe Caslon Pro" w:hAnsi="Adobe Caslon Pro"/>
                <w:b w:val="0"/>
                <w:noProof/>
                <w:webHidden/>
                <w:sz w:val="22"/>
              </w:rPr>
              <w:t>116</w:t>
            </w:r>
            <w:r w:rsidR="00B41860" w:rsidRPr="009E30D1">
              <w:rPr>
                <w:rFonts w:ascii="Adobe Caslon Pro" w:hAnsi="Adobe Caslon Pro"/>
                <w:b w:val="0"/>
                <w:noProof/>
                <w:webHidden/>
                <w:sz w:val="22"/>
              </w:rPr>
              <w:fldChar w:fldCharType="end"/>
            </w:r>
          </w:hyperlink>
        </w:p>
        <w:p w:rsidR="00B41860" w:rsidRPr="009E30D1" w:rsidRDefault="006E5628" w:rsidP="00B41860">
          <w:pPr>
            <w:pStyle w:val="TDC1"/>
            <w:tabs>
              <w:tab w:val="right" w:leader="dot" w:pos="8828"/>
            </w:tabs>
            <w:spacing w:line="240" w:lineRule="auto"/>
            <w:rPr>
              <w:rFonts w:ascii="Adobe Caslon Pro" w:eastAsiaTheme="minorEastAsia" w:hAnsi="Adobe Caslon Pro" w:cstheme="minorBidi"/>
              <w:b w:val="0"/>
              <w:noProof/>
              <w:sz w:val="20"/>
              <w:szCs w:val="22"/>
              <w:lang w:eastAsia="es-MX"/>
            </w:rPr>
          </w:pPr>
          <w:hyperlink w:anchor="_Toc391883395" w:history="1">
            <w:r w:rsidR="00B41860" w:rsidRPr="009E30D1">
              <w:rPr>
                <w:rStyle w:val="Hipervnculo"/>
                <w:rFonts w:ascii="Adobe Caslon Pro" w:hAnsi="Adobe Caslon Pro"/>
                <w:b w:val="0"/>
                <w:noProof/>
                <w:sz w:val="22"/>
              </w:rPr>
              <w:t>5. Bibliografía</w:t>
            </w:r>
            <w:r w:rsidR="00B41860" w:rsidRPr="009E30D1">
              <w:rPr>
                <w:rFonts w:ascii="Adobe Caslon Pro" w:hAnsi="Adobe Caslon Pro"/>
                <w:b w:val="0"/>
                <w:noProof/>
                <w:webHidden/>
                <w:sz w:val="22"/>
              </w:rPr>
              <w:tab/>
            </w:r>
            <w:r w:rsidR="00B41860" w:rsidRPr="009E30D1">
              <w:rPr>
                <w:rFonts w:ascii="Adobe Caslon Pro" w:hAnsi="Adobe Caslon Pro"/>
                <w:b w:val="0"/>
                <w:noProof/>
                <w:webHidden/>
                <w:sz w:val="22"/>
              </w:rPr>
              <w:fldChar w:fldCharType="begin"/>
            </w:r>
            <w:r w:rsidR="00B41860" w:rsidRPr="009E30D1">
              <w:rPr>
                <w:rFonts w:ascii="Adobe Caslon Pro" w:hAnsi="Adobe Caslon Pro"/>
                <w:b w:val="0"/>
                <w:noProof/>
                <w:webHidden/>
                <w:sz w:val="22"/>
              </w:rPr>
              <w:instrText xml:space="preserve"> PAGEREF _Toc391883395 \h </w:instrText>
            </w:r>
            <w:r w:rsidR="00B41860" w:rsidRPr="009E30D1">
              <w:rPr>
                <w:rFonts w:ascii="Adobe Caslon Pro" w:hAnsi="Adobe Caslon Pro"/>
                <w:b w:val="0"/>
                <w:noProof/>
                <w:webHidden/>
                <w:sz w:val="22"/>
              </w:rPr>
            </w:r>
            <w:r w:rsidR="00B41860" w:rsidRPr="009E30D1">
              <w:rPr>
                <w:rFonts w:ascii="Adobe Caslon Pro" w:hAnsi="Adobe Caslon Pro"/>
                <w:b w:val="0"/>
                <w:noProof/>
                <w:webHidden/>
                <w:sz w:val="22"/>
              </w:rPr>
              <w:fldChar w:fldCharType="separate"/>
            </w:r>
            <w:r w:rsidR="00B41860" w:rsidRPr="009E30D1">
              <w:rPr>
                <w:rFonts w:ascii="Adobe Caslon Pro" w:hAnsi="Adobe Caslon Pro"/>
                <w:b w:val="0"/>
                <w:noProof/>
                <w:webHidden/>
                <w:sz w:val="22"/>
              </w:rPr>
              <w:t>119</w:t>
            </w:r>
            <w:r w:rsidR="00B41860" w:rsidRPr="009E30D1">
              <w:rPr>
                <w:rFonts w:ascii="Adobe Caslon Pro" w:hAnsi="Adobe Caslon Pro"/>
                <w:b w:val="0"/>
                <w:noProof/>
                <w:webHidden/>
                <w:sz w:val="22"/>
              </w:rPr>
              <w:fldChar w:fldCharType="end"/>
            </w:r>
          </w:hyperlink>
        </w:p>
        <w:p w:rsidR="00B41860" w:rsidRPr="009E30D1" w:rsidRDefault="006E5628" w:rsidP="00B41860">
          <w:pPr>
            <w:pStyle w:val="TDC1"/>
            <w:tabs>
              <w:tab w:val="right" w:leader="dot" w:pos="8828"/>
            </w:tabs>
            <w:spacing w:line="240" w:lineRule="auto"/>
            <w:rPr>
              <w:rFonts w:ascii="Adobe Caslon Pro" w:eastAsiaTheme="minorEastAsia" w:hAnsi="Adobe Caslon Pro" w:cstheme="minorBidi"/>
              <w:b w:val="0"/>
              <w:noProof/>
              <w:sz w:val="20"/>
              <w:szCs w:val="22"/>
              <w:lang w:eastAsia="es-MX"/>
            </w:rPr>
          </w:pPr>
          <w:hyperlink w:anchor="_Toc391883396" w:history="1">
            <w:r w:rsidR="00B41860" w:rsidRPr="009E30D1">
              <w:rPr>
                <w:rStyle w:val="Hipervnculo"/>
                <w:rFonts w:ascii="Adobe Caslon Pro" w:hAnsi="Adobe Caslon Pro"/>
                <w:b w:val="0"/>
                <w:noProof/>
                <w:sz w:val="22"/>
              </w:rPr>
              <w:t>6. Anexos</w:t>
            </w:r>
            <w:r w:rsidR="00B41860" w:rsidRPr="009E30D1">
              <w:rPr>
                <w:rFonts w:ascii="Adobe Caslon Pro" w:hAnsi="Adobe Caslon Pro"/>
                <w:b w:val="0"/>
                <w:noProof/>
                <w:webHidden/>
                <w:sz w:val="22"/>
              </w:rPr>
              <w:tab/>
            </w:r>
            <w:r w:rsidR="00B41860" w:rsidRPr="009E30D1">
              <w:rPr>
                <w:rFonts w:ascii="Adobe Caslon Pro" w:hAnsi="Adobe Caslon Pro"/>
                <w:b w:val="0"/>
                <w:noProof/>
                <w:webHidden/>
                <w:sz w:val="22"/>
              </w:rPr>
              <w:fldChar w:fldCharType="begin"/>
            </w:r>
            <w:r w:rsidR="00B41860" w:rsidRPr="009E30D1">
              <w:rPr>
                <w:rFonts w:ascii="Adobe Caslon Pro" w:hAnsi="Adobe Caslon Pro"/>
                <w:b w:val="0"/>
                <w:noProof/>
                <w:webHidden/>
                <w:sz w:val="22"/>
              </w:rPr>
              <w:instrText xml:space="preserve"> PAGEREF _Toc391883396 \h </w:instrText>
            </w:r>
            <w:r w:rsidR="00B41860" w:rsidRPr="009E30D1">
              <w:rPr>
                <w:rFonts w:ascii="Adobe Caslon Pro" w:hAnsi="Adobe Caslon Pro"/>
                <w:b w:val="0"/>
                <w:noProof/>
                <w:webHidden/>
                <w:sz w:val="22"/>
              </w:rPr>
            </w:r>
            <w:r w:rsidR="00B41860" w:rsidRPr="009E30D1">
              <w:rPr>
                <w:rFonts w:ascii="Adobe Caslon Pro" w:hAnsi="Adobe Caslon Pro"/>
                <w:b w:val="0"/>
                <w:noProof/>
                <w:webHidden/>
                <w:sz w:val="22"/>
              </w:rPr>
              <w:fldChar w:fldCharType="separate"/>
            </w:r>
            <w:r w:rsidR="00B41860" w:rsidRPr="009E30D1">
              <w:rPr>
                <w:rFonts w:ascii="Adobe Caslon Pro" w:hAnsi="Adobe Caslon Pro"/>
                <w:b w:val="0"/>
                <w:noProof/>
                <w:webHidden/>
                <w:sz w:val="22"/>
              </w:rPr>
              <w:t>129</w:t>
            </w:r>
            <w:r w:rsidR="00B41860" w:rsidRPr="009E30D1">
              <w:rPr>
                <w:rFonts w:ascii="Adobe Caslon Pro" w:hAnsi="Adobe Caslon Pro"/>
                <w:b w:val="0"/>
                <w:noProof/>
                <w:webHidden/>
                <w:sz w:val="22"/>
              </w:rPr>
              <w:fldChar w:fldCharType="end"/>
            </w:r>
          </w:hyperlink>
        </w:p>
        <w:p w:rsidR="006D794C" w:rsidRPr="009E30D1" w:rsidRDefault="006D794C" w:rsidP="00D47662">
          <w:pPr>
            <w:tabs>
              <w:tab w:val="right" w:pos="8838"/>
            </w:tabs>
            <w:spacing w:after="120" w:line="240" w:lineRule="auto"/>
            <w:rPr>
              <w:rFonts w:ascii="Adobe Caslon Pro" w:hAnsi="Adobe Caslon Pro"/>
              <w:sz w:val="20"/>
            </w:rPr>
          </w:pPr>
          <w:r w:rsidRPr="009E30D1">
            <w:rPr>
              <w:rFonts w:ascii="Adobe Caslon Pro" w:hAnsi="Adobe Caslon Pro"/>
              <w:b/>
              <w:bCs/>
              <w:sz w:val="18"/>
              <w:szCs w:val="20"/>
              <w:lang w:val="es-ES"/>
            </w:rPr>
            <w:fldChar w:fldCharType="end"/>
          </w:r>
          <w:r w:rsidR="00D47662" w:rsidRPr="009E30D1">
            <w:rPr>
              <w:rFonts w:ascii="Adobe Caslon Pro" w:hAnsi="Adobe Caslon Pro"/>
              <w:b/>
              <w:bCs/>
              <w:sz w:val="18"/>
              <w:szCs w:val="20"/>
              <w:lang w:val="es-ES"/>
            </w:rPr>
            <w:tab/>
          </w:r>
        </w:p>
      </w:sdtContent>
    </w:sdt>
    <w:p w:rsidR="004D3A7C" w:rsidRPr="009E30D1" w:rsidRDefault="004D3A7C" w:rsidP="00D47662">
      <w:pPr>
        <w:pStyle w:val="Ttulo2"/>
        <w:rPr>
          <w:sz w:val="20"/>
        </w:rPr>
      </w:pPr>
      <w:r w:rsidRPr="009E30D1">
        <w:rPr>
          <w:sz w:val="20"/>
        </w:rPr>
        <w:br w:type="page"/>
      </w:r>
      <w:bookmarkStart w:id="5" w:name="_Toc391883369"/>
      <w:r w:rsidR="00DC3F30" w:rsidRPr="009E30D1">
        <w:lastRenderedPageBreak/>
        <w:t xml:space="preserve">1. </w:t>
      </w:r>
      <w:r w:rsidRPr="009E30D1">
        <w:t>Introducción</w:t>
      </w:r>
      <w:bookmarkEnd w:id="5"/>
      <w:r w:rsidRPr="009E30D1">
        <w:t xml:space="preserve"> </w:t>
      </w:r>
    </w:p>
    <w:p w:rsidR="004D3A7C" w:rsidRPr="009E30D1" w:rsidRDefault="004D3A7C" w:rsidP="00B85C0B">
      <w:pPr>
        <w:spacing w:after="120" w:line="240" w:lineRule="auto"/>
        <w:jc w:val="both"/>
        <w:rPr>
          <w:rFonts w:ascii="Adobe Caslon Pro" w:hAnsi="Adobe Caslon Pro" w:cs="Arial"/>
          <w:bCs/>
          <w:lang w:val="es-ES"/>
        </w:rPr>
      </w:pPr>
      <w:r w:rsidRPr="009E30D1">
        <w:rPr>
          <w:rFonts w:ascii="Adobe Caslon Pro" w:hAnsi="Adobe Caslon Pro" w:cs="Arial"/>
          <w:bCs/>
          <w:lang w:val="es-ES"/>
        </w:rPr>
        <w:t>La prevención, atención, sanción y erradicación de la violencia contra las mujeres, constituye actualmente una política integral que ha quedado garantizada en el marco de nuestra legislación, en armonía con los instrumentos y mecanismos que garantizan los derechos humanos de las mujeres en el Sistema Int</w:t>
      </w:r>
      <w:r w:rsidR="0098717D">
        <w:rPr>
          <w:rFonts w:ascii="Adobe Caslon Pro" w:hAnsi="Adobe Caslon Pro" w:cs="Arial"/>
          <w:bCs/>
          <w:lang w:val="es-ES"/>
        </w:rPr>
        <w:t>ernacional de Derechos Humanos de la ONU</w:t>
      </w:r>
      <w:r w:rsidRPr="009E30D1">
        <w:rPr>
          <w:rFonts w:ascii="Adobe Caslon Pro" w:hAnsi="Adobe Caslon Pro" w:cs="Arial"/>
          <w:bCs/>
          <w:lang w:val="es-ES"/>
        </w:rPr>
        <w:t xml:space="preserve"> y en el Sistema Inte</w:t>
      </w:r>
      <w:r w:rsidR="0098717D">
        <w:rPr>
          <w:rFonts w:ascii="Adobe Caslon Pro" w:hAnsi="Adobe Caslon Pro" w:cs="Arial"/>
          <w:bCs/>
          <w:lang w:val="es-ES"/>
        </w:rPr>
        <w:t>ramericano de Derechos Humanos  de la OEA</w:t>
      </w:r>
      <w:r w:rsidRPr="009E30D1">
        <w:rPr>
          <w:rFonts w:ascii="Adobe Caslon Pro" w:hAnsi="Adobe Caslon Pro" w:cs="Arial"/>
          <w:bCs/>
          <w:lang w:val="es-ES"/>
        </w:rPr>
        <w:t>. Así, la igualdad de oportunidades y pleno ejercicio de derechos (</w:t>
      </w:r>
      <w:r w:rsidR="0098717D">
        <w:rPr>
          <w:rFonts w:ascii="Adobe Caslon Pro" w:hAnsi="Adobe Caslon Pro" w:cs="Arial"/>
          <w:bCs/>
          <w:lang w:val="es-ES"/>
        </w:rPr>
        <w:t xml:space="preserve">lo que incluye el acceso a una </w:t>
      </w:r>
      <w:r w:rsidRPr="009E30D1">
        <w:rPr>
          <w:rFonts w:ascii="Adobe Caslon Pro" w:hAnsi="Adobe Caslon Pro" w:cs="Arial"/>
          <w:bCs/>
          <w:lang w:val="es-ES"/>
        </w:rPr>
        <w:t xml:space="preserve">vida libre de violencia), son los dos pilares jurídicos que sustentan esta política nacional integral, intersectorial, interdisciplinaria y transversal de la perspectiva de género en todos los ámbitos de nuestra existencia social; cuyo </w:t>
      </w:r>
      <w:r w:rsidR="0098717D">
        <w:rPr>
          <w:rFonts w:ascii="Adobe Caslon Pro" w:hAnsi="Adobe Caslon Pro" w:cs="Arial"/>
          <w:bCs/>
          <w:lang w:val="es-ES"/>
        </w:rPr>
        <w:t>garante principal es el Estado m</w:t>
      </w:r>
      <w:r w:rsidRPr="009E30D1">
        <w:rPr>
          <w:rFonts w:ascii="Adobe Caslon Pro" w:hAnsi="Adobe Caslon Pro" w:cs="Arial"/>
          <w:bCs/>
          <w:lang w:val="es-ES"/>
        </w:rPr>
        <w:t xml:space="preserve">exicano, en el marco de los tratados internacionales suscritos en la materia. </w:t>
      </w:r>
    </w:p>
    <w:p w:rsidR="004D3A7C" w:rsidRPr="009E30D1" w:rsidRDefault="004D3A7C" w:rsidP="00B85C0B">
      <w:pPr>
        <w:spacing w:after="120" w:line="240" w:lineRule="auto"/>
        <w:jc w:val="both"/>
        <w:rPr>
          <w:rFonts w:ascii="Adobe Caslon Pro" w:eastAsia="Times New Roman" w:hAnsi="Adobe Caslon Pro" w:cs="Arial"/>
          <w:bCs/>
        </w:rPr>
      </w:pPr>
      <w:r w:rsidRPr="009E30D1">
        <w:rPr>
          <w:rFonts w:ascii="Adobe Caslon Pro" w:hAnsi="Adobe Caslon Pro"/>
        </w:rPr>
        <w:t xml:space="preserve">En este documento se presentan </w:t>
      </w:r>
      <w:r w:rsidRPr="009E30D1">
        <w:rPr>
          <w:rFonts w:ascii="Adobe Caslon Pro" w:hAnsi="Adobe Caslon Pro" w:cs="Arial"/>
          <w:bCs/>
        </w:rPr>
        <w:t xml:space="preserve">los resultados del diagnóstico y de la propuesta de atención del PAIMEF, los cuales fueron elaborados </w:t>
      </w:r>
      <w:r w:rsidRPr="009E30D1">
        <w:rPr>
          <w:rFonts w:ascii="Adobe Caslon Pro" w:eastAsia="Times New Roman" w:hAnsi="Adobe Caslon Pro" w:cs="Arial"/>
          <w:bCs/>
        </w:rPr>
        <w:t xml:space="preserve">con base en lo establecido por los </w:t>
      </w:r>
      <w:r w:rsidRPr="009E30D1">
        <w:rPr>
          <w:rFonts w:ascii="Adobe Caslon Pro" w:eastAsia="Times New Roman" w:hAnsi="Adobe Caslon Pro" w:cs="Arial"/>
          <w:bCs/>
          <w:i/>
        </w:rPr>
        <w:t>Lineamientos generales para la elaboración de diagnósticos de cuyos resultados se obtienen propuestas de atención de Programas de Desarrollo Social</w:t>
      </w:r>
      <w:r w:rsidRPr="009E30D1">
        <w:rPr>
          <w:rFonts w:ascii="Adobe Caslon Pro" w:eastAsia="Times New Roman" w:hAnsi="Adobe Caslon Pro" w:cs="Arial"/>
          <w:bCs/>
        </w:rPr>
        <w:t xml:space="preserve">, publicados en el DOF en 2009. Adicionalmente, se observó que los contenidos vertidos en el documento sean consistentes con lo establecido por CONEVAL en su Guía </w:t>
      </w:r>
      <w:r w:rsidRPr="009E30D1">
        <w:rPr>
          <w:rFonts w:ascii="Adobe Caslon Pro" w:eastAsia="Times New Roman" w:hAnsi="Adobe Caslon Pro" w:cs="Arial"/>
          <w:bCs/>
          <w:i/>
        </w:rPr>
        <w:t>Elementos mínimos a considerar en la elaboración de diagnósticos de programas nuevos</w:t>
      </w:r>
      <w:r w:rsidRPr="009E30D1">
        <w:rPr>
          <w:rFonts w:ascii="Adobe Caslon Pro" w:eastAsia="Times New Roman" w:hAnsi="Adobe Caslon Pro" w:cs="Arial"/>
          <w:bCs/>
        </w:rPr>
        <w:t xml:space="preserve">. Asimismo, el Programa Anual de Evaluación para el Ejercicio Fiscal 2014 de los Programas de la Administración Pública Federal establece que el PAIMEF es sujeto de realizar un diagnóstico. </w:t>
      </w:r>
    </w:p>
    <w:p w:rsidR="004D3A7C" w:rsidRPr="009E30D1" w:rsidRDefault="004D3A7C" w:rsidP="00B85C0B">
      <w:pPr>
        <w:spacing w:after="120" w:line="240" w:lineRule="auto"/>
        <w:jc w:val="both"/>
        <w:rPr>
          <w:rFonts w:ascii="Adobe Caslon Pro" w:hAnsi="Adobe Caslon Pro"/>
        </w:rPr>
      </w:pPr>
      <w:r w:rsidRPr="009E30D1">
        <w:rPr>
          <w:rFonts w:ascii="Adobe Caslon Pro" w:hAnsi="Adobe Caslon Pro" w:cs="Arial"/>
          <w:bCs/>
        </w:rPr>
        <w:t>La elaboración del presente documento s</w:t>
      </w:r>
      <w:r w:rsidRPr="009E30D1">
        <w:rPr>
          <w:rFonts w:ascii="Adobe Caslon Pro" w:hAnsi="Adobe Caslon Pro"/>
        </w:rPr>
        <w:t xml:space="preserve">e llevó a cabo con apego a la metodología del marco lógico, que es una herramienta que permite vincular las características principales de un programa, desde la identificación y definición del problema, el diseño de la intervención pública, la ejecución y monitoreo hasta la evaluación. La primera parte del documento </w:t>
      </w:r>
      <w:r w:rsidR="0033267B" w:rsidRPr="009E30D1">
        <w:rPr>
          <w:rFonts w:ascii="Adobe Caslon Pro" w:hAnsi="Adobe Caslon Pro"/>
        </w:rPr>
        <w:t xml:space="preserve">presenta </w:t>
      </w:r>
      <w:r w:rsidRPr="009E30D1">
        <w:rPr>
          <w:rFonts w:ascii="Adobe Caslon Pro" w:hAnsi="Adobe Caslon Pro"/>
        </w:rPr>
        <w:t xml:space="preserve">el diagnóstico en el que se analizan las principales causas que generan el problema público que el PAIMEF busca resolver, así como los efectos que éste causa, para lo </w:t>
      </w:r>
      <w:r w:rsidR="0033267B" w:rsidRPr="009E30D1">
        <w:rPr>
          <w:rFonts w:ascii="Adobe Caslon Pro" w:hAnsi="Adobe Caslon Pro"/>
        </w:rPr>
        <w:t xml:space="preserve">cual </w:t>
      </w:r>
      <w:r w:rsidRPr="009E30D1">
        <w:rPr>
          <w:rFonts w:ascii="Adobe Caslon Pro" w:hAnsi="Adobe Caslon Pro"/>
        </w:rPr>
        <w:t xml:space="preserve">resulta de utilidad el </w:t>
      </w:r>
      <w:r w:rsidR="0033267B" w:rsidRPr="009E30D1">
        <w:rPr>
          <w:rFonts w:ascii="Adobe Caslon Pro" w:hAnsi="Adobe Caslon Pro"/>
        </w:rPr>
        <w:t xml:space="preserve">desarrollo </w:t>
      </w:r>
      <w:r w:rsidRPr="009E30D1">
        <w:rPr>
          <w:rFonts w:ascii="Adobe Caslon Pro" w:hAnsi="Adobe Caslon Pro"/>
        </w:rPr>
        <w:t xml:space="preserve">del árbol del problema. Asimismo, se </w:t>
      </w:r>
      <w:r w:rsidR="000F0D42" w:rsidRPr="009E30D1">
        <w:rPr>
          <w:rFonts w:ascii="Adobe Caslon Pro" w:hAnsi="Adobe Caslon Pro"/>
        </w:rPr>
        <w:t xml:space="preserve">plantea </w:t>
      </w:r>
      <w:r w:rsidRPr="009E30D1">
        <w:rPr>
          <w:rFonts w:ascii="Adobe Caslon Pro" w:hAnsi="Adobe Caslon Pro"/>
        </w:rPr>
        <w:t xml:space="preserve">la definición, identificación y cuantificación de las poblaciones potencial y objetivo. En la segunda parte, se presenta la propuesta de atención para prevenir y atender la violencia contra las mujeres en México. Además, la propuesta de atención contiene un análisis del marco legal en el que se desarrolla la interacción entre el PAIMEF y los distintos organismos involucrados tanto a nivel local como federal. </w:t>
      </w:r>
    </w:p>
    <w:p w:rsidR="004D3A7C" w:rsidRPr="009E30D1" w:rsidRDefault="004D3A7C" w:rsidP="00B85C0B">
      <w:pPr>
        <w:spacing w:after="120" w:line="240" w:lineRule="auto"/>
        <w:jc w:val="both"/>
        <w:rPr>
          <w:rFonts w:ascii="Adobe Caslon Pro" w:hAnsi="Adobe Caslon Pro" w:cs="Arial"/>
          <w:bCs/>
        </w:rPr>
      </w:pPr>
      <w:r w:rsidRPr="009E30D1">
        <w:rPr>
          <w:rFonts w:ascii="Adobe Caslon Pro" w:hAnsi="Adobe Caslon Pro" w:cs="Arial"/>
          <w:bCs/>
        </w:rPr>
        <w:t>En</w:t>
      </w:r>
      <w:r w:rsidR="00F4489E" w:rsidRPr="009E30D1">
        <w:rPr>
          <w:rFonts w:ascii="Adobe Caslon Pro" w:hAnsi="Adobe Caslon Pro" w:cs="Arial"/>
          <w:bCs/>
        </w:rPr>
        <w:t xml:space="preserve"> el á</w:t>
      </w:r>
      <w:r w:rsidR="005A627D" w:rsidRPr="009E30D1">
        <w:rPr>
          <w:rFonts w:ascii="Adobe Caslon Pro" w:hAnsi="Adobe Caslon Pro" w:cs="Arial"/>
          <w:bCs/>
        </w:rPr>
        <w:t>rbol de</w:t>
      </w:r>
      <w:r w:rsidR="0098717D">
        <w:rPr>
          <w:rFonts w:ascii="Adobe Caslon Pro" w:hAnsi="Adobe Caslon Pro" w:cs="Arial"/>
          <w:bCs/>
        </w:rPr>
        <w:t>l problema</w:t>
      </w:r>
      <w:r w:rsidRPr="009E30D1">
        <w:rPr>
          <w:rFonts w:ascii="Adobe Caslon Pro" w:hAnsi="Adobe Caslon Pro" w:cs="Arial"/>
          <w:bCs/>
        </w:rPr>
        <w:t xml:space="preserve"> se define </w:t>
      </w:r>
      <w:r w:rsidR="00060189" w:rsidRPr="009E30D1">
        <w:rPr>
          <w:rFonts w:ascii="Adobe Caslon Pro" w:hAnsi="Adobe Caslon Pro" w:cs="Arial"/>
          <w:bCs/>
        </w:rPr>
        <w:t xml:space="preserve">como </w:t>
      </w:r>
      <w:r w:rsidRPr="009E30D1">
        <w:rPr>
          <w:rFonts w:ascii="Adobe Caslon Pro" w:hAnsi="Adobe Caslon Pro" w:cs="Arial"/>
          <w:bCs/>
        </w:rPr>
        <w:t xml:space="preserve">problema central los </w:t>
      </w:r>
      <w:r w:rsidRPr="009E30D1">
        <w:rPr>
          <w:rFonts w:ascii="Adobe Caslon Pro" w:hAnsi="Adobe Caslon Pro" w:cs="Arial"/>
          <w:bCs/>
          <w:i/>
        </w:rPr>
        <w:t>altos niveles de violencia contra las mujeres</w:t>
      </w:r>
      <w:r w:rsidR="005A627D" w:rsidRPr="009E30D1">
        <w:rPr>
          <w:rFonts w:ascii="Adobe Caslon Pro" w:hAnsi="Adobe Caslon Pro" w:cs="Arial"/>
          <w:bCs/>
        </w:rPr>
        <w:t xml:space="preserve"> con la finalidad de definir una problemática para la cual se impulsarán y fortalecerán las acciones de prevención y atención de la violencia contra las mujeres en el país</w:t>
      </w:r>
      <w:r w:rsidRPr="009E30D1">
        <w:rPr>
          <w:rFonts w:ascii="Adobe Caslon Pro" w:hAnsi="Adobe Caslon Pro" w:cs="Arial"/>
          <w:i/>
        </w:rPr>
        <w:t xml:space="preserve">. </w:t>
      </w:r>
      <w:r w:rsidR="005A627D" w:rsidRPr="009E30D1">
        <w:rPr>
          <w:rFonts w:ascii="Adobe Caslon Pro" w:hAnsi="Adobe Caslon Pro" w:cs="Arial"/>
          <w:bCs/>
        </w:rPr>
        <w:t>Es así que</w:t>
      </w:r>
      <w:r w:rsidRPr="009E30D1">
        <w:rPr>
          <w:rFonts w:ascii="Adobe Caslon Pro" w:hAnsi="Adobe Caslon Pro" w:cs="Arial"/>
          <w:bCs/>
        </w:rPr>
        <w:t xml:space="preserve"> se encontraron cuatro causas principales: 1) bajo nivel de empoderamiento de las mujeres, 2) discriminación contra las mujeres, 3) </w:t>
      </w:r>
      <w:r w:rsidR="008A46E4" w:rsidRPr="009E30D1">
        <w:rPr>
          <w:rFonts w:ascii="Adobe Caslon Pro" w:hAnsi="Adobe Caslon Pro" w:cs="Arial"/>
          <w:bCs/>
        </w:rPr>
        <w:t xml:space="preserve">deficiente atención de la violencia contra las mujeres </w:t>
      </w:r>
      <w:r w:rsidRPr="009E30D1">
        <w:rPr>
          <w:rFonts w:ascii="Adobe Caslon Pro" w:hAnsi="Adobe Caslon Pro" w:cs="Arial"/>
          <w:bCs/>
        </w:rPr>
        <w:t xml:space="preserve">y 4) </w:t>
      </w:r>
      <w:r w:rsidR="008A46E4" w:rsidRPr="009E30D1">
        <w:rPr>
          <w:rFonts w:ascii="Adobe Caslon Pro" w:hAnsi="Adobe Caslon Pro" w:cs="Arial"/>
          <w:bCs/>
        </w:rPr>
        <w:t xml:space="preserve">bajos </w:t>
      </w:r>
      <w:r w:rsidR="008A46E4" w:rsidRPr="009E30D1">
        <w:rPr>
          <w:rFonts w:ascii="Adobe Caslon Pro" w:hAnsi="Adobe Caslon Pro" w:cs="Arial"/>
          <w:bCs/>
        </w:rPr>
        <w:lastRenderedPageBreak/>
        <w:t>niveles de procuración de justicia derivados de la violencia contra las mujeres</w:t>
      </w:r>
      <w:r w:rsidRPr="009E30D1">
        <w:rPr>
          <w:rFonts w:ascii="Adobe Caslon Pro" w:hAnsi="Adobe Caslon Pro" w:cs="Arial"/>
          <w:bCs/>
        </w:rPr>
        <w:t xml:space="preserve">. Asimismo, se encontró que los efectos principales de la problemática son: 1) exclusión social de las mujeres y 2) mayor prevalencia de daños a la salud por violencia contra las mujeres, lo que se traduce finalmente en una </w:t>
      </w:r>
      <w:r w:rsidRPr="009E30D1">
        <w:rPr>
          <w:rFonts w:ascii="Adobe Caslon Pro" w:hAnsi="Adobe Caslon Pro" w:cs="Arial"/>
          <w:bCs/>
          <w:i/>
        </w:rPr>
        <w:t>sociedad desigual en el ejercicio de sus derechos</w:t>
      </w:r>
      <w:r w:rsidRPr="009E30D1">
        <w:rPr>
          <w:rFonts w:ascii="Adobe Caslon Pro" w:hAnsi="Adobe Caslon Pro" w:cs="Arial"/>
          <w:bCs/>
        </w:rPr>
        <w:t xml:space="preserve">. </w:t>
      </w:r>
    </w:p>
    <w:p w:rsidR="004D3A7C" w:rsidRPr="009E30D1" w:rsidRDefault="004D3A7C" w:rsidP="00B85C0B">
      <w:pPr>
        <w:spacing w:after="120" w:line="240" w:lineRule="auto"/>
        <w:jc w:val="both"/>
        <w:rPr>
          <w:rFonts w:ascii="Adobe Caslon Pro" w:hAnsi="Adobe Caslon Pro"/>
        </w:rPr>
      </w:pPr>
      <w:r w:rsidRPr="009E30D1">
        <w:rPr>
          <w:rFonts w:ascii="Adobe Caslon Pro" w:hAnsi="Adobe Caslon Pro" w:cs="Arial"/>
          <w:bCs/>
        </w:rPr>
        <w:t xml:space="preserve">Del análisis </w:t>
      </w:r>
      <w:r w:rsidR="000F0D42" w:rsidRPr="009E30D1">
        <w:rPr>
          <w:rFonts w:ascii="Adobe Caslon Pro" w:hAnsi="Adobe Caslon Pro" w:cs="Arial"/>
          <w:bCs/>
        </w:rPr>
        <w:t xml:space="preserve">realizado en </w:t>
      </w:r>
      <w:r w:rsidRPr="009E30D1">
        <w:rPr>
          <w:rFonts w:ascii="Adobe Caslon Pro" w:hAnsi="Adobe Caslon Pro" w:cs="Arial"/>
          <w:bCs/>
        </w:rPr>
        <w:t>el diagnóstico</w:t>
      </w:r>
      <w:r w:rsidR="000F0D42" w:rsidRPr="009E30D1">
        <w:rPr>
          <w:rFonts w:ascii="Adobe Caslon Pro" w:hAnsi="Adobe Caslon Pro" w:cs="Arial"/>
          <w:bCs/>
        </w:rPr>
        <w:t>,</w:t>
      </w:r>
      <w:r w:rsidRPr="009E30D1">
        <w:rPr>
          <w:rFonts w:ascii="Adobe Caslon Pro" w:hAnsi="Adobe Caslon Pro" w:cs="Arial"/>
          <w:bCs/>
        </w:rPr>
        <w:t xml:space="preserve"> se puede concluir que </w:t>
      </w:r>
      <w:r w:rsidRPr="009E30D1">
        <w:rPr>
          <w:rFonts w:ascii="Adobe Caslon Pro" w:hAnsi="Adobe Caslon Pro"/>
        </w:rPr>
        <w:t xml:space="preserve">para eliminar la violencia contra las mujeres en México es necesario reconocer que esta es una violación </w:t>
      </w:r>
      <w:r w:rsidR="00EE6534" w:rsidRPr="009E30D1">
        <w:rPr>
          <w:rFonts w:ascii="Adobe Caslon Pro" w:hAnsi="Adobe Caslon Pro"/>
        </w:rPr>
        <w:t xml:space="preserve">sistemática </w:t>
      </w:r>
      <w:r w:rsidRPr="009E30D1">
        <w:rPr>
          <w:rFonts w:ascii="Adobe Caslon Pro" w:hAnsi="Adobe Caslon Pro"/>
        </w:rPr>
        <w:t>de los derechos humanos y sociales de las mujeres, misma que se encuentra arraigada en las relaciones de poder históricamente desiguales entre los hombres y las mujeres. Asimismo, es necesario tomar medidas adecuadas para la atención y prevención de las principales causas del problema. Para ello, es preciso elaborar una propuesta de atención viable, en el marco de las atribuciones de la SEDESOL y el INDESOL, con el fin de propiciar sinergias con</w:t>
      </w:r>
      <w:r w:rsidR="00EE6534" w:rsidRPr="009E30D1">
        <w:rPr>
          <w:rFonts w:ascii="Adobe Caslon Pro" w:hAnsi="Adobe Caslon Pro"/>
        </w:rPr>
        <w:t xml:space="preserve"> diversos actores sociales, con</w:t>
      </w:r>
      <w:r w:rsidRPr="009E30D1">
        <w:rPr>
          <w:rFonts w:ascii="Adobe Caslon Pro" w:hAnsi="Adobe Caslon Pro"/>
        </w:rPr>
        <w:t xml:space="preserve"> otra</w:t>
      </w:r>
      <w:r w:rsidR="0098717D">
        <w:rPr>
          <w:rFonts w:ascii="Adobe Caslon Pro" w:hAnsi="Adobe Caslon Pro"/>
        </w:rPr>
        <w:t>s dependencias y entidades del g</w:t>
      </w:r>
      <w:r w:rsidRPr="009E30D1">
        <w:rPr>
          <w:rFonts w:ascii="Adobe Caslon Pro" w:hAnsi="Adobe Caslon Pro"/>
        </w:rPr>
        <w:t>obierno de la Repúblic</w:t>
      </w:r>
      <w:r w:rsidR="0098717D">
        <w:rPr>
          <w:rFonts w:ascii="Adobe Caslon Pro" w:hAnsi="Adobe Caslon Pro"/>
        </w:rPr>
        <w:t>a, así como con los diferentes órdenes de g</w:t>
      </w:r>
      <w:r w:rsidRPr="009E30D1">
        <w:rPr>
          <w:rFonts w:ascii="Adobe Caslon Pro" w:hAnsi="Adobe Caslon Pro"/>
        </w:rPr>
        <w:t>obierno para dar una respuesta eficiente e integral al problema.</w:t>
      </w:r>
    </w:p>
    <w:p w:rsidR="004D3A7C" w:rsidRPr="009E30D1" w:rsidRDefault="004D3A7C" w:rsidP="00B85C0B">
      <w:pPr>
        <w:spacing w:after="120" w:line="240" w:lineRule="auto"/>
        <w:jc w:val="both"/>
        <w:rPr>
          <w:rFonts w:ascii="Adobe Caslon Pro" w:hAnsi="Adobe Caslon Pro" w:cs="Arial"/>
          <w:bCs/>
        </w:rPr>
      </w:pPr>
      <w:r w:rsidRPr="009E30D1">
        <w:rPr>
          <w:rFonts w:ascii="Adobe Caslon Pro" w:hAnsi="Adobe Caslon Pro" w:cs="Arial"/>
          <w:bCs/>
        </w:rPr>
        <w:t>En respuesta a lo anterior, en la sección de la propuesta de atención se identifican los elementos de intervención que permiten desarrollar una plataforma básica conceptual y operativa enfocada a</w:t>
      </w:r>
      <w:r w:rsidR="00B70C57" w:rsidRPr="009E30D1">
        <w:rPr>
          <w:rFonts w:ascii="Adobe Caslon Pro" w:hAnsi="Adobe Caslon Pro" w:cs="Arial"/>
          <w:bCs/>
        </w:rPr>
        <w:t>l abordaje</w:t>
      </w:r>
      <w:r w:rsidRPr="009E30D1">
        <w:rPr>
          <w:rFonts w:ascii="Adobe Caslon Pro" w:hAnsi="Adobe Caslon Pro" w:cs="Arial"/>
          <w:bCs/>
        </w:rPr>
        <w:t xml:space="preserve"> del problema</w:t>
      </w:r>
      <w:r w:rsidR="00B70C57" w:rsidRPr="009E30D1">
        <w:rPr>
          <w:rFonts w:ascii="Adobe Caslon Pro" w:hAnsi="Adobe Caslon Pro" w:cs="Arial"/>
          <w:bCs/>
        </w:rPr>
        <w:t xml:space="preserve"> desde el ámbito del desarrollo social</w:t>
      </w:r>
      <w:r w:rsidRPr="009E30D1">
        <w:rPr>
          <w:rFonts w:ascii="Adobe Caslon Pro" w:hAnsi="Adobe Caslon Pro" w:cs="Arial"/>
          <w:bCs/>
        </w:rPr>
        <w:t xml:space="preserve">. Asimismo, conforme a las particularidades de </w:t>
      </w:r>
      <w:r w:rsidR="00B70C57" w:rsidRPr="009E30D1">
        <w:rPr>
          <w:rFonts w:ascii="Adobe Caslon Pro" w:hAnsi="Adobe Caslon Pro" w:cs="Arial"/>
          <w:bCs/>
        </w:rPr>
        <w:t xml:space="preserve">la </w:t>
      </w:r>
      <w:r w:rsidRPr="009E30D1">
        <w:rPr>
          <w:rFonts w:ascii="Adobe Caslon Pro" w:hAnsi="Adobe Caslon Pro" w:cs="Arial"/>
          <w:bCs/>
        </w:rPr>
        <w:t xml:space="preserve">atención y prevención de la violencia se definen los objetivos; los mecanismos de focalización de acciones en torno a la priorización de personas beneficiarias; se establecen los tipos de apoyos y las condiciones relacionadas con éstos; así como la definición de las estrategias y actividades a realizar. </w:t>
      </w:r>
      <w:r w:rsidR="00EE6534" w:rsidRPr="009E30D1">
        <w:rPr>
          <w:rFonts w:ascii="Adobe Caslon Pro" w:hAnsi="Adobe Caslon Pro" w:cs="Arial"/>
          <w:bCs/>
        </w:rPr>
        <w:t>De igual manera</w:t>
      </w:r>
      <w:r w:rsidRPr="009E30D1">
        <w:rPr>
          <w:rFonts w:ascii="Adobe Caslon Pro" w:hAnsi="Adobe Caslon Pro" w:cs="Arial"/>
          <w:bCs/>
        </w:rPr>
        <w:t xml:space="preserve">, se realiza una breve descripción sobre experiencias de atención relacionadas con la problemática a nivel nacional e internacional. </w:t>
      </w:r>
    </w:p>
    <w:p w:rsidR="004D3A7C" w:rsidRPr="009E30D1" w:rsidRDefault="004D3A7C" w:rsidP="00B85C0B">
      <w:pPr>
        <w:spacing w:after="120" w:line="240" w:lineRule="auto"/>
        <w:jc w:val="both"/>
        <w:rPr>
          <w:rFonts w:ascii="Adobe Caslon Pro" w:hAnsi="Adobe Caslon Pro"/>
        </w:rPr>
      </w:pPr>
      <w:r w:rsidRPr="009E30D1">
        <w:rPr>
          <w:rFonts w:ascii="Adobe Caslon Pro" w:hAnsi="Adobe Caslon Pro" w:cs="Arial"/>
          <w:bCs/>
        </w:rPr>
        <w:t xml:space="preserve">Al final del documento, se presentan los resultados y conclusiones más relevantes que permiten comprender de mejor manera el problema público que se busca atender a través del diseño y la implementación del PAIMEF en el territorio nacional. Lo cual servirá como documento de insumo para la planeación nacional y prospectiva del programa, así como </w:t>
      </w:r>
      <w:r w:rsidR="00EE6534" w:rsidRPr="009E30D1">
        <w:rPr>
          <w:rFonts w:ascii="Adobe Caslon Pro" w:hAnsi="Adobe Caslon Pro" w:cs="Arial"/>
          <w:bCs/>
        </w:rPr>
        <w:t xml:space="preserve">para </w:t>
      </w:r>
      <w:r w:rsidRPr="009E30D1">
        <w:rPr>
          <w:rFonts w:ascii="Adobe Caslon Pro" w:hAnsi="Adobe Caslon Pro" w:cs="Arial"/>
          <w:bCs/>
        </w:rPr>
        <w:t xml:space="preserve">las evaluaciones </w:t>
      </w:r>
      <w:r w:rsidR="00EE6534" w:rsidRPr="009E30D1">
        <w:rPr>
          <w:rFonts w:ascii="Adobe Caslon Pro" w:hAnsi="Adobe Caslon Pro" w:cs="Arial"/>
          <w:bCs/>
        </w:rPr>
        <w:t xml:space="preserve">a </w:t>
      </w:r>
      <w:r w:rsidRPr="009E30D1">
        <w:rPr>
          <w:rFonts w:ascii="Adobe Caslon Pro" w:hAnsi="Adobe Caslon Pro" w:cs="Arial"/>
          <w:bCs/>
        </w:rPr>
        <w:t>las que es</w:t>
      </w:r>
      <w:r w:rsidR="00EE6534" w:rsidRPr="009E30D1">
        <w:rPr>
          <w:rFonts w:ascii="Adobe Caslon Pro" w:hAnsi="Adobe Caslon Pro" w:cs="Arial"/>
          <w:bCs/>
        </w:rPr>
        <w:t>tá</w:t>
      </w:r>
      <w:r w:rsidRPr="009E30D1">
        <w:rPr>
          <w:rFonts w:ascii="Adobe Caslon Pro" w:hAnsi="Adobe Caslon Pro" w:cs="Arial"/>
          <w:bCs/>
        </w:rPr>
        <w:t xml:space="preserve"> sujeto el programa.</w:t>
      </w:r>
    </w:p>
    <w:p w:rsidR="001C50F8" w:rsidRPr="009E30D1" w:rsidRDefault="004D3A7C" w:rsidP="00B85C0B">
      <w:pPr>
        <w:spacing w:after="120"/>
        <w:rPr>
          <w:rFonts w:ascii="Adobe Caslon Pro" w:hAnsi="Adobe Caslon Pro"/>
          <w:sz w:val="20"/>
        </w:rPr>
      </w:pPr>
      <w:r w:rsidRPr="009E30D1">
        <w:br w:type="page"/>
      </w:r>
    </w:p>
    <w:p w:rsidR="009F452A" w:rsidRPr="009E30D1" w:rsidRDefault="009F452A" w:rsidP="00B85C0B">
      <w:pPr>
        <w:spacing w:after="120"/>
        <w:rPr>
          <w:rFonts w:ascii="Adobe Caslon Pro" w:eastAsiaTheme="majorEastAsia" w:hAnsi="Adobe Caslon Pro" w:cstheme="majorBidi"/>
          <w:b/>
          <w:bCs/>
          <w:color w:val="C00000"/>
        </w:rPr>
      </w:pPr>
      <w:r w:rsidRPr="009E30D1">
        <w:rPr>
          <w:noProof/>
          <w:lang w:eastAsia="es-MX"/>
        </w:rPr>
        <w:lastRenderedPageBreak/>
        <mc:AlternateContent>
          <mc:Choice Requires="wps">
            <w:drawing>
              <wp:anchor distT="0" distB="0" distL="114300" distR="114300" simplePos="0" relativeHeight="251665408" behindDoc="0" locked="0" layoutInCell="1" allowOverlap="1" wp14:anchorId="1B3AE3C4" wp14:editId="3D40863C">
                <wp:simplePos x="0" y="0"/>
                <wp:positionH relativeFrom="column">
                  <wp:posOffset>1318260</wp:posOffset>
                </wp:positionH>
                <wp:positionV relativeFrom="paragraph">
                  <wp:posOffset>8501380</wp:posOffset>
                </wp:positionV>
                <wp:extent cx="5391150" cy="1261110"/>
                <wp:effectExtent l="0" t="0" r="0" b="0"/>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1261110"/>
                        </a:xfrm>
                        <a:prstGeom prst="rect">
                          <a:avLst/>
                        </a:prstGeom>
                        <a:noFill/>
                        <a:ln w="6350">
                          <a:noFill/>
                        </a:ln>
                        <a:effectLst/>
                      </wps:spPr>
                      <wps:txbx>
                        <w:txbxContent>
                          <w:p w:rsidR="0098717D" w:rsidRPr="009F452A" w:rsidRDefault="0098717D" w:rsidP="0082753F">
                            <w:pPr>
                              <w:pStyle w:val="Ttulo1"/>
                              <w:numPr>
                                <w:ilvl w:val="0"/>
                                <w:numId w:val="50"/>
                              </w:numPr>
                              <w:jc w:val="right"/>
                              <w:rPr>
                                <w:color w:val="FFFFFF" w:themeColor="background1"/>
                                <w:sz w:val="96"/>
                              </w:rPr>
                            </w:pPr>
                            <w:bookmarkStart w:id="6" w:name="_Toc391883370"/>
                            <w:bookmarkStart w:id="7" w:name="_Toc389597383"/>
                            <w:bookmarkStart w:id="8" w:name="_Toc389597858"/>
                            <w:r w:rsidRPr="009F452A">
                              <w:rPr>
                                <w:color w:val="FFFFFF" w:themeColor="background1"/>
                                <w:sz w:val="96"/>
                              </w:rPr>
                              <w:t>Diagnóstico</w:t>
                            </w:r>
                            <w:bookmarkEnd w:id="6"/>
                            <w:r w:rsidRPr="009F452A">
                              <w:rPr>
                                <w:color w:val="FFFFFF" w:themeColor="background1"/>
                                <w:sz w:val="96"/>
                              </w:rPr>
                              <w:t xml:space="preserve"> </w:t>
                            </w:r>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8" o:spid="_x0000_s1027" type="#_x0000_t202" style="position:absolute;margin-left:103.8pt;margin-top:669.4pt;width:424.5pt;height:9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" filled="f" stroked="f" strokeweight=".5pt">
                <v:path arrowok="t"/>
                <v:textbox>
                  <w:txbxContent>
                    <w:p w:rsidR="0098717D" w:rsidRPr="009F452A" w:rsidRDefault="0098717D" w:rsidP="0082753F">
                      <w:pPr>
                        <w:pStyle w:val="Ttulo1"/>
                        <w:numPr>
                          <w:ilvl w:val="0"/>
                          <w:numId w:val="50"/>
                        </w:numPr>
                        <w:jc w:val="right"/>
                        <w:rPr>
                          <w:color w:val="FFFFFF" w:themeColor="background1"/>
                          <w:sz w:val="96"/>
                        </w:rPr>
                      </w:pPr>
                      <w:bookmarkStart w:id="9" w:name="_Toc391883370"/>
                      <w:bookmarkStart w:id="10" w:name="_Toc389597383"/>
                      <w:bookmarkStart w:id="11" w:name="_Toc389597858"/>
                      <w:r w:rsidRPr="009F452A">
                        <w:rPr>
                          <w:color w:val="FFFFFF" w:themeColor="background1"/>
                          <w:sz w:val="96"/>
                        </w:rPr>
                        <w:t>Diagnóstico</w:t>
                      </w:r>
                      <w:bookmarkEnd w:id="9"/>
                      <w:r w:rsidRPr="009F452A">
                        <w:rPr>
                          <w:color w:val="FFFFFF" w:themeColor="background1"/>
                          <w:sz w:val="96"/>
                        </w:rPr>
                        <w:t xml:space="preserve"> </w:t>
                      </w:r>
                      <w:bookmarkEnd w:id="10"/>
                      <w:bookmarkEnd w:id="11"/>
                    </w:p>
                  </w:txbxContent>
                </v:textbox>
                <w10:wrap type="square"/>
              </v:shape>
            </w:pict>
          </mc:Fallback>
        </mc:AlternateContent>
      </w:r>
      <w:r w:rsidRPr="009E30D1">
        <w:rPr>
          <w:noProof/>
          <w:lang w:eastAsia="es-MX"/>
        </w:rPr>
        <w:drawing>
          <wp:anchor distT="0" distB="0" distL="114300" distR="114300" simplePos="0" relativeHeight="251664384" behindDoc="0" locked="0" layoutInCell="1" allowOverlap="1" wp14:anchorId="6F6A6FD4" wp14:editId="61511585">
            <wp:simplePos x="0" y="0"/>
            <wp:positionH relativeFrom="column">
              <wp:posOffset>-1145540</wp:posOffset>
            </wp:positionH>
            <wp:positionV relativeFrom="paragraph">
              <wp:posOffset>-226695</wp:posOffset>
            </wp:positionV>
            <wp:extent cx="7787640" cy="10094595"/>
            <wp:effectExtent l="0" t="0" r="3810" b="1905"/>
            <wp:wrapSquare wrapText="bothSides"/>
            <wp:docPr id="27" name="Imagen 27"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9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D1">
        <w:t>Diagnóstico</w:t>
      </w:r>
      <w:r w:rsidRPr="009E30D1">
        <w:rPr>
          <w:noProof/>
          <w:lang w:eastAsia="es-MX"/>
        </w:rPr>
        <w:t xml:space="preserve"> </w:t>
      </w:r>
      <w:r w:rsidRPr="009E30D1">
        <w:br w:type="page"/>
      </w:r>
    </w:p>
    <w:p w:rsidR="00AB79FC" w:rsidRPr="009E30D1" w:rsidRDefault="00DC3F30" w:rsidP="00B85C0B">
      <w:pPr>
        <w:pStyle w:val="Ttulo2"/>
        <w:spacing w:before="0" w:after="120"/>
      </w:pPr>
      <w:bookmarkStart w:id="9" w:name="_Toc391883371"/>
      <w:r w:rsidRPr="009E30D1">
        <w:lastRenderedPageBreak/>
        <w:t>2.1</w:t>
      </w:r>
      <w:r w:rsidR="006E380D" w:rsidRPr="009E30D1">
        <w:t xml:space="preserve"> </w:t>
      </w:r>
      <w:r w:rsidR="00AB79FC" w:rsidRPr="009E30D1">
        <w:t>Antecedentes</w:t>
      </w:r>
      <w:bookmarkEnd w:id="9"/>
    </w:p>
    <w:p w:rsidR="001C50F8" w:rsidRPr="009E30D1" w:rsidRDefault="001C50F8" w:rsidP="00B85C0B">
      <w:pPr>
        <w:spacing w:after="120" w:line="240" w:lineRule="auto"/>
        <w:jc w:val="both"/>
        <w:rPr>
          <w:rFonts w:ascii="Adobe Caslon Pro" w:hAnsi="Adobe Caslon Pro" w:cs="Arial"/>
          <w:bCs/>
          <w:lang w:val="es-ES"/>
        </w:rPr>
      </w:pPr>
      <w:r w:rsidRPr="009E30D1">
        <w:rPr>
          <w:rFonts w:ascii="Adobe Caslon Pro" w:hAnsi="Adobe Caslon Pro" w:cs="Arial"/>
          <w:bCs/>
          <w:lang w:val="es-ES"/>
        </w:rPr>
        <w:t>En México se llevó a cabo la Primera Conferencia Mundial sobre la Mujer en 1975</w:t>
      </w:r>
      <w:r w:rsidR="006148CA" w:rsidRPr="009E30D1">
        <w:rPr>
          <w:rFonts w:ascii="Adobe Caslon Pro" w:hAnsi="Adobe Caslon Pro" w:cs="Arial"/>
          <w:bCs/>
          <w:lang w:val="es-ES"/>
        </w:rPr>
        <w:t>. Este evento fue</w:t>
      </w:r>
      <w:r w:rsidR="0054445E" w:rsidRPr="009E30D1">
        <w:rPr>
          <w:rFonts w:ascii="Adobe Caslon Pro" w:hAnsi="Adobe Caslon Pro" w:cs="Arial"/>
          <w:bCs/>
          <w:lang w:val="es-ES"/>
        </w:rPr>
        <w:t xml:space="preserve"> </w:t>
      </w:r>
      <w:r w:rsidRPr="009E30D1">
        <w:rPr>
          <w:rFonts w:ascii="Adobe Caslon Pro" w:hAnsi="Adobe Caslon Pro" w:cs="Arial"/>
          <w:bCs/>
          <w:lang w:val="es-ES"/>
        </w:rPr>
        <w:t xml:space="preserve">un </w:t>
      </w:r>
      <w:proofErr w:type="spellStart"/>
      <w:r w:rsidRPr="009E30D1">
        <w:rPr>
          <w:rFonts w:ascii="Adobe Caslon Pro" w:hAnsi="Adobe Caslon Pro" w:cs="Arial"/>
          <w:bCs/>
          <w:lang w:val="es-ES"/>
        </w:rPr>
        <w:t>parteaguas</w:t>
      </w:r>
      <w:proofErr w:type="spellEnd"/>
      <w:r w:rsidRPr="009E30D1">
        <w:rPr>
          <w:rFonts w:ascii="Adobe Caslon Pro" w:hAnsi="Adobe Caslon Pro" w:cs="Arial"/>
          <w:bCs/>
          <w:lang w:val="es-ES"/>
        </w:rPr>
        <w:t xml:space="preserve"> en la historia de la movilización de importantes sectores y organizaciones de mujeres principalmente, en torno a la defensa, exigibilidad, reconocimiento, garantía y protección de los derechos humanos de las mujeres y su inscripción en el ámbito internacional; como un asunto que trasciende lo privado, lo local, lo nacional porque se relaciona a escala mundial con la consecución de la paz, la igualdad y el desarrollo de las sociedades </w:t>
      </w:r>
      <w:r w:rsidR="00B170AC" w:rsidRPr="009E30D1">
        <w:rPr>
          <w:rFonts w:ascii="Adobe Caslon Pro" w:hAnsi="Adobe Caslon Pro" w:cs="Arial"/>
          <w:bCs/>
          <w:lang w:val="es-ES"/>
        </w:rPr>
        <w:t>y de los regímenes democráticos (PNUD, 2004)</w:t>
      </w:r>
    </w:p>
    <w:p w:rsidR="00B170AC" w:rsidRPr="009E30D1" w:rsidRDefault="001C50F8" w:rsidP="00B85C0B">
      <w:pPr>
        <w:spacing w:after="120" w:line="240" w:lineRule="auto"/>
        <w:jc w:val="both"/>
        <w:rPr>
          <w:rFonts w:ascii="Adobe Caslon Pro" w:hAnsi="Adobe Caslon Pro" w:cs="Arial"/>
          <w:bCs/>
          <w:lang w:val="es-ES"/>
        </w:rPr>
      </w:pPr>
      <w:r w:rsidRPr="009E30D1">
        <w:rPr>
          <w:rFonts w:ascii="Adobe Caslon Pro" w:hAnsi="Adobe Caslon Pro" w:cs="Arial"/>
          <w:bCs/>
          <w:lang w:val="es-ES"/>
        </w:rPr>
        <w:t>Desde entonces, la agencia social</w:t>
      </w:r>
      <w:r w:rsidR="0098717D">
        <w:rPr>
          <w:rStyle w:val="Refdenotaalpie"/>
          <w:rFonts w:ascii="Adobe Caslon Pro" w:hAnsi="Adobe Caslon Pro"/>
          <w:bCs/>
          <w:lang w:val="es-ES"/>
        </w:rPr>
        <w:footnoteReference w:id="3"/>
      </w:r>
      <w:r w:rsidRPr="009E30D1">
        <w:rPr>
          <w:rFonts w:ascii="Adobe Caslon Pro" w:hAnsi="Adobe Caslon Pro" w:cs="Arial"/>
          <w:bCs/>
          <w:lang w:val="es-ES"/>
        </w:rPr>
        <w:t xml:space="preserve"> de estas mujeres ha visibilizado más el tema de violencia en los foros de la ONU y en 1982, durante </w:t>
      </w:r>
      <w:r w:rsidRPr="009E30D1">
        <w:rPr>
          <w:rFonts w:ascii="Adobe Caslon Pro" w:hAnsi="Adobe Caslon Pro" w:cs="Arial"/>
          <w:bCs/>
          <w:lang w:val="es-ES_tradnl"/>
        </w:rPr>
        <w:t>la Segunda Conferencia Mundial sobre la Mujer en Copenhague (1980), se</w:t>
      </w:r>
      <w:r w:rsidR="00D835B6" w:rsidRPr="009E30D1">
        <w:rPr>
          <w:rFonts w:ascii="Adobe Caslon Pro" w:hAnsi="Adobe Caslon Pro" w:cs="Arial"/>
          <w:bCs/>
          <w:lang w:val="es-ES_tradnl"/>
        </w:rPr>
        <w:t xml:space="preserve"> </w:t>
      </w:r>
      <w:r w:rsidRPr="009E30D1">
        <w:rPr>
          <w:rFonts w:ascii="Adobe Caslon Pro" w:hAnsi="Adobe Caslon Pro" w:cs="Arial"/>
          <w:bCs/>
          <w:lang w:val="es-ES_tradnl"/>
        </w:rPr>
        <w:t xml:space="preserve">trató por primera vez públicamente un tema que se consideraba privado, las consecuencias sociales del maltrato hacia la mujer en el ámbito familiar, como una ofensa para la dignidad humana y un obstáculo para la paz, aprobándose una resolución que recomendaba la formulación de programas de atención a la salud de las mujeres y </w:t>
      </w:r>
      <w:r w:rsidR="00056F5B" w:rsidRPr="009E30D1">
        <w:rPr>
          <w:rFonts w:ascii="Adobe Caslon Pro" w:hAnsi="Adobe Caslon Pro" w:cs="Arial"/>
          <w:bCs/>
          <w:lang w:val="es-ES_tradnl"/>
        </w:rPr>
        <w:t>de la</w:t>
      </w:r>
      <w:r w:rsidR="00982E2D" w:rsidRPr="009E30D1">
        <w:rPr>
          <w:rFonts w:ascii="Adobe Caslon Pro" w:hAnsi="Adobe Caslon Pro" w:cs="Arial"/>
          <w:bCs/>
          <w:lang w:val="es-ES_tradnl"/>
        </w:rPr>
        <w:t xml:space="preserve"> población infantil </w:t>
      </w:r>
      <w:r w:rsidR="00B170AC" w:rsidRPr="009E30D1">
        <w:rPr>
          <w:rFonts w:ascii="Adobe Caslon Pro" w:hAnsi="Adobe Caslon Pro" w:cs="Arial"/>
          <w:bCs/>
          <w:lang w:val="es-ES_tradnl"/>
        </w:rPr>
        <w:t xml:space="preserve">víctimas de violencia </w:t>
      </w:r>
      <w:r w:rsidR="00B170AC" w:rsidRPr="009E30D1">
        <w:rPr>
          <w:rFonts w:ascii="Adobe Caslon Pro" w:hAnsi="Adobe Caslon Pro" w:cs="Arial"/>
          <w:bCs/>
          <w:lang w:val="es-ES"/>
        </w:rPr>
        <w:t>(PNUD, 2004)</w:t>
      </w:r>
    </w:p>
    <w:p w:rsidR="00E42105" w:rsidRPr="009E30D1" w:rsidRDefault="001C50F8" w:rsidP="00B85C0B">
      <w:pPr>
        <w:spacing w:after="120" w:line="240" w:lineRule="auto"/>
        <w:jc w:val="both"/>
        <w:rPr>
          <w:rFonts w:ascii="Adobe Caslon Pro" w:hAnsi="Adobe Caslon Pro" w:cs="Arial"/>
          <w:bCs/>
          <w:i/>
          <w:lang w:val="es-ES_tradnl"/>
        </w:rPr>
      </w:pPr>
      <w:r w:rsidRPr="009E30D1">
        <w:rPr>
          <w:rFonts w:ascii="Adobe Caslon Pro" w:hAnsi="Adobe Caslon Pro" w:cs="Arial"/>
          <w:bCs/>
          <w:lang w:val="es-ES_tradnl"/>
        </w:rPr>
        <w:t>Una de las aportaciones más importantes d</w:t>
      </w:r>
      <w:r w:rsidR="00982E2D" w:rsidRPr="009E30D1">
        <w:rPr>
          <w:rFonts w:ascii="Adobe Caslon Pro" w:hAnsi="Adobe Caslon Pro" w:cs="Arial"/>
          <w:bCs/>
          <w:lang w:val="es-ES_tradnl"/>
        </w:rPr>
        <w:t xml:space="preserve">e estas movilizaciones sociales, es que </w:t>
      </w:r>
      <w:r w:rsidRPr="009E30D1">
        <w:rPr>
          <w:rFonts w:ascii="Adobe Caslon Pro" w:hAnsi="Adobe Caslon Pro" w:cs="Arial"/>
          <w:bCs/>
          <w:lang w:val="es-ES_tradnl"/>
        </w:rPr>
        <w:t xml:space="preserve">ha impactado </w:t>
      </w:r>
      <w:r w:rsidR="00982E2D" w:rsidRPr="009E30D1">
        <w:rPr>
          <w:rFonts w:ascii="Adobe Caslon Pro" w:hAnsi="Adobe Caslon Pro" w:cs="Arial"/>
          <w:bCs/>
          <w:lang w:val="es-ES_tradnl"/>
        </w:rPr>
        <w:t>el</w:t>
      </w:r>
      <w:r w:rsidR="0054445E" w:rsidRPr="009E30D1">
        <w:rPr>
          <w:rFonts w:ascii="Adobe Caslon Pro" w:hAnsi="Adobe Caslon Pro" w:cs="Arial"/>
          <w:bCs/>
          <w:lang w:val="es-ES_tradnl"/>
        </w:rPr>
        <w:t xml:space="preserve"> </w:t>
      </w:r>
      <w:r w:rsidR="00982E2D" w:rsidRPr="009E30D1">
        <w:rPr>
          <w:rFonts w:ascii="Adobe Caslon Pro" w:hAnsi="Adobe Caslon Pro" w:cs="Arial"/>
          <w:bCs/>
          <w:lang w:val="es-ES_tradnl"/>
        </w:rPr>
        <w:t>desarrollo teórico del tema</w:t>
      </w:r>
      <w:r w:rsidRPr="009E30D1">
        <w:rPr>
          <w:rFonts w:ascii="Adobe Caslon Pro" w:hAnsi="Adobe Caslon Pro" w:cs="Arial"/>
          <w:bCs/>
          <w:lang w:val="es-ES_tradnl"/>
        </w:rPr>
        <w:t xml:space="preserve">, </w:t>
      </w:r>
      <w:r w:rsidR="00982E2D" w:rsidRPr="009E30D1">
        <w:rPr>
          <w:rFonts w:ascii="Adobe Caslon Pro" w:hAnsi="Adobe Caslon Pro" w:cs="Arial"/>
          <w:bCs/>
          <w:lang w:val="es-ES_tradnl"/>
        </w:rPr>
        <w:t xml:space="preserve">en particular en el desarrollo de </w:t>
      </w:r>
      <w:r w:rsidRPr="009E30D1">
        <w:rPr>
          <w:rFonts w:ascii="Adobe Caslon Pro" w:hAnsi="Adobe Caslon Pro" w:cs="Arial"/>
          <w:bCs/>
          <w:lang w:val="es-ES_tradnl"/>
        </w:rPr>
        <w:t xml:space="preserve">instrumentos y avances jurídicos de política pública, </w:t>
      </w:r>
      <w:r w:rsidR="00982E2D" w:rsidRPr="009E30D1">
        <w:rPr>
          <w:rFonts w:ascii="Adobe Caslon Pro" w:hAnsi="Adobe Caslon Pro" w:cs="Arial"/>
          <w:bCs/>
          <w:lang w:val="es-ES_tradnl"/>
        </w:rPr>
        <w:t xml:space="preserve">que </w:t>
      </w:r>
      <w:r w:rsidRPr="009E30D1">
        <w:rPr>
          <w:rFonts w:ascii="Adobe Caslon Pro" w:hAnsi="Adobe Caslon Pro" w:cs="Arial"/>
          <w:bCs/>
          <w:lang w:val="es-ES_tradnl"/>
        </w:rPr>
        <w:t xml:space="preserve">sin lugar a dudas, </w:t>
      </w:r>
      <w:r w:rsidR="00982E2D" w:rsidRPr="009E30D1">
        <w:rPr>
          <w:rFonts w:ascii="Adobe Caslon Pro" w:hAnsi="Adobe Caslon Pro" w:cs="Arial"/>
          <w:bCs/>
          <w:lang w:val="es-ES_tradnl"/>
        </w:rPr>
        <w:t xml:space="preserve">coloca la atención de </w:t>
      </w:r>
      <w:r w:rsidRPr="009E30D1">
        <w:rPr>
          <w:rFonts w:ascii="Adobe Caslon Pro" w:hAnsi="Adobe Caslon Pro" w:cs="Arial"/>
          <w:bCs/>
          <w:lang w:val="es-ES_tradnl"/>
        </w:rPr>
        <w:t>la violencia contra las mujeres en cuatro asuntos centrales.</w:t>
      </w:r>
      <w:r w:rsidR="00982E2D" w:rsidRPr="009E30D1">
        <w:rPr>
          <w:rFonts w:ascii="Adobe Caslon Pro" w:hAnsi="Adobe Caslon Pro" w:cs="Arial"/>
          <w:bCs/>
          <w:lang w:val="es-ES_tradnl"/>
        </w:rPr>
        <w:t xml:space="preserve"> </w:t>
      </w:r>
      <w:r w:rsidRPr="009E30D1">
        <w:rPr>
          <w:rFonts w:ascii="Adobe Caslon Pro" w:hAnsi="Adobe Caslon Pro" w:cs="Arial"/>
          <w:bCs/>
          <w:lang w:val="es-ES_tradnl"/>
        </w:rPr>
        <w:t>En primer lugar, la violencia contra las mujeres como un asunto de género, es decir, que se ejerce contra las mujeres por el hecho de serlo.</w:t>
      </w:r>
      <w:r w:rsidRPr="009E30D1">
        <w:rPr>
          <w:rFonts w:ascii="Adobe Caslon Pro" w:hAnsi="Adobe Caslon Pro" w:cs="Arial"/>
          <w:bCs/>
          <w:vertAlign w:val="superscript"/>
          <w:lang w:val="es-ES_tradnl"/>
        </w:rPr>
        <w:footnoteReference w:id="4"/>
      </w:r>
      <w:r w:rsidRPr="009E30D1">
        <w:rPr>
          <w:rFonts w:ascii="Adobe Caslon Pro" w:hAnsi="Adobe Caslon Pro" w:cs="Arial"/>
          <w:bCs/>
          <w:lang w:val="es-ES_tradnl"/>
        </w:rPr>
        <w:t xml:space="preserve"> Segundo, su expresión a escala mundial en el ámbito público y el privado, cuyos actos causan diversos daños, incluso la muerte. Tercero, identifica a los agentes y factores de riesgo que van desde los agresores directos; las estructuras de poder y dominación centradas en un orden que se construye desde lo masculino y que perpetúan relaciones y formas de violencia en contra</w:t>
      </w:r>
      <w:r w:rsidR="00ED5711" w:rsidRPr="009E30D1">
        <w:rPr>
          <w:rFonts w:ascii="Adobe Caslon Pro" w:hAnsi="Adobe Caslon Pro" w:cs="Arial"/>
          <w:bCs/>
          <w:lang w:val="es-ES_tradnl"/>
        </w:rPr>
        <w:t xml:space="preserve"> de</w:t>
      </w:r>
      <w:r w:rsidRPr="009E30D1">
        <w:rPr>
          <w:rFonts w:ascii="Adobe Caslon Pro" w:hAnsi="Adobe Caslon Pro" w:cs="Arial"/>
          <w:bCs/>
          <w:lang w:val="es-ES_tradnl"/>
        </w:rPr>
        <w:t xml:space="preserve"> las mujeres en todas sus expresiones y en los más diversos ámbitos, que incluye las formas extremas, como las víctimas de trata y </w:t>
      </w:r>
      <w:proofErr w:type="spellStart"/>
      <w:r w:rsidRPr="009E30D1">
        <w:rPr>
          <w:rFonts w:ascii="Adobe Caslon Pro" w:hAnsi="Adobe Caslon Pro" w:cs="Arial"/>
          <w:bCs/>
          <w:lang w:val="es-ES_tradnl"/>
        </w:rPr>
        <w:t>feminicidios</w:t>
      </w:r>
      <w:proofErr w:type="spellEnd"/>
      <w:r w:rsidRPr="009E30D1">
        <w:rPr>
          <w:rFonts w:ascii="Adobe Caslon Pro" w:hAnsi="Adobe Caslon Pro" w:cs="Arial"/>
          <w:bCs/>
          <w:lang w:val="es-ES_tradnl"/>
        </w:rPr>
        <w:t xml:space="preserve">; las orientaciones y creencias prevalecientes en los sistemas de cultura hegemónicos profundamente discriminatorios hacia las mujeres, así como la violencia que ejerce el Estado. Cuarto, por tanto, se logra reconocer que </w:t>
      </w:r>
      <w:r w:rsidRPr="009E30D1">
        <w:rPr>
          <w:rFonts w:ascii="Adobe Caslon Pro" w:hAnsi="Adobe Caslon Pro" w:cs="Arial"/>
          <w:bCs/>
          <w:i/>
          <w:lang w:val="es-ES_tradnl"/>
        </w:rPr>
        <w:t>la violencia contra las mujeres constituye una violación de sus derechos humanos y libertades fundamenta</w:t>
      </w:r>
      <w:r w:rsidR="00982E2D" w:rsidRPr="009E30D1">
        <w:rPr>
          <w:rFonts w:ascii="Adobe Caslon Pro" w:hAnsi="Adobe Caslon Pro" w:cs="Arial"/>
          <w:bCs/>
          <w:i/>
          <w:lang w:val="es-ES_tradnl"/>
        </w:rPr>
        <w:t>les y que propicia una sociedad desigual en el pleno ejercicio de los derechos</w:t>
      </w:r>
      <w:r w:rsidRPr="009E30D1">
        <w:rPr>
          <w:rFonts w:ascii="Adobe Caslon Pro" w:hAnsi="Adobe Caslon Pro" w:cs="Arial"/>
          <w:bCs/>
          <w:i/>
          <w:lang w:val="es-ES_tradnl"/>
        </w:rPr>
        <w:t xml:space="preserve">. </w:t>
      </w:r>
    </w:p>
    <w:p w:rsidR="001C50F8" w:rsidRPr="009E30D1" w:rsidRDefault="001C50F8" w:rsidP="00B85C0B">
      <w:pPr>
        <w:spacing w:after="120" w:line="240" w:lineRule="auto"/>
        <w:jc w:val="both"/>
        <w:rPr>
          <w:rFonts w:ascii="Adobe Caslon Pro" w:hAnsi="Adobe Caslon Pro" w:cs="Arial"/>
          <w:bCs/>
          <w:lang w:val="es-ES_tradnl"/>
        </w:rPr>
      </w:pPr>
      <w:r w:rsidRPr="009E30D1">
        <w:rPr>
          <w:rFonts w:ascii="Adobe Caslon Pro" w:hAnsi="Adobe Caslon Pro" w:cs="Arial"/>
          <w:bCs/>
          <w:lang w:val="es-ES_tradnl"/>
        </w:rPr>
        <w:lastRenderedPageBreak/>
        <w:t>Así, desde esta perspectiva es cómo se ha avanzado en el orden internacional, nacional y local para garantizar a las mujeres el ejercicio de sus derechos y, por tanto, el acceso a servicios, al desarrollo, a la justicia, a una vida libre de violencia</w:t>
      </w:r>
      <w:r w:rsidR="00D835B6" w:rsidRPr="009E30D1">
        <w:rPr>
          <w:rFonts w:ascii="Adobe Caslon Pro" w:hAnsi="Adobe Caslon Pro" w:cs="Arial"/>
          <w:bCs/>
          <w:lang w:val="es-ES_tradnl"/>
        </w:rPr>
        <w:t xml:space="preserve"> </w:t>
      </w:r>
      <w:r w:rsidRPr="009E30D1">
        <w:rPr>
          <w:rFonts w:ascii="Adobe Caslon Pro" w:hAnsi="Adobe Caslon Pro" w:cs="Arial"/>
          <w:bCs/>
          <w:lang w:val="es-ES_tradnl"/>
        </w:rPr>
        <w:t>y, finalmente, al logro de la igualdad en todas las esferas de la vida.</w:t>
      </w:r>
      <w:r w:rsidR="00E42105" w:rsidRPr="009E30D1">
        <w:rPr>
          <w:rFonts w:ascii="Adobe Caslon Pro" w:hAnsi="Adobe Caslon Pro" w:cs="Arial"/>
          <w:bCs/>
          <w:lang w:val="es-ES_tradnl"/>
        </w:rPr>
        <w:t xml:space="preserve"> </w:t>
      </w:r>
      <w:r w:rsidRPr="009E30D1">
        <w:rPr>
          <w:rFonts w:ascii="Adobe Caslon Pro" w:hAnsi="Adobe Caslon Pro" w:cs="Arial"/>
          <w:bCs/>
          <w:lang w:val="es-ES_tradnl"/>
        </w:rPr>
        <w:t>En 1993</w:t>
      </w:r>
      <w:r w:rsidR="00E42105" w:rsidRPr="009E30D1">
        <w:rPr>
          <w:rFonts w:ascii="Adobe Caslon Pro" w:hAnsi="Adobe Caslon Pro" w:cs="Arial"/>
          <w:bCs/>
          <w:lang w:val="es-ES_tradnl"/>
        </w:rPr>
        <w:t xml:space="preserve"> por su parte</w:t>
      </w:r>
      <w:r w:rsidRPr="009E30D1">
        <w:rPr>
          <w:rFonts w:ascii="Adobe Caslon Pro" w:hAnsi="Adobe Caslon Pro" w:cs="Arial"/>
          <w:bCs/>
          <w:lang w:val="es-ES_tradnl"/>
        </w:rPr>
        <w:t>, la Conferencia Mundial sobre los Dere</w:t>
      </w:r>
      <w:r w:rsidR="00797054" w:rsidRPr="009E30D1">
        <w:rPr>
          <w:rFonts w:ascii="Adobe Caslon Pro" w:hAnsi="Adobe Caslon Pro" w:cs="Arial"/>
          <w:bCs/>
          <w:lang w:val="es-ES_tradnl"/>
        </w:rPr>
        <w:t>chos Humanos, en Viena, estipuló que la violencia por género</w:t>
      </w:r>
      <w:r w:rsidRPr="009E30D1">
        <w:rPr>
          <w:rFonts w:ascii="Adobe Caslon Pro" w:hAnsi="Adobe Caslon Pro" w:cs="Arial"/>
          <w:bCs/>
          <w:lang w:val="es-ES_tradnl"/>
        </w:rPr>
        <w:t xml:space="preserve"> es incompatible con la dignidad de toda persona y que necesita ser eliminada mediante la cooperación nacional e internacional, bajo medidas legislativas, en las esferas económicas, educacionales, de salud y sociales. Es así que surgen las Políticas Públicas para la eliminación de la Violencia contra la Muj</w:t>
      </w:r>
      <w:r w:rsidR="00B170AC" w:rsidRPr="009E30D1">
        <w:rPr>
          <w:rFonts w:ascii="Adobe Caslon Pro" w:hAnsi="Adobe Caslon Pro" w:cs="Arial"/>
          <w:bCs/>
          <w:lang w:val="es-ES_tradnl"/>
        </w:rPr>
        <w:t xml:space="preserve">er en la vida pública y privada </w:t>
      </w:r>
      <w:r w:rsidR="00B170AC" w:rsidRPr="009E30D1">
        <w:rPr>
          <w:rFonts w:ascii="Adobe Caslon Pro" w:hAnsi="Adobe Caslon Pro" w:cs="Arial"/>
          <w:bCs/>
          <w:lang w:val="es-ES"/>
        </w:rPr>
        <w:t>(PNUD, 2004).</w:t>
      </w:r>
    </w:p>
    <w:p w:rsidR="001C50F8" w:rsidRPr="009E30D1" w:rsidRDefault="001C50F8" w:rsidP="00B85C0B">
      <w:pPr>
        <w:spacing w:after="120" w:line="240" w:lineRule="auto"/>
        <w:jc w:val="both"/>
        <w:rPr>
          <w:rFonts w:ascii="Adobe Caslon Pro" w:hAnsi="Adobe Caslon Pro" w:cs="Arial"/>
          <w:bCs/>
          <w:lang w:val="es-ES_tradnl"/>
        </w:rPr>
      </w:pPr>
      <w:r w:rsidRPr="009E30D1">
        <w:rPr>
          <w:rFonts w:ascii="Adobe Caslon Pro" w:hAnsi="Adobe Caslon Pro" w:cs="Arial"/>
          <w:bCs/>
          <w:lang w:val="es-ES_tradnl"/>
        </w:rPr>
        <w:t>En diciembre de ese mismo año se aprueba la Declaración sobre la Eliminación de la Violencia contra la Mujer, en la cual se define la Violencia de Género como “todo acto de violencia basado en la pertenencia del sexo femenino que tenga o que pueda tener como resultado un daño o sufrimiento físico, sexual o psicológico para la mujer”</w:t>
      </w:r>
      <w:r w:rsidR="00B170AC" w:rsidRPr="009E30D1">
        <w:rPr>
          <w:rFonts w:ascii="Adobe Caslon Pro" w:hAnsi="Adobe Caslon Pro" w:cs="Arial"/>
          <w:bCs/>
          <w:lang w:val="es-ES_tradnl"/>
        </w:rPr>
        <w:t xml:space="preserve"> (OACDH, 1993)</w:t>
      </w:r>
      <w:r w:rsidRPr="009E30D1">
        <w:rPr>
          <w:rFonts w:ascii="Adobe Caslon Pro" w:hAnsi="Adobe Caslon Pro" w:cs="Arial"/>
          <w:bCs/>
          <w:lang w:val="es-ES_tradnl"/>
        </w:rPr>
        <w:t xml:space="preserve">. Para 1994, en Latinoamérica, en el marco de las tareas preparatorias de la Cuarta Conferencia Mundial sobre la Mujer, se aprobó la Convención Interamericana para Prevenir, Sancionar y Erradicar la Violencia Contra la Mujer </w:t>
      </w:r>
      <w:r w:rsidRPr="009E30D1">
        <w:rPr>
          <w:rFonts w:ascii="Adobe Caslon Pro" w:hAnsi="Adobe Caslon Pro" w:cs="Arial"/>
          <w:bCs/>
          <w:lang w:val="es-ES"/>
        </w:rPr>
        <w:t>(Belém Do Pará, Brasil)</w:t>
      </w:r>
      <w:r w:rsidR="00ED5711" w:rsidRPr="009E30D1">
        <w:rPr>
          <w:rFonts w:ascii="Adobe Caslon Pro" w:hAnsi="Adobe Caslon Pro" w:cs="Arial"/>
          <w:bCs/>
          <w:lang w:val="es-ES"/>
        </w:rPr>
        <w:t xml:space="preserve"> [</w:t>
      </w:r>
      <w:r w:rsidR="00A36924" w:rsidRPr="009E30D1">
        <w:rPr>
          <w:rFonts w:ascii="Adobe Caslon Pro" w:hAnsi="Adobe Caslon Pro" w:cs="Arial"/>
          <w:bCs/>
          <w:lang w:val="es-ES"/>
        </w:rPr>
        <w:t>O</w:t>
      </w:r>
      <w:r w:rsidR="00ED5711" w:rsidRPr="009E30D1">
        <w:rPr>
          <w:rFonts w:ascii="Adobe Caslon Pro" w:hAnsi="Adobe Caslon Pro" w:cs="Arial"/>
          <w:bCs/>
          <w:lang w:val="es-ES"/>
        </w:rPr>
        <w:t>EA</w:t>
      </w:r>
      <w:r w:rsidR="00A36924" w:rsidRPr="009E30D1">
        <w:rPr>
          <w:rFonts w:ascii="Adobe Caslon Pro" w:hAnsi="Adobe Caslon Pro" w:cs="Arial"/>
          <w:bCs/>
          <w:lang w:val="es-ES"/>
        </w:rPr>
        <w:t>, 1994]</w:t>
      </w:r>
      <w:r w:rsidRPr="009E30D1">
        <w:rPr>
          <w:rFonts w:ascii="Adobe Caslon Pro" w:hAnsi="Adobe Caslon Pro" w:cs="Arial"/>
          <w:bCs/>
          <w:lang w:val="es-ES_tradnl"/>
        </w:rPr>
        <w:t xml:space="preserve"> en la que se define a la violencia contra las mujeres como “cualquier acción o conducta, basada en su género, que cause muerte, daño o sufrimiento físico, sexual o psicológico a la mujer, tanto en el ámbito público como en el privado”.</w:t>
      </w:r>
    </w:p>
    <w:p w:rsidR="001C50F8" w:rsidRPr="009E30D1" w:rsidRDefault="001C50F8" w:rsidP="00B85C0B">
      <w:pPr>
        <w:spacing w:after="120" w:line="240" w:lineRule="auto"/>
        <w:jc w:val="both"/>
        <w:rPr>
          <w:rFonts w:ascii="Adobe Caslon Pro" w:hAnsi="Adobe Caslon Pro" w:cs="Arial"/>
          <w:bCs/>
          <w:lang w:val="es-ES"/>
        </w:rPr>
      </w:pPr>
      <w:r w:rsidRPr="009E30D1">
        <w:rPr>
          <w:rFonts w:ascii="Adobe Caslon Pro" w:hAnsi="Adobe Caslon Pro" w:cs="Arial"/>
          <w:bCs/>
          <w:lang w:val="es-ES_tradnl"/>
        </w:rPr>
        <w:t>Por otro lado, entre los avances más significativos que se observan en el ámbito nacional en materia de política pública para atender la violencia familiar y contra las mujeres, se pueden</w:t>
      </w:r>
      <w:r w:rsidR="004B266F" w:rsidRPr="009E30D1">
        <w:rPr>
          <w:rFonts w:ascii="Adobe Caslon Pro" w:hAnsi="Adobe Caslon Pro" w:cs="Arial"/>
          <w:bCs/>
          <w:lang w:val="es-ES_tradnl"/>
        </w:rPr>
        <w:t xml:space="preserve"> considerar los siguientes: l</w:t>
      </w:r>
      <w:r w:rsidRPr="009E30D1">
        <w:rPr>
          <w:rFonts w:ascii="Adobe Caslon Pro" w:hAnsi="Adobe Caslon Pro" w:cs="Arial"/>
          <w:bCs/>
          <w:lang w:val="es-ES_tradnl"/>
        </w:rPr>
        <w:t>a creación de la Primera Agencia Especializada en Delitos Sexuales en el Distrito Federal en 1989 y el Centro de Terapia de Apoyo, cuya lucha de organiz</w:t>
      </w:r>
      <w:r w:rsidR="00797054" w:rsidRPr="009E30D1">
        <w:rPr>
          <w:rFonts w:ascii="Adobe Caslon Pro" w:hAnsi="Adobe Caslon Pro" w:cs="Arial"/>
          <w:bCs/>
          <w:lang w:val="es-ES_tradnl"/>
        </w:rPr>
        <w:t>aciones de mujeres data de 1983</w:t>
      </w:r>
      <w:r w:rsidR="003522D5" w:rsidRPr="009E30D1">
        <w:rPr>
          <w:rFonts w:ascii="Adobe Caslon Pro" w:hAnsi="Adobe Caslon Pro" w:cs="Arial"/>
          <w:bCs/>
          <w:lang w:val="es-ES_tradnl"/>
        </w:rPr>
        <w:t xml:space="preserve"> (CIMAC, 2002), e</w:t>
      </w:r>
      <w:r w:rsidRPr="009E30D1">
        <w:rPr>
          <w:rFonts w:ascii="Adobe Caslon Pro" w:hAnsi="Adobe Caslon Pro" w:cs="Arial"/>
          <w:bCs/>
          <w:lang w:val="es-ES"/>
        </w:rPr>
        <w:t>l Programa Nacional contra la Vio</w:t>
      </w:r>
      <w:r w:rsidR="00797054" w:rsidRPr="009E30D1">
        <w:rPr>
          <w:rFonts w:ascii="Adobe Caslon Pro" w:hAnsi="Adobe Caslon Pro" w:cs="Arial"/>
          <w:bCs/>
          <w:lang w:val="es-ES"/>
        </w:rPr>
        <w:t xml:space="preserve">lencia Intrafamiliar 1999-2000, </w:t>
      </w:r>
      <w:r w:rsidRPr="009E30D1">
        <w:rPr>
          <w:rFonts w:ascii="Adobe Caslon Pro" w:hAnsi="Adobe Caslon Pro" w:cs="Arial"/>
          <w:bCs/>
          <w:lang w:val="es-ES"/>
        </w:rPr>
        <w:t xml:space="preserve">la creación del Instituto Nacional de las Mujeres (INMUJERES) </w:t>
      </w:r>
      <w:r w:rsidR="00797054" w:rsidRPr="009E30D1">
        <w:rPr>
          <w:rFonts w:ascii="Adobe Caslon Pro" w:hAnsi="Adobe Caslon Pro" w:cs="Arial"/>
          <w:bCs/>
          <w:lang w:val="es-ES"/>
        </w:rPr>
        <w:t xml:space="preserve">en </w:t>
      </w:r>
      <w:r w:rsidRPr="009E30D1">
        <w:rPr>
          <w:rFonts w:ascii="Adobe Caslon Pro" w:hAnsi="Adobe Caslon Pro" w:cs="Arial"/>
          <w:bCs/>
          <w:lang w:val="es-ES"/>
        </w:rPr>
        <w:t>2001 y el Programa Nacional por una Vida sin Violencia 2002-2006 (2002)</w:t>
      </w:r>
      <w:r w:rsidRPr="009E30D1">
        <w:rPr>
          <w:rFonts w:ascii="Adobe Caslon Pro" w:hAnsi="Adobe Caslon Pro" w:cs="Arial"/>
          <w:bCs/>
          <w:vertAlign w:val="superscript"/>
          <w:lang w:val="es-ES"/>
        </w:rPr>
        <w:footnoteReference w:id="5"/>
      </w:r>
      <w:r w:rsidRPr="009E30D1">
        <w:rPr>
          <w:rFonts w:ascii="Adobe Caslon Pro" w:hAnsi="Adobe Caslon Pro" w:cs="Arial"/>
          <w:bCs/>
          <w:lang w:val="es-ES"/>
        </w:rPr>
        <w:t>. En cuanto a las instancias e institutos de la mujer cabe mencionar que, antes de que se creara el INMUJERES, ya existían en algunas entidades federativas estos organismos, el resto fueron cre</w:t>
      </w:r>
      <w:r w:rsidR="004B266F" w:rsidRPr="009E30D1">
        <w:rPr>
          <w:rFonts w:ascii="Adobe Caslon Pro" w:hAnsi="Adobe Caslon Pro" w:cs="Arial"/>
          <w:bCs/>
          <w:lang w:val="es-ES"/>
        </w:rPr>
        <w:t>ados</w:t>
      </w:r>
      <w:r w:rsidRPr="009E30D1">
        <w:rPr>
          <w:rFonts w:ascii="Adobe Caslon Pro" w:hAnsi="Adobe Caslon Pro" w:cs="Arial"/>
          <w:bCs/>
          <w:lang w:val="es-ES"/>
        </w:rPr>
        <w:t xml:space="preserve"> entre 2001 y 2003 y algunos de ellos incluían los servicios de atención a las mujeres en condición de violencia</w:t>
      </w:r>
      <w:r w:rsidR="00E96BD7" w:rsidRPr="009E30D1">
        <w:rPr>
          <w:rFonts w:ascii="Adobe Caslon Pro" w:hAnsi="Adobe Caslon Pro" w:cs="Arial"/>
          <w:bCs/>
          <w:lang w:val="es-ES"/>
        </w:rPr>
        <w:t xml:space="preserve"> (Campos, 2007)</w:t>
      </w:r>
      <w:r w:rsidRPr="009E30D1">
        <w:rPr>
          <w:rFonts w:ascii="Adobe Caslon Pro" w:hAnsi="Adobe Caslon Pro" w:cs="Arial"/>
          <w:bCs/>
          <w:lang w:val="es-ES"/>
        </w:rPr>
        <w:t>. Además, se impulsó la creación de refugios en el país para salvaguardar la integridad de las mujeres víctimas de violencia extrema, sus hijos e hijas; integrados desde 2004 a la Red Nacional de Refugios.</w:t>
      </w:r>
    </w:p>
    <w:p w:rsidR="001C50F8" w:rsidRPr="009E30D1" w:rsidRDefault="001C50F8" w:rsidP="00B85C0B">
      <w:pPr>
        <w:spacing w:after="120" w:line="240" w:lineRule="auto"/>
        <w:jc w:val="both"/>
        <w:rPr>
          <w:rFonts w:ascii="Adobe Caslon Pro" w:hAnsi="Adobe Caslon Pro" w:cs="Arial"/>
          <w:bCs/>
          <w:lang w:val="es-ES_tradnl"/>
        </w:rPr>
      </w:pPr>
      <w:r w:rsidRPr="009E30D1">
        <w:rPr>
          <w:rFonts w:ascii="Adobe Caslon Pro" w:hAnsi="Adobe Caslon Pro" w:cs="Arial"/>
          <w:bCs/>
          <w:lang w:val="es-ES"/>
        </w:rPr>
        <w:t>E</w:t>
      </w:r>
      <w:r w:rsidRPr="009E30D1">
        <w:rPr>
          <w:rFonts w:ascii="Adobe Caslon Pro" w:hAnsi="Adobe Caslon Pro" w:cs="Arial"/>
          <w:bCs/>
          <w:lang w:val="es-ES_tradnl"/>
        </w:rPr>
        <w:t>l tema de la violencia contra las mujeres en la legislación mexicana se dio en el ámbito de la violencia familiar de 1996 a 2007, de tal manera que en 2007 se contaba con la “Ley de Prevención de la Violencia Familiar en las 3</w:t>
      </w:r>
      <w:r w:rsidR="003522D5" w:rsidRPr="009E30D1">
        <w:rPr>
          <w:rFonts w:ascii="Adobe Caslon Pro" w:hAnsi="Adobe Caslon Pro" w:cs="Arial"/>
          <w:bCs/>
          <w:lang w:val="es-ES_tradnl"/>
        </w:rPr>
        <w:t>2 entidades federativas” (Solís, 2008:</w:t>
      </w:r>
      <w:r w:rsidRPr="009E30D1">
        <w:rPr>
          <w:rFonts w:ascii="Adobe Caslon Pro" w:hAnsi="Adobe Caslon Pro" w:cs="Arial"/>
          <w:bCs/>
          <w:lang w:val="es-ES_tradnl"/>
        </w:rPr>
        <w:t xml:space="preserve"> 22). Anteriormente, estos casos eran tratados únicamente a través de los códigos civiles familiares y penales,</w:t>
      </w:r>
      <w:r w:rsidR="003D0624" w:rsidRPr="009E30D1">
        <w:rPr>
          <w:rFonts w:ascii="Adobe Caslon Pro" w:hAnsi="Adobe Caslon Pro" w:cs="Arial"/>
          <w:bCs/>
          <w:lang w:val="es-ES_tradnl"/>
        </w:rPr>
        <w:t xml:space="preserve"> de acuerdo con la </w:t>
      </w:r>
      <w:r w:rsidR="003D0624" w:rsidRPr="009E30D1">
        <w:rPr>
          <w:rFonts w:ascii="Adobe Caslon Pro" w:hAnsi="Adobe Caslon Pro" w:cs="Arial"/>
          <w:bCs/>
          <w:lang w:val="es-ES_tradnl"/>
        </w:rPr>
        <w:lastRenderedPageBreak/>
        <w:t>misma autora.</w:t>
      </w:r>
      <w:r w:rsidR="00B14074" w:rsidRPr="009E30D1">
        <w:rPr>
          <w:rFonts w:ascii="Adobe Caslon Pro" w:hAnsi="Adobe Caslon Pro" w:cs="Arial"/>
          <w:bCs/>
          <w:lang w:val="es-ES_tradnl"/>
        </w:rPr>
        <w:t xml:space="preserve"> </w:t>
      </w:r>
      <w:r w:rsidRPr="009E30D1">
        <w:rPr>
          <w:rFonts w:ascii="Adobe Caslon Pro" w:hAnsi="Adobe Caslon Pro" w:cs="Arial"/>
          <w:bCs/>
          <w:lang w:val="es-ES_tradnl"/>
        </w:rPr>
        <w:t xml:space="preserve">No obstante, esta forma de remitir la violencia de género únicamente al ámbito de lo familiar, ofreció un panorama parcial y fragmentado, que ocultaba sus causas, consecuencias, ámbitos y mecanismos de reproducción, al tiempo que dificultaba su tratamiento y sanción; en un contexto en el que los delitos violentos contra las mujeres estaban ya ampliamente documentados y eran de extrema gravedad, como lo que </w:t>
      </w:r>
      <w:r w:rsidR="003D0624" w:rsidRPr="009E30D1">
        <w:rPr>
          <w:rFonts w:ascii="Adobe Caslon Pro" w:hAnsi="Adobe Caslon Pro" w:cs="Arial"/>
          <w:bCs/>
          <w:lang w:val="es-ES_tradnl"/>
        </w:rPr>
        <w:t>sucedía</w:t>
      </w:r>
      <w:r w:rsidRPr="009E30D1">
        <w:rPr>
          <w:rFonts w:ascii="Adobe Caslon Pro" w:hAnsi="Adobe Caslon Pro" w:cs="Arial"/>
          <w:bCs/>
          <w:lang w:val="es-ES_tradnl"/>
        </w:rPr>
        <w:t xml:space="preserve"> en Ciudad Juárez, Chihuahua.</w:t>
      </w:r>
    </w:p>
    <w:p w:rsidR="001C50F8" w:rsidRPr="009E30D1" w:rsidRDefault="001C50F8" w:rsidP="00B85C0B">
      <w:pPr>
        <w:spacing w:after="120" w:line="240" w:lineRule="auto"/>
        <w:jc w:val="both"/>
        <w:rPr>
          <w:rFonts w:ascii="Adobe Caslon Pro" w:hAnsi="Adobe Caslon Pro" w:cs="Arial"/>
          <w:bCs/>
          <w:lang w:val="es-ES_tradnl"/>
        </w:rPr>
      </w:pPr>
      <w:r w:rsidRPr="009E30D1">
        <w:rPr>
          <w:rFonts w:ascii="Adobe Caslon Pro" w:hAnsi="Adobe Caslon Pro" w:cs="Arial"/>
          <w:bCs/>
          <w:lang w:val="es-ES_tradnl"/>
        </w:rPr>
        <w:t>A partir de estos acontecimientos, se creó en 2006 la Fiscalía Especial para la Atención de los Delitos Relacionados con Actos de Violencia Contra las Mujeres en el País</w:t>
      </w:r>
      <w:r w:rsidR="003D0624" w:rsidRPr="009E30D1">
        <w:rPr>
          <w:rFonts w:ascii="Adobe Caslon Pro" w:hAnsi="Adobe Caslon Pro" w:cs="Arial"/>
          <w:bCs/>
          <w:lang w:val="es-ES_tradnl"/>
        </w:rPr>
        <w:t xml:space="preserve"> (FEVIM)</w:t>
      </w:r>
      <w:r w:rsidRPr="009E30D1">
        <w:rPr>
          <w:rFonts w:ascii="Adobe Caslon Pro" w:hAnsi="Adobe Caslon Pro" w:cs="Arial"/>
          <w:bCs/>
          <w:lang w:val="es-ES_tradnl"/>
        </w:rPr>
        <w:t>, en la Procuraduría General de la República</w:t>
      </w:r>
      <w:r w:rsidR="003D0624" w:rsidRPr="009E30D1">
        <w:rPr>
          <w:rFonts w:ascii="Adobe Caslon Pro" w:hAnsi="Adobe Caslon Pro" w:cs="Arial"/>
          <w:bCs/>
          <w:lang w:val="es-ES_tradnl"/>
        </w:rPr>
        <w:t xml:space="preserve"> (PGR)</w:t>
      </w:r>
      <w:r w:rsidRPr="009E30D1">
        <w:rPr>
          <w:rFonts w:ascii="Adobe Caslon Pro" w:hAnsi="Adobe Caslon Pro" w:cs="Arial"/>
          <w:bCs/>
          <w:lang w:val="es-ES_tradnl"/>
        </w:rPr>
        <w:t>. A partir del 2008, se denomina Fiscalía Especial para los Delitos de Violencia contra las Mujeres y Trata de Personas (FEVIMTRA). Otro avance importante es la creación por Decreto en 2009 de la Comisión Nacional para Prevenir y Erradicar la Violencia contra las Mujeres</w:t>
      </w:r>
      <w:r w:rsidR="003D0624" w:rsidRPr="009E30D1">
        <w:rPr>
          <w:rFonts w:ascii="Adobe Caslon Pro" w:hAnsi="Adobe Caslon Pro" w:cs="Arial"/>
          <w:bCs/>
          <w:lang w:val="es-ES_tradnl"/>
        </w:rPr>
        <w:t xml:space="preserve"> (CONAVIM)</w:t>
      </w:r>
      <w:r w:rsidRPr="009E30D1">
        <w:rPr>
          <w:rFonts w:ascii="Adobe Caslon Pro" w:hAnsi="Adobe Caslon Pro" w:cs="Arial"/>
          <w:bCs/>
          <w:lang w:val="es-ES_tradnl"/>
        </w:rPr>
        <w:t>, como órgano administrativo desconcentrado de la Secretaría de Gobernación</w:t>
      </w:r>
      <w:r w:rsidR="003D0624" w:rsidRPr="009E30D1">
        <w:rPr>
          <w:rFonts w:ascii="Adobe Caslon Pro" w:hAnsi="Adobe Caslon Pro" w:cs="Arial"/>
          <w:bCs/>
          <w:lang w:val="es-ES_tradnl"/>
        </w:rPr>
        <w:t xml:space="preserve"> (SEGOB)</w:t>
      </w:r>
      <w:r w:rsidRPr="009E30D1">
        <w:rPr>
          <w:rFonts w:ascii="Adobe Caslon Pro" w:hAnsi="Adobe Caslon Pro" w:cs="Arial"/>
          <w:bCs/>
          <w:lang w:val="es-ES_tradnl"/>
        </w:rPr>
        <w:t>.</w:t>
      </w:r>
      <w:r w:rsidRPr="009E30D1">
        <w:rPr>
          <w:rFonts w:ascii="Adobe Caslon Pro" w:hAnsi="Adobe Caslon Pro" w:cs="Arial"/>
          <w:bCs/>
          <w:vertAlign w:val="superscript"/>
          <w:lang w:val="es-ES_tradnl"/>
        </w:rPr>
        <w:footnoteReference w:id="6"/>
      </w:r>
    </w:p>
    <w:p w:rsidR="001C50F8" w:rsidRPr="009E30D1" w:rsidRDefault="001C50F8" w:rsidP="00B85C0B">
      <w:pPr>
        <w:spacing w:after="120" w:line="240" w:lineRule="auto"/>
        <w:jc w:val="both"/>
        <w:rPr>
          <w:rFonts w:ascii="Adobe Caslon Pro" w:hAnsi="Adobe Caslon Pro" w:cs="Arial"/>
          <w:bCs/>
          <w:lang w:val="es-ES_tradnl"/>
        </w:rPr>
      </w:pPr>
      <w:r w:rsidRPr="009E30D1">
        <w:rPr>
          <w:rFonts w:ascii="Adobe Caslon Pro" w:hAnsi="Adobe Caslon Pro" w:cs="Arial"/>
          <w:bCs/>
          <w:lang w:val="es-ES_tradnl"/>
        </w:rPr>
        <w:t>De ahí, la importancia del avance que se dio en 2006 con la aprobación de la Ley General para la Igualdad entre Mujeres y Hombres (LGIMH), en la cual se sustenta el Programa Nacional para la Igualdad entre Mujeres y Hombres 2008-2012 (PROIGUALDAD, 2008), el cual fue el primer documento programático con la definición de objetivos, estrategias y líneas de acción específicas para el adelanto de las mujeres,</w:t>
      </w:r>
      <w:r w:rsidR="00D835B6" w:rsidRPr="009E30D1">
        <w:rPr>
          <w:rFonts w:ascii="Adobe Caslon Pro" w:hAnsi="Adobe Caslon Pro" w:cs="Arial"/>
          <w:bCs/>
          <w:lang w:val="es-ES_tradnl"/>
        </w:rPr>
        <w:t xml:space="preserve"> </w:t>
      </w:r>
      <w:r w:rsidRPr="009E30D1">
        <w:rPr>
          <w:rFonts w:ascii="Adobe Caslon Pro" w:hAnsi="Adobe Caslon Pro" w:cs="Arial"/>
          <w:bCs/>
          <w:lang w:val="es-ES_tradnl"/>
        </w:rPr>
        <w:t xml:space="preserve">formulado por el INMUJERES y alineado al </w:t>
      </w:r>
      <w:r w:rsidR="003D0624" w:rsidRPr="009E30D1">
        <w:rPr>
          <w:rFonts w:ascii="Adobe Caslon Pro" w:hAnsi="Adobe Caslon Pro" w:cs="Arial"/>
          <w:bCs/>
          <w:lang w:val="es-ES_tradnl"/>
        </w:rPr>
        <w:t>PND</w:t>
      </w:r>
      <w:r w:rsidRPr="009E30D1">
        <w:rPr>
          <w:rFonts w:ascii="Adobe Caslon Pro" w:hAnsi="Adobe Caslon Pro" w:cs="Arial"/>
          <w:bCs/>
          <w:lang w:val="es-ES_tradnl"/>
        </w:rPr>
        <w:t xml:space="preserve"> 2007-2012.</w:t>
      </w:r>
      <w:r w:rsidRPr="009E30D1">
        <w:rPr>
          <w:rFonts w:ascii="Adobe Caslon Pro" w:hAnsi="Adobe Caslon Pro" w:cs="Arial"/>
          <w:bCs/>
          <w:vertAlign w:val="superscript"/>
          <w:lang w:val="en-US"/>
        </w:rPr>
        <w:footnoteReference w:id="7"/>
      </w:r>
      <w:r w:rsidR="00D835B6" w:rsidRPr="009E30D1">
        <w:rPr>
          <w:rFonts w:ascii="Adobe Caslon Pro" w:hAnsi="Adobe Caslon Pro" w:cs="Arial"/>
          <w:bCs/>
          <w:lang w:val="es-ES_tradnl"/>
        </w:rPr>
        <w:t xml:space="preserve"> </w:t>
      </w:r>
    </w:p>
    <w:p w:rsidR="001C50F8" w:rsidRPr="009E30D1" w:rsidRDefault="001C50F8" w:rsidP="00B85C0B">
      <w:pPr>
        <w:spacing w:after="120" w:line="240" w:lineRule="auto"/>
        <w:jc w:val="both"/>
        <w:rPr>
          <w:rFonts w:ascii="Adobe Caslon Pro" w:hAnsi="Adobe Caslon Pro" w:cs="Arial"/>
          <w:bCs/>
          <w:lang w:val="es-ES_tradnl"/>
        </w:rPr>
      </w:pPr>
      <w:r w:rsidRPr="009E30D1">
        <w:rPr>
          <w:rFonts w:ascii="Adobe Caslon Pro" w:hAnsi="Adobe Caslon Pro" w:cs="Arial"/>
          <w:bCs/>
          <w:lang w:val="es-ES_tradnl"/>
        </w:rPr>
        <w:t xml:space="preserve">Sin embargo, el paso definitivo en la delineación de una referencia normativa nacional en materia de violencia de género se dio con la aprobación en 2007 de la Ley General de Acceso de las Mujeres a una Vida Libre de Violencia (LGAMVLV) y su Reglamento (2008); a partir de la cual se inician diferentes procesos de armonización legislativa en las entidades federativas. </w:t>
      </w:r>
    </w:p>
    <w:p w:rsidR="001C50F8" w:rsidRPr="009E30D1" w:rsidRDefault="001C50F8" w:rsidP="00B85C0B">
      <w:pPr>
        <w:autoSpaceDE w:val="0"/>
        <w:autoSpaceDN w:val="0"/>
        <w:adjustRightInd w:val="0"/>
        <w:spacing w:after="120" w:line="240" w:lineRule="auto"/>
        <w:jc w:val="both"/>
        <w:rPr>
          <w:rFonts w:ascii="Adobe Caslon Pro" w:hAnsi="Adobe Caslon Pro" w:cs="Arial"/>
        </w:rPr>
      </w:pPr>
      <w:r w:rsidRPr="009E30D1">
        <w:rPr>
          <w:rFonts w:ascii="Adobe Caslon Pro" w:hAnsi="Adobe Caslon Pro" w:cs="Arial"/>
        </w:rPr>
        <w:t xml:space="preserve">Cabe destacar, que otros dos avances importantes en materia de prevención y atención de la violencia familiar y de la violencia de género contra las mujeres en el ámbito federal, se ubican en el Sector Salud, por medio de la normalización de sus servicios en esta materia a través de la </w:t>
      </w:r>
      <w:r w:rsidRPr="009E30D1">
        <w:rPr>
          <w:rFonts w:ascii="Adobe Caslon Pro" w:hAnsi="Adobe Caslon Pro" w:cs="Arial"/>
          <w:bCs/>
          <w:i/>
          <w:lang w:eastAsia="es-MX"/>
        </w:rPr>
        <w:t>NOM-046-SSA2-2005. Violencia familiar, sexual y contra las mujeres. Criterios para la prevención y atención</w:t>
      </w:r>
      <w:r w:rsidRPr="009E30D1">
        <w:rPr>
          <w:rFonts w:ascii="Adobe Caslon Pro" w:hAnsi="Adobe Caslon Pro" w:cs="Arial"/>
          <w:bCs/>
          <w:lang w:eastAsia="es-MX"/>
        </w:rPr>
        <w:t>; cuyo antecedente fue la Norma Oficial Mexicana 190 (2000). La NOM-046 se sustenta en las atribuciones que marca la LGAMVLV en su artículo 46</w:t>
      </w:r>
      <w:proofErr w:type="gramStart"/>
      <w:r w:rsidR="00417EF3" w:rsidRPr="009E30D1">
        <w:rPr>
          <w:rFonts w:ascii="Adobe Caslon Pro" w:hAnsi="Adobe Caslon Pro" w:cs="Arial"/>
          <w:bCs/>
          <w:lang w:eastAsia="es-MX"/>
        </w:rPr>
        <w:t>.°</w:t>
      </w:r>
      <w:proofErr w:type="gramEnd"/>
      <w:r w:rsidRPr="009E30D1">
        <w:rPr>
          <w:rFonts w:ascii="Adobe Caslon Pro" w:hAnsi="Adobe Caslon Pro" w:cs="Arial"/>
          <w:bCs/>
          <w:lang w:eastAsia="es-MX"/>
        </w:rPr>
        <w:t xml:space="preserve"> para la Secretaría de Salud. Así como, su</w:t>
      </w:r>
      <w:r w:rsidRPr="009E30D1">
        <w:rPr>
          <w:rFonts w:ascii="Adobe Caslon Pro" w:hAnsi="Adobe Caslon Pro" w:cs="Arial"/>
          <w:bCs/>
          <w:i/>
          <w:lang w:eastAsia="es-MX"/>
        </w:rPr>
        <w:t xml:space="preserve"> Programa de Acción Específico 2007-2012. Prevención y Atención de la Violencia Familiar y de Género</w:t>
      </w:r>
      <w:r w:rsidRPr="009E30D1">
        <w:rPr>
          <w:rFonts w:ascii="Adobe Caslon Pro" w:hAnsi="Adobe Caslon Pro" w:cs="Arial"/>
          <w:bCs/>
          <w:lang w:eastAsia="es-MX"/>
        </w:rPr>
        <w:t xml:space="preserve">, el cual se encuentra en armonía con los tratados internacionales ya mencionados y lo que marca la </w:t>
      </w:r>
      <w:r w:rsidRPr="009E30D1">
        <w:rPr>
          <w:rFonts w:ascii="Adobe Caslon Pro" w:hAnsi="Adobe Caslon Pro" w:cs="Arial"/>
          <w:bCs/>
          <w:lang w:eastAsia="es-MX"/>
        </w:rPr>
        <w:lastRenderedPageBreak/>
        <w:t xml:space="preserve">LGAMVLV respecto a la responsabilidad del sector salud </w:t>
      </w:r>
      <w:r w:rsidRPr="009E30D1">
        <w:rPr>
          <w:rFonts w:ascii="Adobe Caslon Pro" w:hAnsi="Adobe Caslon Pro" w:cs="Arial"/>
        </w:rPr>
        <w:t>de la atención médica y psicológica de las mujeres en situación de violencia, entre otras.</w:t>
      </w:r>
      <w:r w:rsidRPr="009E30D1">
        <w:rPr>
          <w:rStyle w:val="Refdenotaalpie"/>
          <w:rFonts w:ascii="Adobe Caslon Pro" w:hAnsi="Adobe Caslon Pro" w:cs="Arial"/>
        </w:rPr>
        <w:footnoteReference w:id="8"/>
      </w:r>
    </w:p>
    <w:p w:rsidR="001C50F8" w:rsidRPr="009E30D1" w:rsidRDefault="001C50F8" w:rsidP="00B85C0B">
      <w:pPr>
        <w:autoSpaceDE w:val="0"/>
        <w:autoSpaceDN w:val="0"/>
        <w:adjustRightInd w:val="0"/>
        <w:spacing w:after="120" w:line="240" w:lineRule="auto"/>
        <w:jc w:val="both"/>
        <w:rPr>
          <w:rFonts w:ascii="Adobe Caslon Pro" w:hAnsi="Adobe Caslon Pro" w:cs="Arial"/>
        </w:rPr>
      </w:pPr>
      <w:r w:rsidRPr="009E30D1">
        <w:rPr>
          <w:rFonts w:ascii="Adobe Caslon Pro" w:hAnsi="Adobe Caslon Pro" w:cs="Arial"/>
        </w:rPr>
        <w:t xml:space="preserve">Así, en el terreno de la política social, un avance significativo para fortalecer a las instancias estatales de la mujer fue contar con recursos federales específicos al incorporarse en el Presupuesto de Egresos de la Federación de 2006 el </w:t>
      </w:r>
      <w:r w:rsidRPr="009E30D1">
        <w:rPr>
          <w:rFonts w:ascii="Adobe Caslon Pro" w:hAnsi="Adobe Caslon Pro" w:cs="Arial"/>
          <w:i/>
        </w:rPr>
        <w:t>Programa de Apoyo a las Instancias de Mujeres en las Entidades Federativas, para Implementar y Ejecutar Programas de Prevención de la Violencia contra las Mujeres</w:t>
      </w:r>
      <w:r w:rsidRPr="009E30D1">
        <w:rPr>
          <w:rFonts w:ascii="Adobe Caslon Pro" w:hAnsi="Adobe Caslon Pro" w:cs="Arial"/>
        </w:rPr>
        <w:t xml:space="preserve"> (PAIMEF). En 2006 inicia operación el PAIMEF, el cual se inscribe en estos avances significativos que han contribuido a generar las condiciones para garantizar el derecho de las mujeres a una vida libre de violencia</w:t>
      </w:r>
      <w:r w:rsidR="003D0624" w:rsidRPr="009E30D1">
        <w:rPr>
          <w:rStyle w:val="Refdenotaalpie"/>
          <w:rFonts w:ascii="Adobe Caslon Pro" w:hAnsi="Adobe Caslon Pro" w:cs="Arial"/>
        </w:rPr>
        <w:footnoteReference w:id="9"/>
      </w:r>
      <w:r w:rsidRPr="009E30D1">
        <w:rPr>
          <w:rFonts w:ascii="Adobe Caslon Pro" w:hAnsi="Adobe Caslon Pro" w:cs="Arial"/>
        </w:rPr>
        <w:t>. El Instituto Nacional de Desarrollo Social (INDESOL) opera el PAIMEF, “como un instrumento del Gobierno Federal para distribuir recursos orientados a la implementación y ejecución de acciones de prevención y atención de la violencia contra las mujeres, que promuevan la defensa de sus derechos y</w:t>
      </w:r>
      <w:r w:rsidR="00D835B6" w:rsidRPr="009E30D1">
        <w:rPr>
          <w:rFonts w:ascii="Adobe Caslon Pro" w:hAnsi="Adobe Caslon Pro" w:cs="Arial"/>
        </w:rPr>
        <w:t xml:space="preserve"> </w:t>
      </w:r>
      <w:r w:rsidRPr="009E30D1">
        <w:rPr>
          <w:rFonts w:ascii="Adobe Caslon Pro" w:hAnsi="Adobe Caslon Pro" w:cs="Arial"/>
        </w:rPr>
        <w:t>su participación en los espacios de decisión pública para avanzar en la erradicación de la violencia y la promoción de una cultura de respeto y reconocimiento a la dignidad de las mujeres mexicanas”. El PAIMEF, es el principal programa federal con el que se atiende la violencia en contra de las mujeres en el país</w:t>
      </w:r>
      <w:r w:rsidR="00F52152" w:rsidRPr="009E30D1">
        <w:rPr>
          <w:rFonts w:ascii="Adobe Caslon Pro" w:hAnsi="Adobe Caslon Pro" w:cs="Arial"/>
        </w:rPr>
        <w:t>,</w:t>
      </w:r>
      <w:r w:rsidRPr="009E30D1">
        <w:rPr>
          <w:rFonts w:ascii="Adobe Caslon Pro" w:hAnsi="Adobe Caslon Pro" w:cs="Arial"/>
        </w:rPr>
        <w:t xml:space="preserve"> por ello resulta trascendental perfilar sus alcances como elemento sustancial de la política social </w:t>
      </w:r>
      <w:r w:rsidR="00F52152" w:rsidRPr="009E30D1">
        <w:rPr>
          <w:rFonts w:ascii="Adobe Caslon Pro" w:hAnsi="Adobe Caslon Pro" w:cs="Arial"/>
        </w:rPr>
        <w:t>d</w:t>
      </w:r>
      <w:r w:rsidRPr="009E30D1">
        <w:rPr>
          <w:rFonts w:ascii="Adobe Caslon Pro" w:hAnsi="Adobe Caslon Pro" w:cs="Arial"/>
        </w:rPr>
        <w:t xml:space="preserve">el Estado Mexicano </w:t>
      </w:r>
      <w:r w:rsidR="00F52152" w:rsidRPr="009E30D1">
        <w:rPr>
          <w:rFonts w:ascii="Adobe Caslon Pro" w:hAnsi="Adobe Caslon Pro" w:cs="Arial"/>
        </w:rPr>
        <w:t xml:space="preserve">para </w:t>
      </w:r>
      <w:r w:rsidRPr="009E30D1">
        <w:rPr>
          <w:rFonts w:ascii="Adobe Caslon Pro" w:hAnsi="Adobe Caslon Pro" w:cs="Arial"/>
        </w:rPr>
        <w:t>impulsa</w:t>
      </w:r>
      <w:r w:rsidR="00F52152" w:rsidRPr="009E30D1">
        <w:rPr>
          <w:rFonts w:ascii="Adobe Caslon Pro" w:hAnsi="Adobe Caslon Pro" w:cs="Arial"/>
        </w:rPr>
        <w:t xml:space="preserve">r acciones que permitan </w:t>
      </w:r>
      <w:r w:rsidRPr="009E30D1">
        <w:rPr>
          <w:rFonts w:ascii="Adobe Caslon Pro" w:hAnsi="Adobe Caslon Pro" w:cs="Arial"/>
        </w:rPr>
        <w:t>a dar cumplimiento a los compromisos internacionales en la materia.</w:t>
      </w:r>
    </w:p>
    <w:p w:rsidR="003A54A8" w:rsidRPr="009E30D1" w:rsidRDefault="003A54A8" w:rsidP="00B85C0B">
      <w:pPr>
        <w:spacing w:after="120"/>
        <w:rPr>
          <w:rFonts w:ascii="Adobe Caslon Pro" w:eastAsiaTheme="majorEastAsia" w:hAnsi="Adobe Caslon Pro" w:cstheme="majorBidi"/>
          <w:b/>
          <w:bCs/>
          <w:color w:val="C00000"/>
          <w:sz w:val="28"/>
          <w:szCs w:val="26"/>
        </w:rPr>
      </w:pPr>
      <w:r w:rsidRPr="009E30D1">
        <w:br w:type="page"/>
      </w:r>
    </w:p>
    <w:p w:rsidR="00B35BAE" w:rsidRPr="009E30D1" w:rsidRDefault="00DC3F30" w:rsidP="00B85C0B">
      <w:pPr>
        <w:pStyle w:val="Ttulo2"/>
        <w:spacing w:before="0" w:after="120"/>
      </w:pPr>
      <w:bookmarkStart w:id="10" w:name="_Toc391883372"/>
      <w:r w:rsidRPr="009E30D1">
        <w:lastRenderedPageBreak/>
        <w:t xml:space="preserve">2.2 </w:t>
      </w:r>
      <w:r w:rsidR="00B35BAE" w:rsidRPr="009E30D1">
        <w:t>Análisis del Problema</w:t>
      </w:r>
      <w:bookmarkEnd w:id="10"/>
    </w:p>
    <w:p w:rsidR="00A26311" w:rsidRPr="009E30D1" w:rsidRDefault="00A26311" w:rsidP="00B85C0B">
      <w:pPr>
        <w:spacing w:after="120" w:line="240" w:lineRule="auto"/>
        <w:jc w:val="both"/>
        <w:rPr>
          <w:rFonts w:ascii="Adobe Caslon Pro" w:hAnsi="Adobe Caslon Pro"/>
          <w:iCs/>
          <w:lang w:val="es-ES_tradnl"/>
        </w:rPr>
      </w:pPr>
      <w:r w:rsidRPr="009E30D1">
        <w:rPr>
          <w:rFonts w:ascii="Adobe Caslon Pro" w:hAnsi="Adobe Caslon Pro"/>
          <w:iCs/>
          <w:lang w:val="es-ES_tradnl"/>
        </w:rPr>
        <w:t>La violencia contra niñas</w:t>
      </w:r>
      <w:r w:rsidR="006128C7">
        <w:rPr>
          <w:rFonts w:ascii="Adobe Caslon Pro" w:hAnsi="Adobe Caslon Pro"/>
          <w:iCs/>
          <w:lang w:val="es-ES_tradnl"/>
        </w:rPr>
        <w:t>,</w:t>
      </w:r>
      <w:r w:rsidRPr="009E30D1">
        <w:rPr>
          <w:rFonts w:ascii="Adobe Caslon Pro" w:hAnsi="Adobe Caslon Pro"/>
          <w:iCs/>
          <w:vertAlign w:val="superscript"/>
          <w:lang w:val="es-ES_tradnl"/>
        </w:rPr>
        <w:footnoteReference w:id="10"/>
      </w:r>
      <w:r w:rsidR="000647BB" w:rsidRPr="009E30D1">
        <w:rPr>
          <w:rFonts w:ascii="Adobe Caslon Pro" w:hAnsi="Adobe Caslon Pro"/>
          <w:iCs/>
          <w:lang w:val="es-ES_tradnl"/>
        </w:rPr>
        <w:t xml:space="preserve"> adolescentes</w:t>
      </w:r>
      <w:r w:rsidRPr="009E30D1">
        <w:rPr>
          <w:rFonts w:ascii="Adobe Caslon Pro" w:hAnsi="Adobe Caslon Pro"/>
          <w:iCs/>
          <w:lang w:val="es-ES_tradnl"/>
        </w:rPr>
        <w:t xml:space="preserve"> y mujeres persiste en todos los países del mundo y es una de las prácticas más frecuentes de violación de los derechos humanos. La Declaración sobre la Eliminación de la Violencia hacia la Mujer, realizada por la Asamblea General de Naciones Unidas</w:t>
      </w:r>
      <w:r w:rsidR="006128C7">
        <w:rPr>
          <w:rFonts w:ascii="Adobe Caslon Pro" w:hAnsi="Adobe Caslon Pro"/>
          <w:iCs/>
          <w:lang w:val="es-ES_tradnl"/>
        </w:rPr>
        <w:t>,</w:t>
      </w:r>
      <w:r w:rsidRPr="009E30D1">
        <w:rPr>
          <w:rFonts w:ascii="Adobe Caslon Pro" w:hAnsi="Adobe Caslon Pro"/>
          <w:iCs/>
          <w:vertAlign w:val="superscript"/>
          <w:lang w:val="es-ES_tradnl"/>
        </w:rPr>
        <w:footnoteReference w:id="11"/>
      </w:r>
      <w:r w:rsidRPr="009E30D1">
        <w:rPr>
          <w:rFonts w:ascii="Adobe Caslon Pro" w:hAnsi="Adobe Caslon Pro"/>
          <w:iCs/>
          <w:lang w:val="es-ES_tradnl"/>
        </w:rPr>
        <w:t xml:space="preserve"> define la violencia contra las mujeres </w:t>
      </w:r>
      <w:r w:rsidR="009D66CE" w:rsidRPr="009E30D1">
        <w:rPr>
          <w:rFonts w:ascii="Adobe Caslon Pro" w:hAnsi="Adobe Caslon Pro"/>
          <w:iCs/>
          <w:lang w:val="es-ES_tradnl"/>
        </w:rPr>
        <w:t>como:</w:t>
      </w:r>
      <w:r w:rsidRPr="009E30D1">
        <w:rPr>
          <w:rFonts w:ascii="Adobe Caslon Pro" w:hAnsi="Adobe Caslon Pro"/>
          <w:iCs/>
          <w:lang w:val="es-ES_tradnl"/>
        </w:rPr>
        <w:t xml:space="preserve"> “[…] todo acto de violencia basado en la pertenencia al sexo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rsidR="006128C7">
        <w:rPr>
          <w:rFonts w:ascii="Adobe Caslon Pro" w:hAnsi="Adobe Caslon Pro"/>
          <w:iCs/>
          <w:lang w:val="es-ES_tradnl"/>
        </w:rPr>
        <w:t>.</w:t>
      </w:r>
      <w:r w:rsidRPr="009E30D1">
        <w:rPr>
          <w:rFonts w:ascii="Adobe Caslon Pro" w:hAnsi="Adobe Caslon Pro"/>
          <w:iCs/>
          <w:lang w:val="es-ES_tradnl"/>
        </w:rPr>
        <w:t>”</w:t>
      </w:r>
      <w:r w:rsidRPr="009E30D1">
        <w:rPr>
          <w:rFonts w:ascii="Adobe Caslon Pro" w:hAnsi="Adobe Caslon Pro"/>
          <w:iCs/>
          <w:vertAlign w:val="superscript"/>
          <w:lang w:val="es-ES_tradnl"/>
        </w:rPr>
        <w:footnoteReference w:id="12"/>
      </w:r>
      <w:r w:rsidRPr="009E30D1">
        <w:rPr>
          <w:rFonts w:ascii="Adobe Caslon Pro" w:hAnsi="Adobe Caslon Pro"/>
          <w:iCs/>
          <w:lang w:val="es-ES_tradnl"/>
        </w:rPr>
        <w:t xml:space="preserve"> </w:t>
      </w:r>
    </w:p>
    <w:p w:rsidR="00A26311" w:rsidRPr="009E30D1" w:rsidRDefault="00A26311" w:rsidP="00B85C0B">
      <w:pPr>
        <w:spacing w:after="120" w:line="240" w:lineRule="auto"/>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En México, el artículo 5</w:t>
      </w:r>
      <w:r w:rsidR="00417EF3" w:rsidRPr="009E30D1">
        <w:rPr>
          <w:rStyle w:val="nfasis"/>
          <w:rFonts w:ascii="Adobe Caslon Pro" w:hAnsi="Adobe Caslon Pro" w:cs="Arial"/>
          <w:i w:val="0"/>
          <w:lang w:val="es-ES_tradnl"/>
        </w:rPr>
        <w:t>.</w:t>
      </w:r>
      <w:r w:rsidRPr="009E30D1">
        <w:rPr>
          <w:rStyle w:val="nfasis"/>
          <w:rFonts w:ascii="Adobe Caslon Pro" w:hAnsi="Adobe Caslon Pro" w:cs="Arial"/>
          <w:i w:val="0"/>
          <w:vertAlign w:val="superscript"/>
          <w:lang w:val="es-ES_tradnl"/>
        </w:rPr>
        <w:t>o</w:t>
      </w:r>
      <w:r w:rsidRPr="009E30D1">
        <w:rPr>
          <w:rStyle w:val="nfasis"/>
          <w:rFonts w:ascii="Adobe Caslon Pro" w:hAnsi="Adobe Caslon Pro" w:cs="Arial"/>
          <w:i w:val="0"/>
          <w:lang w:val="es-ES_tradnl"/>
        </w:rPr>
        <w:t xml:space="preserve"> de la </w:t>
      </w:r>
      <w:r w:rsidR="002528BC" w:rsidRPr="009E30D1">
        <w:rPr>
          <w:rStyle w:val="nfasis"/>
          <w:rFonts w:ascii="Adobe Caslon Pro" w:hAnsi="Adobe Caslon Pro" w:cs="Arial"/>
          <w:i w:val="0"/>
          <w:lang w:val="es-ES_tradnl"/>
        </w:rPr>
        <w:t>LGAMVLV define la violencia contra las m</w:t>
      </w:r>
      <w:r w:rsidRPr="009E30D1">
        <w:rPr>
          <w:rStyle w:val="nfasis"/>
          <w:rFonts w:ascii="Adobe Caslon Pro" w:hAnsi="Adobe Caslon Pro" w:cs="Arial"/>
          <w:i w:val="0"/>
          <w:lang w:val="es-ES_tradnl"/>
        </w:rPr>
        <w:t>ujeres como “Cualquier acción u omisión, basada en su género, que les cause daño o sufrimiento psicológico, físico, patrimonial, económico, sexual o la muerte tanto en el ámbito privado como en el públic</w:t>
      </w:r>
      <w:r w:rsidR="009D66CE" w:rsidRPr="009E30D1">
        <w:rPr>
          <w:rStyle w:val="nfasis"/>
          <w:rFonts w:ascii="Adobe Caslon Pro" w:hAnsi="Adobe Caslon Pro" w:cs="Arial"/>
          <w:i w:val="0"/>
          <w:lang w:val="es-ES_tradnl"/>
        </w:rPr>
        <w:t>o”. Por su parte, el artículo 6</w:t>
      </w:r>
      <w:r w:rsidR="00417EF3" w:rsidRPr="009E30D1">
        <w:rPr>
          <w:rStyle w:val="nfasis"/>
          <w:rFonts w:ascii="Adobe Caslon Pro" w:hAnsi="Adobe Caslon Pro" w:cs="Arial"/>
          <w:i w:val="0"/>
          <w:lang w:val="es-ES_tradnl"/>
        </w:rPr>
        <w:t>.</w:t>
      </w:r>
      <w:r w:rsidRPr="009E30D1">
        <w:rPr>
          <w:rStyle w:val="nfasis"/>
          <w:rFonts w:ascii="Adobe Caslon Pro" w:hAnsi="Adobe Caslon Pro" w:cs="Arial"/>
          <w:i w:val="0"/>
          <w:vertAlign w:val="superscript"/>
          <w:lang w:val="es-ES_tradnl"/>
        </w:rPr>
        <w:t>o</w:t>
      </w:r>
      <w:r w:rsidRPr="009E30D1">
        <w:rPr>
          <w:rStyle w:val="nfasis"/>
          <w:rFonts w:ascii="Adobe Caslon Pro" w:hAnsi="Adobe Caslon Pro" w:cs="Arial"/>
          <w:i w:val="0"/>
          <w:lang w:val="es-ES_tradnl"/>
        </w:rPr>
        <w:t xml:space="preserve"> reconoce los siguientes tipos de violencia:</w:t>
      </w:r>
    </w:p>
    <w:p w:rsidR="00A26311" w:rsidRPr="009E30D1" w:rsidRDefault="00A26311" w:rsidP="00B85C0B">
      <w:pPr>
        <w:spacing w:after="120" w:line="240" w:lineRule="auto"/>
        <w:ind w:left="426" w:right="476"/>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I. La violencia psicológica.</w:t>
      </w:r>
    </w:p>
    <w:p w:rsidR="00A26311" w:rsidRPr="009E30D1" w:rsidRDefault="00A26311" w:rsidP="00B85C0B">
      <w:pPr>
        <w:spacing w:after="120" w:line="240" w:lineRule="auto"/>
        <w:ind w:left="426" w:right="476"/>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II. La violencia física.</w:t>
      </w:r>
    </w:p>
    <w:p w:rsidR="00A26311" w:rsidRPr="009E30D1" w:rsidRDefault="00A26311" w:rsidP="00B85C0B">
      <w:pPr>
        <w:spacing w:after="120" w:line="240" w:lineRule="auto"/>
        <w:ind w:left="426" w:right="476"/>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III. La violencia patrimonial.</w:t>
      </w:r>
    </w:p>
    <w:p w:rsidR="00A26311" w:rsidRPr="009E30D1" w:rsidRDefault="00A26311" w:rsidP="00B85C0B">
      <w:pPr>
        <w:spacing w:after="120" w:line="240" w:lineRule="auto"/>
        <w:ind w:left="426" w:right="476"/>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IV. Violencia económica.</w:t>
      </w:r>
    </w:p>
    <w:p w:rsidR="00A26311" w:rsidRPr="009E30D1" w:rsidRDefault="00A26311" w:rsidP="00B85C0B">
      <w:pPr>
        <w:spacing w:after="120" w:line="240" w:lineRule="auto"/>
        <w:ind w:left="426" w:right="476"/>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V. La violencia sexual.</w:t>
      </w:r>
    </w:p>
    <w:p w:rsidR="00A26311" w:rsidRPr="009E30D1" w:rsidRDefault="00A26311" w:rsidP="00B85C0B">
      <w:pPr>
        <w:spacing w:after="120" w:line="240" w:lineRule="auto"/>
        <w:ind w:left="426" w:right="476"/>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VI. Cualesquiera otras formas análogas que lesionen o sean susceptibles de dañar la dignidad, integridad o libertad de las mujeres.</w:t>
      </w:r>
    </w:p>
    <w:p w:rsidR="00A26311" w:rsidRPr="009E30D1" w:rsidRDefault="00A26311" w:rsidP="00B85C0B">
      <w:pPr>
        <w:spacing w:after="120" w:line="240" w:lineRule="auto"/>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 xml:space="preserve">Con base en lo anterior, en las últimas décadas se han implementado acciones para erradicar la violencia contra las mujeres, una de éstas es la investigación y medición de la magnitud de dicho fenómeno. En 2003 se realizó por primera vez en México la Encuesta Nacional sobre la Dinámica de las Relaciones en los Hogares (ENDIREH), con el objeto de estimar la violencia ejercida contra las mujeres mayores de 15 años. Los resultados de dicha encuesta se han convertido en un insumo </w:t>
      </w:r>
      <w:r w:rsidRPr="009E30D1">
        <w:rPr>
          <w:rStyle w:val="nfasis"/>
          <w:rFonts w:ascii="Adobe Caslon Pro" w:hAnsi="Adobe Caslon Pro" w:cs="Arial"/>
          <w:i w:val="0"/>
          <w:lang w:val="es-ES_tradnl"/>
        </w:rPr>
        <w:lastRenderedPageBreak/>
        <w:t>obligado para el diseño de programas y políticas públicas que buscan responder eficazmente a esta problemática.</w:t>
      </w:r>
    </w:p>
    <w:p w:rsidR="00A26311" w:rsidRPr="009E30D1" w:rsidRDefault="00A26311" w:rsidP="00B85C0B">
      <w:pPr>
        <w:spacing w:after="120" w:line="240" w:lineRule="auto"/>
        <w:jc w:val="both"/>
        <w:rPr>
          <w:rStyle w:val="nfasis"/>
          <w:rFonts w:ascii="Adobe Caslon Pro" w:hAnsi="Adobe Caslon Pro" w:cs="Arial"/>
          <w:i w:val="0"/>
          <w:lang w:val="es-ES_tradnl"/>
        </w:rPr>
      </w:pPr>
      <w:r w:rsidRPr="009E30D1">
        <w:rPr>
          <w:rStyle w:val="nfasis"/>
          <w:rFonts w:ascii="Adobe Caslon Pro" w:hAnsi="Adobe Caslon Pro" w:cs="Arial"/>
          <w:i w:val="0"/>
          <w:lang w:val="es-ES_tradnl"/>
        </w:rPr>
        <w:t xml:space="preserve">En los años 2006 y 2011 se llevaron a cabo el segundo y tercer levantamiento de la ENDIREH, con ello se ha profundizado en el conocimiento de la violencia contra las mujeres. En el plano nacional, en 2011 el 58.4% de las mujeres mayores </w:t>
      </w:r>
      <w:r w:rsidR="000647BB" w:rsidRPr="009E30D1">
        <w:rPr>
          <w:rStyle w:val="nfasis"/>
          <w:rFonts w:ascii="Adobe Caslon Pro" w:hAnsi="Adobe Caslon Pro" w:cs="Arial"/>
          <w:i w:val="0"/>
          <w:lang w:val="es-ES_tradnl"/>
        </w:rPr>
        <w:t>de</w:t>
      </w:r>
      <w:r w:rsidRPr="009E30D1">
        <w:rPr>
          <w:rStyle w:val="nfasis"/>
          <w:rFonts w:ascii="Adobe Caslon Pro" w:hAnsi="Adobe Caslon Pro" w:cs="Arial"/>
          <w:i w:val="0"/>
          <w:lang w:val="es-ES_tradnl"/>
        </w:rPr>
        <w:t xml:space="preserve"> 15 años fueron víctimas de violencia; de este porcentaje, 44% vivieron al menos un acto de violencia a lo largo de su reciente relación de pareja. Por otro lado, 37% declaró que fue víctima de violencia en el ámbito laboral, escolar y social. Asimismo, los incidentes de violencia registrados son de índole emocional, económica, física y sexual. En este mismo sentido, 25.5% de las mujeres mayores de 15 años han padecido a manos de su pareja un hecho de vi</w:t>
      </w:r>
      <w:r w:rsidR="000647BB" w:rsidRPr="009E30D1">
        <w:rPr>
          <w:rStyle w:val="nfasis"/>
          <w:rFonts w:ascii="Adobe Caslon Pro" w:hAnsi="Adobe Caslon Pro" w:cs="Arial"/>
          <w:i w:val="0"/>
          <w:lang w:val="es-ES_tradnl"/>
        </w:rPr>
        <w:t xml:space="preserve">olencia en los últimos 12 meses. Por tipo </w:t>
      </w:r>
      <w:r w:rsidRPr="009E30D1">
        <w:rPr>
          <w:rStyle w:val="nfasis"/>
          <w:rFonts w:ascii="Adobe Caslon Pro" w:hAnsi="Adobe Caslon Pro" w:cs="Arial"/>
          <w:i w:val="0"/>
          <w:lang w:val="es-ES_tradnl"/>
        </w:rPr>
        <w:t>de violencia, l</w:t>
      </w:r>
      <w:r w:rsidR="000647BB" w:rsidRPr="009E30D1">
        <w:rPr>
          <w:rStyle w:val="nfasis"/>
          <w:rFonts w:ascii="Adobe Caslon Pro" w:hAnsi="Adobe Caslon Pro" w:cs="Arial"/>
          <w:i w:val="0"/>
          <w:lang w:val="es-ES_tradnl"/>
        </w:rPr>
        <w:t>a más frecuente es la emocional (</w:t>
      </w:r>
      <w:r w:rsidRPr="009E30D1">
        <w:rPr>
          <w:rStyle w:val="nfasis"/>
          <w:rFonts w:ascii="Adobe Caslon Pro" w:hAnsi="Adobe Caslon Pro" w:cs="Arial"/>
          <w:i w:val="0"/>
          <w:lang w:val="es-ES_tradnl"/>
        </w:rPr>
        <w:t>declarada por 21.5% de las mujeres</w:t>
      </w:r>
      <w:r w:rsidR="000647BB" w:rsidRPr="009E30D1">
        <w:rPr>
          <w:rStyle w:val="nfasis"/>
          <w:rFonts w:ascii="Adobe Caslon Pro" w:hAnsi="Adobe Caslon Pro" w:cs="Arial"/>
          <w:i w:val="0"/>
          <w:lang w:val="es-ES_tradnl"/>
        </w:rPr>
        <w:t>)</w:t>
      </w:r>
      <w:r w:rsidRPr="009E30D1">
        <w:rPr>
          <w:rStyle w:val="nfasis"/>
          <w:rFonts w:ascii="Adobe Caslon Pro" w:hAnsi="Adobe Caslon Pro" w:cs="Arial"/>
          <w:i w:val="0"/>
          <w:lang w:val="es-ES_tradnl"/>
        </w:rPr>
        <w:t xml:space="preserve">, seguida de la económica </w:t>
      </w:r>
      <w:r w:rsidR="000647BB" w:rsidRPr="009E30D1">
        <w:rPr>
          <w:rStyle w:val="nfasis"/>
          <w:rFonts w:ascii="Adobe Caslon Pro" w:hAnsi="Adobe Caslon Pro" w:cs="Arial"/>
          <w:i w:val="0"/>
          <w:lang w:val="es-ES_tradnl"/>
        </w:rPr>
        <w:t xml:space="preserve">(11.3%), </w:t>
      </w:r>
      <w:r w:rsidRPr="009E30D1">
        <w:rPr>
          <w:rStyle w:val="nfasis"/>
          <w:rFonts w:ascii="Adobe Caslon Pro" w:hAnsi="Adobe Caslon Pro" w:cs="Arial"/>
          <w:i w:val="0"/>
          <w:lang w:val="es-ES_tradnl"/>
        </w:rPr>
        <w:t xml:space="preserve">la física </w:t>
      </w:r>
      <w:r w:rsidR="000647BB" w:rsidRPr="009E30D1">
        <w:rPr>
          <w:rStyle w:val="nfasis"/>
          <w:rFonts w:ascii="Adobe Caslon Pro" w:hAnsi="Adobe Caslon Pro" w:cs="Arial"/>
          <w:i w:val="0"/>
          <w:lang w:val="es-ES_tradnl"/>
        </w:rPr>
        <w:t>(4.6%),</w:t>
      </w:r>
      <w:r w:rsidRPr="009E30D1">
        <w:rPr>
          <w:rStyle w:val="nfasis"/>
          <w:rFonts w:ascii="Adobe Caslon Pro" w:hAnsi="Adobe Caslon Pro" w:cs="Arial"/>
          <w:i w:val="0"/>
          <w:lang w:val="es-ES_tradnl"/>
        </w:rPr>
        <w:t xml:space="preserve"> y la sexual</w:t>
      </w:r>
      <w:r w:rsidR="000647BB" w:rsidRPr="009E30D1">
        <w:rPr>
          <w:rStyle w:val="nfasis"/>
          <w:rFonts w:ascii="Adobe Caslon Pro" w:hAnsi="Adobe Caslon Pro" w:cs="Arial"/>
          <w:i w:val="0"/>
          <w:lang w:val="es-ES_tradnl"/>
        </w:rPr>
        <w:t xml:space="preserve"> (</w:t>
      </w:r>
      <w:r w:rsidRPr="009E30D1">
        <w:rPr>
          <w:rStyle w:val="nfasis"/>
          <w:rFonts w:ascii="Adobe Caslon Pro" w:hAnsi="Adobe Caslon Pro" w:cs="Arial"/>
          <w:i w:val="0"/>
          <w:lang w:val="es-ES_tradnl"/>
        </w:rPr>
        <w:t>2.2%</w:t>
      </w:r>
      <w:r w:rsidR="000647BB" w:rsidRPr="009E30D1">
        <w:rPr>
          <w:rStyle w:val="nfasis"/>
          <w:rFonts w:ascii="Adobe Caslon Pro" w:hAnsi="Adobe Caslon Pro" w:cs="Arial"/>
          <w:i w:val="0"/>
          <w:lang w:val="es-ES_tradnl"/>
        </w:rPr>
        <w:t>) [ENDIREH 2011, INEGI]</w:t>
      </w:r>
      <w:r w:rsidRPr="009E30D1">
        <w:rPr>
          <w:rStyle w:val="nfasis"/>
          <w:rFonts w:ascii="Adobe Caslon Pro" w:hAnsi="Adobe Caslon Pro" w:cs="Arial"/>
          <w:i w:val="0"/>
          <w:lang w:val="es-ES_tradnl"/>
        </w:rPr>
        <w:t>.</w:t>
      </w:r>
    </w:p>
    <w:p w:rsidR="00393D04" w:rsidRPr="009E30D1" w:rsidRDefault="00854937" w:rsidP="00B85C0B">
      <w:pPr>
        <w:spacing w:after="120" w:line="240" w:lineRule="auto"/>
        <w:rPr>
          <w:rStyle w:val="nfasis"/>
          <w:rFonts w:ascii="Adobe Caslon Pro" w:hAnsi="Adobe Caslon Pro" w:cs="Arial"/>
          <w:i w:val="0"/>
          <w:lang w:val="es-ES_tradnl"/>
        </w:rPr>
      </w:pPr>
      <w:r w:rsidRPr="009E30D1">
        <w:rPr>
          <w:rStyle w:val="nfasis"/>
          <w:rFonts w:ascii="Adobe Caslon Pro" w:hAnsi="Adobe Caslon Pro" w:cs="Arial"/>
          <w:i w:val="0"/>
          <w:lang w:val="es-ES_tradnl"/>
        </w:rPr>
        <w:t xml:space="preserve">A continuación se presenta mediante el </w:t>
      </w:r>
      <w:r w:rsidR="00F4489E" w:rsidRPr="009E30D1">
        <w:rPr>
          <w:rStyle w:val="nfasis"/>
          <w:rFonts w:ascii="Adobe Caslon Pro" w:hAnsi="Adobe Caslon Pro" w:cs="Arial"/>
          <w:i w:val="0"/>
          <w:lang w:val="es-ES_tradnl"/>
        </w:rPr>
        <w:t>árbol</w:t>
      </w:r>
      <w:r w:rsidRPr="009E30D1">
        <w:rPr>
          <w:rStyle w:val="nfasis"/>
          <w:rFonts w:ascii="Adobe Caslon Pro" w:hAnsi="Adobe Caslon Pro" w:cs="Arial"/>
          <w:i w:val="0"/>
          <w:lang w:val="es-ES_tradnl"/>
        </w:rPr>
        <w:t xml:space="preserve"> de problemas, un análisis de las causas que dan origen a la problemática de la </w:t>
      </w:r>
      <w:r w:rsidRPr="009E30D1">
        <w:rPr>
          <w:rStyle w:val="nfasis"/>
          <w:rFonts w:ascii="Adobe Caslon Pro" w:hAnsi="Adobe Caslon Pro" w:cs="Arial"/>
          <w:lang w:val="es-ES_tradnl"/>
        </w:rPr>
        <w:t>violencia contra las mujeres en México</w:t>
      </w:r>
      <w:r w:rsidRPr="009E30D1">
        <w:rPr>
          <w:rStyle w:val="nfasis"/>
          <w:rFonts w:ascii="Adobe Caslon Pro" w:hAnsi="Adobe Caslon Pro" w:cs="Arial"/>
          <w:i w:val="0"/>
          <w:lang w:val="es-ES_tradnl"/>
        </w:rPr>
        <w:t>, así como de los efectos que se derivan de dicha problemática.</w:t>
      </w:r>
    </w:p>
    <w:p w:rsidR="001058C5" w:rsidRPr="009E30D1" w:rsidRDefault="00393D04" w:rsidP="00B85C0B">
      <w:pPr>
        <w:spacing w:after="120"/>
        <w:rPr>
          <w:rStyle w:val="nfasis"/>
          <w:rFonts w:ascii="Adobe Caslon Pro" w:hAnsi="Adobe Caslon Pro" w:cs="Arial"/>
          <w:i w:val="0"/>
          <w:lang w:val="es-ES_tradnl"/>
        </w:rPr>
      </w:pPr>
      <w:r w:rsidRPr="009E30D1">
        <w:rPr>
          <w:rStyle w:val="nfasis"/>
          <w:rFonts w:ascii="Adobe Caslon Pro" w:hAnsi="Adobe Caslon Pro" w:cs="Arial"/>
          <w:i w:val="0"/>
          <w:lang w:val="es-ES_tradnl"/>
        </w:rPr>
        <w:br w:type="page"/>
      </w:r>
    </w:p>
    <w:p w:rsidR="002850AB" w:rsidRPr="009E30D1" w:rsidRDefault="002850AB" w:rsidP="00B85C0B">
      <w:pPr>
        <w:pStyle w:val="Ttulo3"/>
        <w:spacing w:before="0" w:after="120"/>
        <w:rPr>
          <w:lang w:val="es-ES_tradnl"/>
        </w:rPr>
      </w:pPr>
      <w:bookmarkStart w:id="11" w:name="_Toc391883373"/>
      <w:r w:rsidRPr="009E30D1">
        <w:rPr>
          <w:lang w:val="es-ES_tradnl"/>
        </w:rPr>
        <w:lastRenderedPageBreak/>
        <w:t>Evolución y estado actual del problema</w:t>
      </w:r>
      <w:bookmarkEnd w:id="11"/>
    </w:p>
    <w:p w:rsidR="002850AB" w:rsidRPr="009E30D1" w:rsidRDefault="002850AB"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La ENDIREH se ha realizado en tres momentos; el primer levantamiento se realizó en 2003, posteriormente en 2006 y la última se llevó a cabo en octubre 2011. Para observar el antecedente y la magnitud de la problemática de la violencia contra las mujeres, en la encuesta de 2003 se indagó sólo sobre las mujeres que tenían pareja residente, esto es que, casados o no, vivieran </w:t>
      </w:r>
      <w:r w:rsidR="00B30D79" w:rsidRPr="009E30D1">
        <w:rPr>
          <w:rFonts w:ascii="Adobe Caslon Pro" w:hAnsi="Adobe Caslon Pro"/>
          <w:lang w:val="es-ES_tradnl"/>
        </w:rPr>
        <w:t>juntos</w:t>
      </w:r>
      <w:r w:rsidRPr="009E30D1">
        <w:rPr>
          <w:rFonts w:ascii="Adobe Caslon Pro" w:hAnsi="Adobe Caslon Pro"/>
          <w:lang w:val="es-ES_tradnl"/>
        </w:rPr>
        <w:t xml:space="preserve"> y cuyo acto de violencia contra ellas se hubiera realizado en los últimos 12 meses. Para homologar el análisis se consideraron solamente las mujeres que se encontraban unidas en el momento de la realización de cada una de las encuestas, por lo que se encuentran los siguientes resultados:</w:t>
      </w:r>
    </w:p>
    <w:p w:rsidR="002850AB" w:rsidRPr="009E30D1" w:rsidRDefault="002850AB" w:rsidP="0082753F">
      <w:pPr>
        <w:pStyle w:val="Prrafodelista"/>
        <w:numPr>
          <w:ilvl w:val="0"/>
          <w:numId w:val="7"/>
        </w:numPr>
        <w:spacing w:after="120" w:line="240" w:lineRule="auto"/>
        <w:jc w:val="both"/>
        <w:rPr>
          <w:rFonts w:ascii="Adobe Caslon Pro" w:hAnsi="Adobe Caslon Pro"/>
          <w:lang w:val="es-ES_tradnl"/>
        </w:rPr>
      </w:pPr>
      <w:r w:rsidRPr="009E30D1">
        <w:rPr>
          <w:rFonts w:ascii="Adobe Caslon Pro" w:hAnsi="Adobe Caslon Pro"/>
          <w:lang w:val="es-ES_tradnl"/>
        </w:rPr>
        <w:t>El número de mujeres casadas o unidas, aumentó entre 2003 y 2011 al pasar de 19.5 millones a 25.0 millones (en 2006 representó 22.4 millones).</w:t>
      </w:r>
    </w:p>
    <w:p w:rsidR="002850AB" w:rsidRPr="009E30D1" w:rsidRDefault="002850AB" w:rsidP="0082753F">
      <w:pPr>
        <w:pStyle w:val="Prrafodelista"/>
        <w:numPr>
          <w:ilvl w:val="0"/>
          <w:numId w:val="7"/>
        </w:numPr>
        <w:spacing w:after="120" w:line="240" w:lineRule="auto"/>
        <w:jc w:val="both"/>
        <w:rPr>
          <w:rFonts w:ascii="Adobe Caslon Pro" w:hAnsi="Adobe Caslon Pro"/>
          <w:lang w:val="es-ES_tradnl"/>
        </w:rPr>
      </w:pPr>
      <w:r w:rsidRPr="009E30D1">
        <w:rPr>
          <w:rFonts w:ascii="Adobe Caslon Pro" w:hAnsi="Adobe Caslon Pro"/>
          <w:lang w:val="es-ES_tradnl"/>
        </w:rPr>
        <w:t xml:space="preserve">El total de mujeres en situación de violencia casadas o unidas presentó una disminución en términos absolutos al pasar de 9.1 millones en 2003 a 8.9 millones en 2006 y posteriormente disminuir a 8.4 millones en 2011. </w:t>
      </w:r>
    </w:p>
    <w:p w:rsidR="002850AB" w:rsidRPr="009E30D1" w:rsidRDefault="002850AB" w:rsidP="0082753F">
      <w:pPr>
        <w:pStyle w:val="Prrafodelista"/>
        <w:numPr>
          <w:ilvl w:val="0"/>
          <w:numId w:val="7"/>
        </w:numPr>
        <w:spacing w:after="120" w:line="240" w:lineRule="auto"/>
        <w:jc w:val="both"/>
        <w:rPr>
          <w:rFonts w:ascii="Adobe Caslon Pro" w:hAnsi="Adobe Caslon Pro"/>
          <w:lang w:val="es-ES_tradnl"/>
        </w:rPr>
      </w:pPr>
      <w:r w:rsidRPr="009E30D1">
        <w:rPr>
          <w:rFonts w:ascii="Adobe Caslon Pro" w:hAnsi="Adobe Caslon Pro"/>
          <w:lang w:val="es-ES_tradnl"/>
        </w:rPr>
        <w:t xml:space="preserve">Todos los tipos de violencia registrados entre las mujeres casadas o unidas presentaron disminuciones en términos absolutos entre 2003 y 2011 (a pesar del aumento en la violencia física entre 2003 y 2006). </w:t>
      </w:r>
    </w:p>
    <w:p w:rsidR="00ED5711" w:rsidRPr="009E30D1" w:rsidRDefault="009051CC" w:rsidP="00B85C0B">
      <w:pPr>
        <w:spacing w:after="120" w:line="240" w:lineRule="auto"/>
        <w:contextualSpacing/>
        <w:jc w:val="center"/>
        <w:rPr>
          <w:rFonts w:ascii="Adobe Caslon Pro" w:hAnsi="Adobe Caslon Pro"/>
          <w:b/>
          <w:lang w:val="es-ES_tradnl"/>
        </w:rPr>
      </w:pPr>
      <w:r w:rsidRPr="009E30D1">
        <w:rPr>
          <w:rFonts w:ascii="Adobe Caslon Pro" w:hAnsi="Adobe Caslon Pro"/>
          <w:b/>
          <w:lang w:val="es-ES_tradnl"/>
        </w:rPr>
        <w:t>Cuadro 1</w:t>
      </w:r>
      <w:r w:rsidR="002850AB" w:rsidRPr="009E30D1">
        <w:rPr>
          <w:rFonts w:ascii="Adobe Caslon Pro" w:hAnsi="Adobe Caslon Pro"/>
          <w:b/>
          <w:lang w:val="es-ES_tradnl"/>
        </w:rPr>
        <w:t xml:space="preserve">. Mujeres mayores de 15 años, casadas o </w:t>
      </w:r>
      <w:r w:rsidR="00ED5711" w:rsidRPr="009E30D1">
        <w:rPr>
          <w:rFonts w:ascii="Adobe Caslon Pro" w:hAnsi="Adobe Caslon Pro"/>
          <w:b/>
          <w:lang w:val="es-ES_tradnl"/>
        </w:rPr>
        <w:t>unidas</w:t>
      </w:r>
    </w:p>
    <w:p w:rsidR="002850AB" w:rsidRPr="009E30D1" w:rsidRDefault="00ED5711" w:rsidP="00B85C0B">
      <w:pPr>
        <w:spacing w:after="120" w:line="240" w:lineRule="auto"/>
        <w:contextualSpacing/>
        <w:jc w:val="center"/>
        <w:rPr>
          <w:rFonts w:ascii="Adobe Caslon Pro" w:hAnsi="Adobe Caslon Pro"/>
          <w:b/>
          <w:lang w:val="es-ES_tradnl"/>
        </w:rPr>
      </w:pPr>
      <w:r w:rsidRPr="009E30D1">
        <w:rPr>
          <w:rFonts w:ascii="Adobe Caslon Pro" w:hAnsi="Adobe Caslon Pro"/>
          <w:b/>
          <w:lang w:val="es-ES_tradnl"/>
        </w:rPr>
        <w:t>(</w:t>
      </w:r>
      <w:proofErr w:type="gramStart"/>
      <w:r w:rsidR="002850AB" w:rsidRPr="009E30D1">
        <w:rPr>
          <w:rFonts w:ascii="Adobe Caslon Pro" w:hAnsi="Adobe Caslon Pro"/>
          <w:b/>
          <w:lang w:val="es-ES_tradnl"/>
        </w:rPr>
        <w:t>por</w:t>
      </w:r>
      <w:proofErr w:type="gramEnd"/>
      <w:r w:rsidR="002850AB" w:rsidRPr="009E30D1">
        <w:rPr>
          <w:rFonts w:ascii="Adobe Caslon Pro" w:hAnsi="Adobe Caslon Pro"/>
          <w:b/>
          <w:lang w:val="es-ES_tradnl"/>
        </w:rPr>
        <w:t xml:space="preserve"> tipo de violencia y año</w:t>
      </w:r>
      <w:r w:rsidRPr="009E30D1">
        <w:rPr>
          <w:rFonts w:ascii="Adobe Caslon Pro" w:hAnsi="Adobe Caslon Pro"/>
          <w:b/>
          <w:lang w:val="es-ES_tradnl"/>
        </w:rPr>
        <w:t>)</w:t>
      </w:r>
    </w:p>
    <w:tbl>
      <w:tblPr>
        <w:tblW w:w="5113" w:type="dxa"/>
        <w:jc w:val="center"/>
        <w:tblCellMar>
          <w:left w:w="70" w:type="dxa"/>
          <w:right w:w="70" w:type="dxa"/>
        </w:tblCellMar>
        <w:tblLook w:val="04A0" w:firstRow="1" w:lastRow="0" w:firstColumn="1" w:lastColumn="0" w:noHBand="0" w:noVBand="1"/>
      </w:tblPr>
      <w:tblGrid>
        <w:gridCol w:w="437"/>
        <w:gridCol w:w="196"/>
        <w:gridCol w:w="1792"/>
        <w:gridCol w:w="648"/>
        <w:gridCol w:w="1132"/>
        <w:gridCol w:w="908"/>
      </w:tblGrid>
      <w:tr w:rsidR="002850AB" w:rsidRPr="009E30D1" w:rsidTr="001058C5">
        <w:trPr>
          <w:trHeight w:val="534"/>
          <w:jc w:val="center"/>
        </w:trPr>
        <w:tc>
          <w:tcPr>
            <w:tcW w:w="2425" w:type="dxa"/>
            <w:gridSpan w:val="3"/>
            <w:vMerge w:val="restart"/>
            <w:tcBorders>
              <w:top w:val="single" w:sz="4" w:space="0" w:color="auto"/>
              <w:left w:val="single" w:sz="4" w:space="0" w:color="auto"/>
              <w:right w:val="single" w:sz="4" w:space="0" w:color="000000"/>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 </w:t>
            </w:r>
          </w:p>
        </w:tc>
        <w:tc>
          <w:tcPr>
            <w:tcW w:w="648" w:type="dxa"/>
            <w:tcBorders>
              <w:top w:val="single" w:sz="4" w:space="0" w:color="auto"/>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2003</w:t>
            </w:r>
          </w:p>
        </w:tc>
        <w:tc>
          <w:tcPr>
            <w:tcW w:w="1132" w:type="dxa"/>
            <w:tcBorders>
              <w:top w:val="single" w:sz="4" w:space="0" w:color="auto"/>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2006</w:t>
            </w:r>
          </w:p>
        </w:tc>
        <w:tc>
          <w:tcPr>
            <w:tcW w:w="908" w:type="dxa"/>
            <w:tcBorders>
              <w:top w:val="single" w:sz="4" w:space="0" w:color="auto"/>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2011</w:t>
            </w:r>
          </w:p>
        </w:tc>
      </w:tr>
      <w:tr w:rsidR="002850AB" w:rsidRPr="009E30D1" w:rsidTr="001058C5">
        <w:trPr>
          <w:trHeight w:val="327"/>
          <w:jc w:val="center"/>
        </w:trPr>
        <w:tc>
          <w:tcPr>
            <w:tcW w:w="2425" w:type="dxa"/>
            <w:gridSpan w:val="3"/>
            <w:vMerge/>
            <w:tcBorders>
              <w:left w:val="single" w:sz="4" w:space="0" w:color="auto"/>
              <w:bottom w:val="single" w:sz="4" w:space="0" w:color="auto"/>
              <w:right w:val="single" w:sz="4" w:space="0" w:color="000000"/>
            </w:tcBorders>
            <w:shd w:val="clear" w:color="000000" w:fill="BFBFBF"/>
            <w:vAlign w:val="center"/>
          </w:tcPr>
          <w:p w:rsidR="002850AB" w:rsidRPr="009E30D1" w:rsidRDefault="002850AB" w:rsidP="00B85C0B">
            <w:pPr>
              <w:spacing w:after="120" w:line="240" w:lineRule="auto"/>
              <w:contextualSpacing/>
              <w:jc w:val="center"/>
              <w:rPr>
                <w:rFonts w:ascii="Adobe Caslon Pro" w:hAnsi="Adobe Caslon Pro"/>
                <w:sz w:val="18"/>
                <w:szCs w:val="18"/>
                <w:lang w:val="es-ES_tradnl"/>
              </w:rPr>
            </w:pPr>
          </w:p>
        </w:tc>
        <w:tc>
          <w:tcPr>
            <w:tcW w:w="2688" w:type="dxa"/>
            <w:gridSpan w:val="3"/>
            <w:tcBorders>
              <w:top w:val="single" w:sz="4" w:space="0" w:color="auto"/>
              <w:left w:val="nil"/>
              <w:bottom w:val="single" w:sz="4" w:space="0" w:color="auto"/>
              <w:right w:val="single" w:sz="4" w:space="0" w:color="auto"/>
            </w:tcBorders>
            <w:shd w:val="clear" w:color="000000" w:fill="BFBFBF"/>
            <w:vAlign w:val="center"/>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(Millones de mujeres)</w:t>
            </w:r>
          </w:p>
        </w:tc>
      </w:tr>
      <w:tr w:rsidR="002850AB" w:rsidRPr="009E30D1" w:rsidTr="001058C5">
        <w:trPr>
          <w:trHeight w:val="300"/>
          <w:jc w:val="center"/>
        </w:trPr>
        <w:tc>
          <w:tcPr>
            <w:tcW w:w="2425" w:type="dxa"/>
            <w:gridSpan w:val="3"/>
            <w:tcBorders>
              <w:top w:val="single" w:sz="4" w:space="0" w:color="auto"/>
              <w:left w:val="single" w:sz="4" w:space="0" w:color="auto"/>
              <w:bottom w:val="nil"/>
              <w:right w:val="nil"/>
            </w:tcBorders>
            <w:shd w:val="clear" w:color="auto" w:fill="auto"/>
            <w:noWrap/>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Mujeres unidas</w:t>
            </w:r>
          </w:p>
        </w:tc>
        <w:tc>
          <w:tcPr>
            <w:tcW w:w="648"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19.5</w:t>
            </w:r>
          </w:p>
        </w:tc>
        <w:tc>
          <w:tcPr>
            <w:tcW w:w="113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22.4</w:t>
            </w:r>
          </w:p>
        </w:tc>
        <w:tc>
          <w:tcPr>
            <w:tcW w:w="908"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25.0</w:t>
            </w:r>
          </w:p>
        </w:tc>
      </w:tr>
      <w:tr w:rsidR="002850AB" w:rsidRPr="009E30D1" w:rsidTr="001058C5">
        <w:trPr>
          <w:trHeight w:val="300"/>
          <w:jc w:val="center"/>
        </w:trPr>
        <w:tc>
          <w:tcPr>
            <w:tcW w:w="437" w:type="dxa"/>
            <w:tcBorders>
              <w:top w:val="nil"/>
              <w:left w:val="single" w:sz="4" w:space="0" w:color="auto"/>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88" w:type="dxa"/>
            <w:gridSpan w:val="2"/>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Total violentadas</w:t>
            </w:r>
          </w:p>
        </w:tc>
        <w:tc>
          <w:tcPr>
            <w:tcW w:w="648"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9.1</w:t>
            </w:r>
          </w:p>
        </w:tc>
        <w:tc>
          <w:tcPr>
            <w:tcW w:w="113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8.9</w:t>
            </w:r>
          </w:p>
        </w:tc>
        <w:tc>
          <w:tcPr>
            <w:tcW w:w="908"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8.4</w:t>
            </w:r>
          </w:p>
        </w:tc>
      </w:tr>
      <w:tr w:rsidR="002850AB" w:rsidRPr="009E30D1" w:rsidTr="001058C5">
        <w:trPr>
          <w:trHeight w:val="300"/>
          <w:jc w:val="center"/>
        </w:trPr>
        <w:tc>
          <w:tcPr>
            <w:tcW w:w="437" w:type="dxa"/>
            <w:tcBorders>
              <w:top w:val="nil"/>
              <w:left w:val="single" w:sz="4" w:space="0" w:color="auto"/>
              <w:bottom w:val="nil"/>
              <w:right w:val="nil"/>
            </w:tcBorders>
            <w:shd w:val="clear" w:color="auto" w:fill="auto"/>
            <w:vAlign w:val="bottom"/>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6"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p>
        </w:tc>
        <w:tc>
          <w:tcPr>
            <w:tcW w:w="179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Emocional</w:t>
            </w:r>
          </w:p>
        </w:tc>
        <w:tc>
          <w:tcPr>
            <w:tcW w:w="648"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7.5</w:t>
            </w:r>
          </w:p>
        </w:tc>
        <w:tc>
          <w:tcPr>
            <w:tcW w:w="113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7.1</w:t>
            </w:r>
          </w:p>
        </w:tc>
        <w:tc>
          <w:tcPr>
            <w:tcW w:w="908"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6.8</w:t>
            </w:r>
          </w:p>
        </w:tc>
      </w:tr>
      <w:tr w:rsidR="002850AB" w:rsidRPr="009E30D1" w:rsidTr="001058C5">
        <w:trPr>
          <w:trHeight w:val="300"/>
          <w:jc w:val="center"/>
        </w:trPr>
        <w:tc>
          <w:tcPr>
            <w:tcW w:w="437" w:type="dxa"/>
            <w:tcBorders>
              <w:top w:val="nil"/>
              <w:left w:val="single" w:sz="4" w:space="0" w:color="auto"/>
              <w:bottom w:val="nil"/>
              <w:right w:val="nil"/>
            </w:tcBorders>
            <w:shd w:val="clear" w:color="auto" w:fill="auto"/>
            <w:vAlign w:val="bottom"/>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6"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p>
        </w:tc>
        <w:tc>
          <w:tcPr>
            <w:tcW w:w="179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Económica</w:t>
            </w:r>
          </w:p>
        </w:tc>
        <w:tc>
          <w:tcPr>
            <w:tcW w:w="648"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5.7</w:t>
            </w:r>
          </w:p>
        </w:tc>
        <w:tc>
          <w:tcPr>
            <w:tcW w:w="113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5.1</w:t>
            </w:r>
          </w:p>
        </w:tc>
        <w:tc>
          <w:tcPr>
            <w:tcW w:w="908"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4.3</w:t>
            </w:r>
          </w:p>
        </w:tc>
      </w:tr>
      <w:tr w:rsidR="002850AB" w:rsidRPr="009E30D1" w:rsidTr="001058C5">
        <w:trPr>
          <w:trHeight w:val="300"/>
          <w:jc w:val="center"/>
        </w:trPr>
        <w:tc>
          <w:tcPr>
            <w:tcW w:w="437" w:type="dxa"/>
            <w:tcBorders>
              <w:top w:val="nil"/>
              <w:left w:val="single" w:sz="4" w:space="0" w:color="auto"/>
              <w:bottom w:val="nil"/>
              <w:right w:val="nil"/>
            </w:tcBorders>
            <w:shd w:val="clear" w:color="auto" w:fill="auto"/>
            <w:vAlign w:val="bottom"/>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6"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p>
        </w:tc>
        <w:tc>
          <w:tcPr>
            <w:tcW w:w="179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Física</w:t>
            </w:r>
          </w:p>
        </w:tc>
        <w:tc>
          <w:tcPr>
            <w:tcW w:w="648"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1.8</w:t>
            </w:r>
          </w:p>
        </w:tc>
        <w:tc>
          <w:tcPr>
            <w:tcW w:w="1132" w:type="dxa"/>
            <w:tcBorders>
              <w:top w:val="nil"/>
              <w:left w:val="nil"/>
              <w:bottom w:val="nil"/>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2.3</w:t>
            </w:r>
          </w:p>
        </w:tc>
        <w:tc>
          <w:tcPr>
            <w:tcW w:w="908"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1.6</w:t>
            </w:r>
          </w:p>
        </w:tc>
      </w:tr>
      <w:tr w:rsidR="002850AB" w:rsidRPr="009E30D1" w:rsidTr="001058C5">
        <w:trPr>
          <w:trHeight w:val="300"/>
          <w:jc w:val="center"/>
        </w:trPr>
        <w:tc>
          <w:tcPr>
            <w:tcW w:w="437" w:type="dxa"/>
            <w:tcBorders>
              <w:top w:val="nil"/>
              <w:left w:val="single" w:sz="4" w:space="0" w:color="auto"/>
              <w:bottom w:val="single" w:sz="4" w:space="0" w:color="auto"/>
              <w:right w:val="nil"/>
            </w:tcBorders>
            <w:shd w:val="clear" w:color="auto" w:fill="auto"/>
            <w:vAlign w:val="bottom"/>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6" w:type="dxa"/>
            <w:tcBorders>
              <w:top w:val="nil"/>
              <w:left w:val="nil"/>
              <w:bottom w:val="single" w:sz="4" w:space="0" w:color="auto"/>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792" w:type="dxa"/>
            <w:tcBorders>
              <w:top w:val="nil"/>
              <w:left w:val="nil"/>
              <w:bottom w:val="single" w:sz="4" w:space="0" w:color="auto"/>
              <w:right w:val="nil"/>
            </w:tcBorders>
            <w:shd w:val="clear" w:color="auto" w:fill="auto"/>
            <w:noWrap/>
            <w:vAlign w:val="center"/>
            <w:hideMark/>
          </w:tcPr>
          <w:p w:rsidR="002850AB" w:rsidRPr="009E30D1" w:rsidRDefault="002850AB" w:rsidP="00B85C0B">
            <w:pPr>
              <w:spacing w:after="12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Sexual</w:t>
            </w:r>
          </w:p>
        </w:tc>
        <w:tc>
          <w:tcPr>
            <w:tcW w:w="648" w:type="dxa"/>
            <w:tcBorders>
              <w:top w:val="nil"/>
              <w:left w:val="nil"/>
              <w:bottom w:val="single" w:sz="4" w:space="0" w:color="auto"/>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1.5</w:t>
            </w:r>
          </w:p>
        </w:tc>
        <w:tc>
          <w:tcPr>
            <w:tcW w:w="1132" w:type="dxa"/>
            <w:tcBorders>
              <w:top w:val="nil"/>
              <w:left w:val="nil"/>
              <w:bottom w:val="single" w:sz="4" w:space="0" w:color="auto"/>
              <w:right w:val="nil"/>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1.3</w:t>
            </w:r>
          </w:p>
        </w:tc>
        <w:tc>
          <w:tcPr>
            <w:tcW w:w="908"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0.7</w:t>
            </w:r>
          </w:p>
        </w:tc>
      </w:tr>
    </w:tbl>
    <w:p w:rsidR="002850AB" w:rsidRPr="009E30D1" w:rsidRDefault="002850AB" w:rsidP="00B85C0B">
      <w:pPr>
        <w:tabs>
          <w:tab w:val="left" w:pos="7513"/>
        </w:tabs>
        <w:spacing w:after="120" w:line="240" w:lineRule="auto"/>
        <w:ind w:left="1134" w:right="1325"/>
        <w:contextualSpacing/>
        <w:jc w:val="both"/>
        <w:rPr>
          <w:rFonts w:ascii="Adobe Caslon Pro" w:hAnsi="Adobe Caslon Pro"/>
          <w:i/>
          <w:sz w:val="18"/>
          <w:szCs w:val="18"/>
          <w:lang w:val="es-ES_tradnl"/>
        </w:rPr>
      </w:pPr>
      <w:r w:rsidRPr="009E30D1">
        <w:rPr>
          <w:rFonts w:ascii="Adobe Caslon Pro" w:hAnsi="Adobe Caslon Pro"/>
          <w:i/>
          <w:sz w:val="18"/>
          <w:szCs w:val="18"/>
          <w:lang w:val="es-ES_tradnl"/>
        </w:rPr>
        <w:t>Fuente: Elaboración propia con datos de la ENDIREH 2003, 2006 y 2011, INEGI</w:t>
      </w:r>
    </w:p>
    <w:p w:rsidR="00B85C0B" w:rsidRPr="009E30D1" w:rsidRDefault="00B85C0B" w:rsidP="00B85C0B">
      <w:pPr>
        <w:tabs>
          <w:tab w:val="left" w:pos="7513"/>
        </w:tabs>
        <w:spacing w:after="120" w:line="240" w:lineRule="auto"/>
        <w:ind w:left="1134" w:right="1325"/>
        <w:contextualSpacing/>
        <w:jc w:val="both"/>
        <w:rPr>
          <w:rFonts w:ascii="Adobe Caslon Pro" w:hAnsi="Adobe Caslon Pro"/>
          <w:i/>
          <w:sz w:val="18"/>
          <w:szCs w:val="18"/>
          <w:lang w:val="es-ES_tradnl"/>
        </w:rPr>
      </w:pPr>
    </w:p>
    <w:p w:rsidR="002850AB" w:rsidRPr="009E30D1" w:rsidRDefault="009051CC" w:rsidP="00B85C0B">
      <w:pPr>
        <w:spacing w:after="120" w:line="240" w:lineRule="auto"/>
        <w:jc w:val="both"/>
        <w:rPr>
          <w:rFonts w:ascii="Adobe Caslon Pro" w:hAnsi="Adobe Caslon Pro"/>
          <w:lang w:val="es-ES_tradnl"/>
        </w:rPr>
      </w:pPr>
      <w:r w:rsidRPr="009E30D1">
        <w:rPr>
          <w:rFonts w:ascii="Adobe Caslon Pro" w:hAnsi="Adobe Caslon Pro"/>
          <w:lang w:val="es-ES_tradnl"/>
        </w:rPr>
        <w:t>En el cuadro</w:t>
      </w:r>
      <w:r w:rsidR="002850AB" w:rsidRPr="009E30D1">
        <w:rPr>
          <w:rFonts w:ascii="Adobe Caslon Pro" w:hAnsi="Adobe Caslon Pro"/>
          <w:lang w:val="es-ES_tradnl"/>
        </w:rPr>
        <w:t xml:space="preserve"> </w:t>
      </w:r>
      <w:r w:rsidR="00C92E2B" w:rsidRPr="009E30D1">
        <w:rPr>
          <w:rFonts w:ascii="Adobe Caslon Pro" w:hAnsi="Adobe Caslon Pro"/>
          <w:lang w:val="es-ES_tradnl"/>
        </w:rPr>
        <w:t xml:space="preserve">1 </w:t>
      </w:r>
      <w:r w:rsidR="002850AB" w:rsidRPr="009E30D1">
        <w:rPr>
          <w:rFonts w:ascii="Adobe Caslon Pro" w:hAnsi="Adobe Caslon Pro"/>
          <w:lang w:val="es-ES_tradnl"/>
        </w:rPr>
        <w:t>se muestra el porcentaje de mujeres mayores de 15 años casadas o unidas que presentaron algún tipo de violencia por parte de sus parejas en los últimos 12 meses al momento de la encuesta, como se aprecia en la misma todos los tipos de violencia han presentado una disminución entre 2003 y 2011 (salvo el aumento en violencia física entre 2003 y 2006).</w:t>
      </w:r>
    </w:p>
    <w:p w:rsidR="003A54A8" w:rsidRPr="009E30D1" w:rsidRDefault="003A54A8" w:rsidP="00B85C0B">
      <w:pPr>
        <w:spacing w:after="120" w:line="240" w:lineRule="auto"/>
        <w:contextualSpacing/>
        <w:jc w:val="center"/>
        <w:rPr>
          <w:rFonts w:ascii="Adobe Caslon Pro" w:hAnsi="Adobe Caslon Pro"/>
          <w:b/>
          <w:lang w:val="es-ES_tradnl"/>
        </w:rPr>
      </w:pPr>
    </w:p>
    <w:p w:rsidR="00B85C0B" w:rsidRPr="009E30D1" w:rsidRDefault="00B85C0B" w:rsidP="00B85C0B">
      <w:pPr>
        <w:spacing w:after="120" w:line="240" w:lineRule="auto"/>
        <w:contextualSpacing/>
        <w:jc w:val="center"/>
        <w:rPr>
          <w:rFonts w:ascii="Adobe Caslon Pro" w:hAnsi="Adobe Caslon Pro"/>
          <w:b/>
          <w:lang w:val="es-ES_tradnl"/>
        </w:rPr>
      </w:pPr>
    </w:p>
    <w:p w:rsidR="00F52701" w:rsidRPr="009E30D1" w:rsidRDefault="00F52701" w:rsidP="00B85C0B">
      <w:pPr>
        <w:spacing w:after="120" w:line="240" w:lineRule="auto"/>
        <w:contextualSpacing/>
        <w:jc w:val="center"/>
        <w:rPr>
          <w:rFonts w:ascii="Adobe Caslon Pro" w:hAnsi="Adobe Caslon Pro"/>
          <w:b/>
          <w:lang w:val="es-ES_tradnl"/>
        </w:rPr>
        <w:sectPr w:rsidR="00F52701" w:rsidRPr="009E30D1" w:rsidSect="00A663F1">
          <w:footerReference w:type="default" r:id="rId13"/>
          <w:pgSz w:w="12240" w:h="15840" w:code="1"/>
          <w:pgMar w:top="1134" w:right="1701" w:bottom="1134" w:left="1701" w:header="720" w:footer="720" w:gutter="0"/>
          <w:pgNumType w:start="0"/>
          <w:cols w:space="720"/>
          <w:docGrid w:linePitch="360" w:charSpace="-6145"/>
        </w:sectPr>
      </w:pPr>
    </w:p>
    <w:p w:rsidR="00F52701" w:rsidRPr="009E30D1" w:rsidRDefault="00F52701" w:rsidP="00B85C0B">
      <w:pPr>
        <w:spacing w:after="120" w:line="240" w:lineRule="auto"/>
        <w:contextualSpacing/>
        <w:jc w:val="center"/>
        <w:rPr>
          <w:rFonts w:ascii="Adobe Caslon Pro" w:hAnsi="Adobe Caslon Pro"/>
          <w:b/>
          <w:lang w:val="es-ES_tradnl"/>
        </w:rPr>
      </w:pPr>
    </w:p>
    <w:p w:rsidR="00E04944" w:rsidRPr="009E30D1" w:rsidRDefault="009051CC" w:rsidP="00B85C0B">
      <w:pPr>
        <w:spacing w:after="120" w:line="240" w:lineRule="auto"/>
        <w:contextualSpacing/>
        <w:jc w:val="center"/>
        <w:rPr>
          <w:rFonts w:ascii="Adobe Caslon Pro" w:hAnsi="Adobe Caslon Pro"/>
          <w:b/>
          <w:lang w:val="es-ES_tradnl"/>
        </w:rPr>
      </w:pPr>
      <w:r w:rsidRPr="009E30D1">
        <w:rPr>
          <w:rFonts w:ascii="Adobe Caslon Pro" w:hAnsi="Adobe Caslon Pro"/>
          <w:b/>
          <w:lang w:val="es-ES_tradnl"/>
        </w:rPr>
        <w:t>Gráfica 1</w:t>
      </w:r>
      <w:r w:rsidR="002850AB" w:rsidRPr="009E30D1">
        <w:rPr>
          <w:rFonts w:ascii="Adobe Caslon Pro" w:hAnsi="Adobe Caslon Pro"/>
          <w:b/>
          <w:lang w:val="es-ES_tradnl"/>
        </w:rPr>
        <w:t>. Porcentaje de mujeres mayores de 15 años, casadas o unidas,</w:t>
      </w:r>
    </w:p>
    <w:p w:rsidR="002850AB" w:rsidRPr="009E30D1" w:rsidRDefault="002850AB" w:rsidP="00B85C0B">
      <w:pPr>
        <w:spacing w:after="120" w:line="240" w:lineRule="auto"/>
        <w:contextualSpacing/>
        <w:jc w:val="center"/>
        <w:rPr>
          <w:rFonts w:ascii="Adobe Caslon Pro" w:hAnsi="Adobe Caslon Pro"/>
          <w:b/>
          <w:lang w:val="es-ES_tradnl"/>
        </w:rPr>
      </w:pPr>
      <w:r w:rsidRPr="009E30D1">
        <w:rPr>
          <w:rFonts w:ascii="Adobe Caslon Pro" w:hAnsi="Adobe Caslon Pro"/>
          <w:b/>
          <w:lang w:val="es-ES_tradnl"/>
        </w:rPr>
        <w:t xml:space="preserve"> </w:t>
      </w:r>
      <w:r w:rsidR="00E04944" w:rsidRPr="009E30D1">
        <w:rPr>
          <w:rFonts w:ascii="Adobe Caslon Pro" w:hAnsi="Adobe Caslon Pro"/>
          <w:b/>
          <w:lang w:val="es-ES_tradnl"/>
        </w:rPr>
        <w:t>(</w:t>
      </w:r>
      <w:proofErr w:type="gramStart"/>
      <w:r w:rsidR="00E04944" w:rsidRPr="009E30D1">
        <w:rPr>
          <w:rFonts w:ascii="Adobe Caslon Pro" w:hAnsi="Adobe Caslon Pro"/>
          <w:b/>
          <w:lang w:val="es-ES_tradnl"/>
        </w:rPr>
        <w:t>por</w:t>
      </w:r>
      <w:proofErr w:type="gramEnd"/>
      <w:r w:rsidR="00E04944" w:rsidRPr="009E30D1">
        <w:rPr>
          <w:rFonts w:ascii="Adobe Caslon Pro" w:hAnsi="Adobe Caslon Pro"/>
          <w:b/>
          <w:lang w:val="es-ES_tradnl"/>
        </w:rPr>
        <w:t xml:space="preserve"> </w:t>
      </w:r>
      <w:r w:rsidRPr="009E30D1">
        <w:rPr>
          <w:rFonts w:ascii="Adobe Caslon Pro" w:hAnsi="Adobe Caslon Pro"/>
          <w:b/>
          <w:lang w:val="es-ES_tradnl"/>
        </w:rPr>
        <w:t>tipo de violencia y año de la encuesta</w:t>
      </w:r>
      <w:r w:rsidR="00E04944" w:rsidRPr="009E30D1">
        <w:rPr>
          <w:rFonts w:ascii="Adobe Caslon Pro" w:hAnsi="Adobe Caslon Pro"/>
          <w:b/>
          <w:lang w:val="es-ES_tradnl"/>
        </w:rPr>
        <w:t>)</w:t>
      </w:r>
    </w:p>
    <w:p w:rsidR="002850AB" w:rsidRPr="009E30D1" w:rsidRDefault="002850AB" w:rsidP="00B85C0B">
      <w:pPr>
        <w:spacing w:after="120" w:line="240" w:lineRule="auto"/>
        <w:contextualSpacing/>
        <w:jc w:val="center"/>
        <w:rPr>
          <w:rFonts w:ascii="Adobe Caslon Pro" w:hAnsi="Adobe Caslon Pro"/>
          <w:lang w:val="es-ES_tradnl"/>
        </w:rPr>
      </w:pPr>
      <w:r w:rsidRPr="009E30D1">
        <w:rPr>
          <w:rFonts w:ascii="Adobe Caslon Pro" w:hAnsi="Adobe Caslon Pro"/>
          <w:noProof/>
          <w:lang w:eastAsia="es-MX"/>
        </w:rPr>
        <w:drawing>
          <wp:inline distT="0" distB="0" distL="0" distR="0" wp14:anchorId="7EB372BE" wp14:editId="4545E4A6">
            <wp:extent cx="5149850" cy="2802255"/>
            <wp:effectExtent l="0" t="0" r="12700" b="17145"/>
            <wp:docPr id="33"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50AB" w:rsidRPr="009E30D1" w:rsidRDefault="002850AB" w:rsidP="00B85C0B">
      <w:pPr>
        <w:spacing w:after="120" w:line="240" w:lineRule="auto"/>
        <w:contextualSpacing/>
        <w:jc w:val="center"/>
        <w:rPr>
          <w:rFonts w:ascii="Adobe Caslon Pro" w:hAnsi="Adobe Caslon Pro"/>
          <w:i/>
          <w:sz w:val="18"/>
          <w:szCs w:val="18"/>
          <w:lang w:val="es-ES_tradnl"/>
        </w:rPr>
      </w:pPr>
      <w:r w:rsidRPr="009E30D1">
        <w:rPr>
          <w:rFonts w:ascii="Adobe Caslon Pro" w:hAnsi="Adobe Caslon Pro"/>
          <w:i/>
          <w:sz w:val="18"/>
          <w:szCs w:val="18"/>
          <w:lang w:val="es-ES_tradnl"/>
        </w:rPr>
        <w:t>Fuente: Elaboración propia con datos de la ENDIREH 2003, 2006 y 2011, INEGI.</w:t>
      </w:r>
    </w:p>
    <w:p w:rsidR="00B85C0B" w:rsidRPr="009E30D1" w:rsidRDefault="00B85C0B" w:rsidP="00B85C0B">
      <w:pPr>
        <w:spacing w:after="120" w:line="240" w:lineRule="auto"/>
        <w:jc w:val="both"/>
        <w:rPr>
          <w:rFonts w:ascii="Adobe Caslon Pro" w:hAnsi="Adobe Caslon Pro"/>
          <w:lang w:val="es-ES_tradnl"/>
        </w:rPr>
      </w:pPr>
    </w:p>
    <w:p w:rsidR="00B85C0B" w:rsidRPr="009E30D1" w:rsidRDefault="002850AB" w:rsidP="00B85C0B">
      <w:pPr>
        <w:spacing w:after="120" w:line="240" w:lineRule="auto"/>
        <w:jc w:val="both"/>
        <w:rPr>
          <w:rFonts w:ascii="Adobe Caslon Pro" w:hAnsi="Adobe Caslon Pro"/>
        </w:rPr>
      </w:pPr>
      <w:r w:rsidRPr="009E30D1">
        <w:rPr>
          <w:rFonts w:ascii="Adobe Caslon Pro" w:hAnsi="Adobe Caslon Pro"/>
          <w:lang w:val="es-ES_tradnl"/>
        </w:rPr>
        <w:t xml:space="preserve">A partir de la ENDIREH de 2006, se empiezan a considerar </w:t>
      </w:r>
      <w:r w:rsidR="0064173E" w:rsidRPr="009E30D1">
        <w:rPr>
          <w:rFonts w:ascii="Adobe Caslon Pro" w:hAnsi="Adobe Caslon Pro"/>
          <w:lang w:val="es-ES_tradnl"/>
        </w:rPr>
        <w:t xml:space="preserve">en los conteos </w:t>
      </w:r>
      <w:r w:rsidRPr="009E30D1">
        <w:rPr>
          <w:rFonts w:ascii="Adobe Caslon Pro" w:hAnsi="Adobe Caslon Pro"/>
          <w:lang w:val="es-ES_tradnl"/>
        </w:rPr>
        <w:t>a las mujeres que no sólo se encontraban unidas al momento del levantamiento de información, sino también a aquéllas que alguna vez estuvieron unidas (divorciadas, viudas, separadas) y a las mujeres solteras pero con parejas; de igual forma, se les preguntó si fueron víctimas de violencia en su última relación de pareja y no sólo en los últimos 12 meses</w:t>
      </w:r>
      <w:r w:rsidR="001058C5" w:rsidRPr="009E30D1">
        <w:rPr>
          <w:rFonts w:ascii="Adobe Caslon Pro" w:hAnsi="Adobe Caslon Pro"/>
          <w:lang w:val="es-ES_tradnl"/>
        </w:rPr>
        <w:t>. De esta encuesta</w:t>
      </w:r>
      <w:r w:rsidR="0037763E" w:rsidRPr="009E30D1">
        <w:rPr>
          <w:rFonts w:ascii="Adobe Caslon Pro" w:hAnsi="Adobe Caslon Pro"/>
          <w:lang w:val="es-ES_tradnl"/>
        </w:rPr>
        <w:t xml:space="preserve"> se desprende que a nivel general, el 43% de las mujeres encuestadas en 2006 </w:t>
      </w:r>
      <w:r w:rsidR="00D47429" w:rsidRPr="009E30D1">
        <w:rPr>
          <w:rFonts w:ascii="Adobe Caslon Pro" w:hAnsi="Adobe Caslon Pro"/>
          <w:lang w:val="es-ES_tradnl"/>
        </w:rPr>
        <w:t xml:space="preserve">fueron violentadas y que este porcentaje se incrementa para </w:t>
      </w:r>
      <w:r w:rsidR="0037763E" w:rsidRPr="009E30D1">
        <w:rPr>
          <w:rFonts w:ascii="Adobe Caslon Pro" w:hAnsi="Adobe Caslon Pro"/>
          <w:lang w:val="es-ES_tradnl"/>
        </w:rPr>
        <w:t>2011</w:t>
      </w:r>
      <w:r w:rsidR="00ED5711" w:rsidRPr="009E30D1">
        <w:rPr>
          <w:rFonts w:ascii="Adobe Caslon Pro" w:hAnsi="Adobe Caslon Pro"/>
          <w:lang w:val="es-ES_tradnl"/>
        </w:rPr>
        <w:t xml:space="preserve"> </w:t>
      </w:r>
      <w:r w:rsidR="00D47429" w:rsidRPr="009E30D1">
        <w:rPr>
          <w:rFonts w:ascii="Adobe Caslon Pro" w:hAnsi="Adobe Caslon Pro"/>
          <w:lang w:val="es-ES_tradnl"/>
        </w:rPr>
        <w:t>para llegar al 47%.</w:t>
      </w:r>
      <w:r w:rsidR="0037763E" w:rsidRPr="009E30D1">
        <w:rPr>
          <w:rFonts w:ascii="Adobe Caslon Pro" w:hAnsi="Adobe Caslon Pro"/>
        </w:rPr>
        <w:t xml:space="preserve"> Más aún, destaca que para ambos periodos, el tipo más común de violencia fue la emocional y que la mayor p</w:t>
      </w:r>
      <w:r w:rsidR="00D47429" w:rsidRPr="009E30D1">
        <w:rPr>
          <w:rFonts w:ascii="Adobe Caslon Pro" w:hAnsi="Adobe Caslon Pro"/>
        </w:rPr>
        <w:t xml:space="preserve">arte de las mujeres violentadas </w:t>
      </w:r>
      <w:r w:rsidR="0037763E" w:rsidRPr="009E30D1">
        <w:rPr>
          <w:rFonts w:ascii="Adobe Caslon Pro" w:hAnsi="Adobe Caslon Pro"/>
        </w:rPr>
        <w:t xml:space="preserve">clasificaron </w:t>
      </w:r>
      <w:r w:rsidR="00D47429" w:rsidRPr="009E30D1">
        <w:rPr>
          <w:rFonts w:ascii="Adobe Caslon Pro" w:hAnsi="Adobe Caslon Pro"/>
        </w:rPr>
        <w:t xml:space="preserve">su estado civil </w:t>
      </w:r>
      <w:r w:rsidR="0037763E" w:rsidRPr="009E30D1">
        <w:rPr>
          <w:rFonts w:ascii="Adobe Caslon Pro" w:hAnsi="Adobe Caslon Pro"/>
        </w:rPr>
        <w:t xml:space="preserve">como alguna vez unidas. </w:t>
      </w:r>
    </w:p>
    <w:p w:rsidR="00B85C0B" w:rsidRPr="009E30D1" w:rsidRDefault="00B85C0B">
      <w:pPr>
        <w:rPr>
          <w:rFonts w:ascii="Adobe Caslon Pro" w:hAnsi="Adobe Caslon Pro"/>
        </w:rPr>
      </w:pPr>
      <w:r w:rsidRPr="009E30D1">
        <w:rPr>
          <w:rFonts w:ascii="Adobe Caslon Pro" w:hAnsi="Adobe Caslon Pro"/>
        </w:rPr>
        <w:br w:type="page"/>
      </w:r>
    </w:p>
    <w:p w:rsidR="00ED5711" w:rsidRPr="009E30D1" w:rsidRDefault="00C92E2B" w:rsidP="00D12115">
      <w:pPr>
        <w:spacing w:after="0" w:line="240" w:lineRule="auto"/>
        <w:contextualSpacing/>
        <w:jc w:val="center"/>
        <w:rPr>
          <w:rFonts w:ascii="Adobe Caslon Pro" w:hAnsi="Adobe Caslon Pro"/>
          <w:b/>
          <w:lang w:val="es-ES_tradnl"/>
        </w:rPr>
      </w:pPr>
      <w:r w:rsidRPr="009E30D1">
        <w:rPr>
          <w:rFonts w:ascii="Adobe Caslon Pro" w:hAnsi="Adobe Caslon Pro"/>
          <w:b/>
          <w:lang w:val="es-ES_tradnl"/>
        </w:rPr>
        <w:lastRenderedPageBreak/>
        <w:t>Cuadro 2</w:t>
      </w:r>
      <w:r w:rsidR="002850AB" w:rsidRPr="009E30D1">
        <w:rPr>
          <w:rFonts w:ascii="Adobe Caslon Pro" w:hAnsi="Adobe Caslon Pro"/>
          <w:b/>
          <w:lang w:val="es-ES_tradnl"/>
        </w:rPr>
        <w:t xml:space="preserve">. Mujeres mayores </w:t>
      </w:r>
      <w:r w:rsidR="00ED5711" w:rsidRPr="009E30D1">
        <w:rPr>
          <w:rFonts w:ascii="Adobe Caslon Pro" w:hAnsi="Adobe Caslon Pro"/>
          <w:b/>
          <w:lang w:val="es-ES_tradnl"/>
        </w:rPr>
        <w:t>de 15 años, según estado civil</w:t>
      </w:r>
    </w:p>
    <w:p w:rsidR="002850AB" w:rsidRPr="009E30D1" w:rsidRDefault="00ED5711" w:rsidP="00D12115">
      <w:pPr>
        <w:spacing w:after="0" w:line="240" w:lineRule="auto"/>
        <w:contextualSpacing/>
        <w:jc w:val="center"/>
        <w:rPr>
          <w:rFonts w:ascii="Adobe Caslon Pro" w:hAnsi="Adobe Caslon Pro"/>
          <w:b/>
          <w:lang w:val="es-ES_tradnl"/>
        </w:rPr>
      </w:pPr>
      <w:r w:rsidRPr="009E30D1">
        <w:rPr>
          <w:rFonts w:ascii="Adobe Caslon Pro" w:hAnsi="Adobe Caslon Pro"/>
          <w:b/>
          <w:lang w:val="es-ES_tradnl"/>
        </w:rPr>
        <w:t>(</w:t>
      </w:r>
      <w:proofErr w:type="gramStart"/>
      <w:r w:rsidR="002850AB" w:rsidRPr="009E30D1">
        <w:rPr>
          <w:rFonts w:ascii="Adobe Caslon Pro" w:hAnsi="Adobe Caslon Pro"/>
          <w:b/>
          <w:lang w:val="es-ES_tradnl"/>
        </w:rPr>
        <w:t>por</w:t>
      </w:r>
      <w:proofErr w:type="gramEnd"/>
      <w:r w:rsidR="002850AB" w:rsidRPr="009E30D1">
        <w:rPr>
          <w:rFonts w:ascii="Adobe Caslon Pro" w:hAnsi="Adobe Caslon Pro"/>
          <w:b/>
          <w:lang w:val="es-ES_tradnl"/>
        </w:rPr>
        <w:t xml:space="preserve"> tipo de violencia en la relación con su última pareja y años</w:t>
      </w:r>
      <w:r w:rsidRPr="009E30D1">
        <w:rPr>
          <w:rFonts w:ascii="Adobe Caslon Pro" w:hAnsi="Adobe Caslon Pro"/>
          <w:b/>
          <w:lang w:val="es-ES_tradnl"/>
        </w:rPr>
        <w:t>)</w:t>
      </w:r>
    </w:p>
    <w:tbl>
      <w:tblPr>
        <w:tblW w:w="9513" w:type="dxa"/>
        <w:jc w:val="center"/>
        <w:tblInd w:w="55" w:type="dxa"/>
        <w:tblLayout w:type="fixed"/>
        <w:tblCellMar>
          <w:left w:w="70" w:type="dxa"/>
          <w:right w:w="70" w:type="dxa"/>
        </w:tblCellMar>
        <w:tblLook w:val="04A0" w:firstRow="1" w:lastRow="0" w:firstColumn="1" w:lastColumn="0" w:noHBand="0" w:noVBand="1"/>
      </w:tblPr>
      <w:tblGrid>
        <w:gridCol w:w="195"/>
        <w:gridCol w:w="195"/>
        <w:gridCol w:w="1610"/>
        <w:gridCol w:w="992"/>
        <w:gridCol w:w="851"/>
        <w:gridCol w:w="900"/>
        <w:gridCol w:w="942"/>
        <w:gridCol w:w="993"/>
        <w:gridCol w:w="850"/>
        <w:gridCol w:w="992"/>
        <w:gridCol w:w="993"/>
      </w:tblGrid>
      <w:tr w:rsidR="002850AB" w:rsidRPr="009E30D1" w:rsidTr="001058C5">
        <w:trPr>
          <w:trHeight w:val="300"/>
          <w:tblHeader/>
          <w:jc w:val="center"/>
        </w:trPr>
        <w:tc>
          <w:tcPr>
            <w:tcW w:w="2000" w:type="dxa"/>
            <w:gridSpan w:val="3"/>
            <w:vMerge w:val="restart"/>
            <w:tcBorders>
              <w:top w:val="single" w:sz="4" w:space="0" w:color="auto"/>
              <w:left w:val="single" w:sz="4" w:space="0" w:color="auto"/>
              <w:right w:val="single" w:sz="4" w:space="0" w:color="000000"/>
            </w:tcBorders>
            <w:shd w:val="clear" w:color="000000" w:fill="BFBFBF"/>
            <w:noWrap/>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 </w:t>
            </w:r>
          </w:p>
        </w:tc>
        <w:tc>
          <w:tcPr>
            <w:tcW w:w="3685" w:type="dxa"/>
            <w:gridSpan w:val="4"/>
            <w:tcBorders>
              <w:top w:val="single" w:sz="4" w:space="0" w:color="auto"/>
              <w:left w:val="nil"/>
              <w:bottom w:val="single" w:sz="4" w:space="0" w:color="auto"/>
              <w:right w:val="single" w:sz="4" w:space="0" w:color="auto"/>
            </w:tcBorders>
            <w:shd w:val="clear" w:color="000000" w:fill="BFBFBF"/>
            <w:noWrap/>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2006</w:t>
            </w:r>
          </w:p>
        </w:tc>
        <w:tc>
          <w:tcPr>
            <w:tcW w:w="3828" w:type="dxa"/>
            <w:gridSpan w:val="4"/>
            <w:tcBorders>
              <w:top w:val="single" w:sz="4" w:space="0" w:color="auto"/>
              <w:left w:val="nil"/>
              <w:bottom w:val="single" w:sz="4" w:space="0" w:color="auto"/>
              <w:right w:val="single" w:sz="4" w:space="0" w:color="auto"/>
            </w:tcBorders>
            <w:shd w:val="clear" w:color="000000" w:fill="BFBFBF"/>
            <w:noWrap/>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2011</w:t>
            </w:r>
          </w:p>
        </w:tc>
      </w:tr>
      <w:tr w:rsidR="002850AB" w:rsidRPr="009E30D1" w:rsidTr="001058C5">
        <w:trPr>
          <w:trHeight w:val="765"/>
          <w:tblHeader/>
          <w:jc w:val="center"/>
        </w:trPr>
        <w:tc>
          <w:tcPr>
            <w:tcW w:w="2000" w:type="dxa"/>
            <w:gridSpan w:val="3"/>
            <w:vMerge/>
            <w:tcBorders>
              <w:left w:val="single" w:sz="4" w:space="0" w:color="auto"/>
              <w:right w:val="single" w:sz="4" w:space="0" w:color="000000"/>
            </w:tcBorders>
            <w:vAlign w:val="center"/>
            <w:hideMark/>
          </w:tcPr>
          <w:p w:rsidR="002850AB" w:rsidRPr="009E30D1" w:rsidRDefault="002850AB" w:rsidP="00D12115">
            <w:pPr>
              <w:spacing w:after="0" w:line="240" w:lineRule="auto"/>
              <w:contextualSpacing/>
              <w:rPr>
                <w:rFonts w:ascii="Adobe Caslon Pro" w:hAnsi="Adobe Caslon Pro"/>
                <w:b/>
                <w:sz w:val="18"/>
                <w:szCs w:val="18"/>
                <w:lang w:val="es-ES_tradnl"/>
              </w:rPr>
            </w:pPr>
          </w:p>
        </w:tc>
        <w:tc>
          <w:tcPr>
            <w:tcW w:w="992"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Casadas o unidas</w:t>
            </w:r>
          </w:p>
        </w:tc>
        <w:tc>
          <w:tcPr>
            <w:tcW w:w="851"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Alguna vez unidas</w:t>
            </w:r>
          </w:p>
        </w:tc>
        <w:tc>
          <w:tcPr>
            <w:tcW w:w="900"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Solteras</w:t>
            </w:r>
          </w:p>
        </w:tc>
        <w:tc>
          <w:tcPr>
            <w:tcW w:w="942"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Total de mujeres</w:t>
            </w:r>
          </w:p>
        </w:tc>
        <w:tc>
          <w:tcPr>
            <w:tcW w:w="993"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Casadas o unidas</w:t>
            </w:r>
          </w:p>
        </w:tc>
        <w:tc>
          <w:tcPr>
            <w:tcW w:w="850"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Alguna vez unidas</w:t>
            </w:r>
          </w:p>
        </w:tc>
        <w:tc>
          <w:tcPr>
            <w:tcW w:w="992"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Solteras</w:t>
            </w:r>
          </w:p>
        </w:tc>
        <w:tc>
          <w:tcPr>
            <w:tcW w:w="993"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Total de mujeres</w:t>
            </w:r>
          </w:p>
        </w:tc>
      </w:tr>
      <w:tr w:rsidR="002850AB" w:rsidRPr="009E30D1" w:rsidTr="001058C5">
        <w:trPr>
          <w:trHeight w:val="395"/>
          <w:tblHeader/>
          <w:jc w:val="center"/>
        </w:trPr>
        <w:tc>
          <w:tcPr>
            <w:tcW w:w="2000" w:type="dxa"/>
            <w:gridSpan w:val="3"/>
            <w:vMerge/>
            <w:tcBorders>
              <w:left w:val="single" w:sz="4" w:space="0" w:color="auto"/>
              <w:bottom w:val="single" w:sz="4" w:space="0" w:color="000000"/>
              <w:right w:val="single" w:sz="4" w:space="0" w:color="000000"/>
            </w:tcBorders>
            <w:vAlign w:val="center"/>
          </w:tcPr>
          <w:p w:rsidR="002850AB" w:rsidRPr="009E30D1" w:rsidRDefault="002850AB" w:rsidP="00D12115">
            <w:pPr>
              <w:spacing w:after="0" w:line="240" w:lineRule="auto"/>
              <w:contextualSpacing/>
              <w:rPr>
                <w:rFonts w:ascii="Adobe Caslon Pro" w:hAnsi="Adobe Caslon Pro"/>
                <w:b/>
                <w:sz w:val="18"/>
                <w:szCs w:val="18"/>
                <w:lang w:val="es-ES_tradnl"/>
              </w:rPr>
            </w:pPr>
          </w:p>
        </w:tc>
        <w:tc>
          <w:tcPr>
            <w:tcW w:w="7513" w:type="dxa"/>
            <w:gridSpan w:val="8"/>
            <w:tcBorders>
              <w:top w:val="nil"/>
              <w:left w:val="nil"/>
              <w:bottom w:val="single" w:sz="4" w:space="0" w:color="auto"/>
              <w:right w:val="single" w:sz="4" w:space="0" w:color="auto"/>
            </w:tcBorders>
            <w:shd w:val="clear" w:color="000000" w:fill="BFBFBF"/>
            <w:vAlign w:val="center"/>
          </w:tcPr>
          <w:p w:rsidR="002850AB" w:rsidRPr="009E30D1" w:rsidRDefault="002850AB"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(Millones de mujeres)</w:t>
            </w:r>
          </w:p>
        </w:tc>
      </w:tr>
      <w:tr w:rsidR="002850AB" w:rsidRPr="009E30D1" w:rsidTr="001058C5">
        <w:trPr>
          <w:trHeight w:val="300"/>
          <w:tblHeader/>
          <w:jc w:val="center"/>
        </w:trPr>
        <w:tc>
          <w:tcPr>
            <w:tcW w:w="2000" w:type="dxa"/>
            <w:gridSpan w:val="3"/>
            <w:tcBorders>
              <w:top w:val="single" w:sz="4" w:space="0" w:color="auto"/>
              <w:left w:val="single" w:sz="4" w:space="0" w:color="auto"/>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Total</w:t>
            </w:r>
          </w:p>
        </w:tc>
        <w:tc>
          <w:tcPr>
            <w:tcW w:w="992"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22.4</w:t>
            </w:r>
          </w:p>
        </w:tc>
        <w:tc>
          <w:tcPr>
            <w:tcW w:w="851"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3.7</w:t>
            </w:r>
          </w:p>
        </w:tc>
        <w:tc>
          <w:tcPr>
            <w:tcW w:w="900"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8.4</w:t>
            </w:r>
          </w:p>
        </w:tc>
        <w:tc>
          <w:tcPr>
            <w:tcW w:w="942"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34.4</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25.0</w:t>
            </w:r>
          </w:p>
        </w:tc>
        <w:tc>
          <w:tcPr>
            <w:tcW w:w="850"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7.3</w:t>
            </w:r>
          </w:p>
        </w:tc>
        <w:tc>
          <w:tcPr>
            <w:tcW w:w="992"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7.5</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39.8</w:t>
            </w:r>
          </w:p>
        </w:tc>
      </w:tr>
      <w:tr w:rsidR="002850AB" w:rsidRPr="009E30D1" w:rsidTr="001058C5">
        <w:trPr>
          <w:trHeight w:val="300"/>
          <w:tblHeader/>
          <w:jc w:val="center"/>
        </w:trPr>
        <w:tc>
          <w:tcPr>
            <w:tcW w:w="195" w:type="dxa"/>
            <w:tcBorders>
              <w:top w:val="nil"/>
              <w:left w:val="single" w:sz="4" w:space="0" w:color="auto"/>
              <w:bottom w:val="nil"/>
              <w:right w:val="nil"/>
            </w:tcBorders>
            <w:shd w:val="clear" w:color="auto" w:fill="auto"/>
            <w:vAlign w:val="bottom"/>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805" w:type="dxa"/>
            <w:gridSpan w:val="2"/>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Sin violencia</w:t>
            </w:r>
          </w:p>
        </w:tc>
        <w:tc>
          <w:tcPr>
            <w:tcW w:w="992"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11.9</w:t>
            </w:r>
          </w:p>
        </w:tc>
        <w:tc>
          <w:tcPr>
            <w:tcW w:w="851"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1.4</w:t>
            </w:r>
          </w:p>
        </w:tc>
        <w:tc>
          <w:tcPr>
            <w:tcW w:w="900"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6.2</w:t>
            </w:r>
          </w:p>
        </w:tc>
        <w:tc>
          <w:tcPr>
            <w:tcW w:w="942"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19.5</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13.8</w:t>
            </w:r>
          </w:p>
        </w:tc>
        <w:tc>
          <w:tcPr>
            <w:tcW w:w="850"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2.6</w:t>
            </w:r>
          </w:p>
        </w:tc>
        <w:tc>
          <w:tcPr>
            <w:tcW w:w="992"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4.7</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21.1</w:t>
            </w:r>
          </w:p>
        </w:tc>
      </w:tr>
      <w:tr w:rsidR="002850AB" w:rsidRPr="009E30D1" w:rsidTr="001058C5">
        <w:trPr>
          <w:trHeight w:val="300"/>
          <w:tblHeader/>
          <w:jc w:val="center"/>
        </w:trPr>
        <w:tc>
          <w:tcPr>
            <w:tcW w:w="195" w:type="dxa"/>
            <w:tcBorders>
              <w:top w:val="nil"/>
              <w:left w:val="single" w:sz="4" w:space="0" w:color="auto"/>
              <w:bottom w:val="nil"/>
              <w:right w:val="nil"/>
            </w:tcBorders>
            <w:shd w:val="clear" w:color="auto" w:fill="auto"/>
            <w:vAlign w:val="bottom"/>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805" w:type="dxa"/>
            <w:gridSpan w:val="2"/>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Violentadas</w:t>
            </w:r>
          </w:p>
        </w:tc>
        <w:tc>
          <w:tcPr>
            <w:tcW w:w="992"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10.4</w:t>
            </w:r>
          </w:p>
        </w:tc>
        <w:tc>
          <w:tcPr>
            <w:tcW w:w="851"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2.3</w:t>
            </w:r>
          </w:p>
        </w:tc>
        <w:tc>
          <w:tcPr>
            <w:tcW w:w="900"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2.2</w:t>
            </w:r>
          </w:p>
        </w:tc>
        <w:tc>
          <w:tcPr>
            <w:tcW w:w="942"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14.9</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11.2</w:t>
            </w:r>
          </w:p>
        </w:tc>
        <w:tc>
          <w:tcPr>
            <w:tcW w:w="850"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4.7</w:t>
            </w:r>
          </w:p>
        </w:tc>
        <w:tc>
          <w:tcPr>
            <w:tcW w:w="992"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2.8</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18.7</w:t>
            </w:r>
          </w:p>
        </w:tc>
      </w:tr>
      <w:tr w:rsidR="002850AB" w:rsidRPr="009E30D1" w:rsidTr="001058C5">
        <w:trPr>
          <w:trHeight w:val="300"/>
          <w:tblHeader/>
          <w:jc w:val="center"/>
        </w:trPr>
        <w:tc>
          <w:tcPr>
            <w:tcW w:w="195" w:type="dxa"/>
            <w:tcBorders>
              <w:top w:val="nil"/>
              <w:left w:val="single" w:sz="4" w:space="0" w:color="auto"/>
              <w:bottom w:val="nil"/>
              <w:right w:val="nil"/>
            </w:tcBorders>
            <w:shd w:val="clear" w:color="auto" w:fill="auto"/>
            <w:vAlign w:val="bottom"/>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5"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p>
        </w:tc>
        <w:tc>
          <w:tcPr>
            <w:tcW w:w="1610"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Emocional</w:t>
            </w:r>
          </w:p>
        </w:tc>
        <w:tc>
          <w:tcPr>
            <w:tcW w:w="992"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8.8</w:t>
            </w:r>
          </w:p>
        </w:tc>
        <w:tc>
          <w:tcPr>
            <w:tcW w:w="851"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2.0</w:t>
            </w:r>
          </w:p>
        </w:tc>
        <w:tc>
          <w:tcPr>
            <w:tcW w:w="900"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2.1</w:t>
            </w:r>
          </w:p>
        </w:tc>
        <w:tc>
          <w:tcPr>
            <w:tcW w:w="942"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12.9</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10.0</w:t>
            </w:r>
          </w:p>
        </w:tc>
        <w:tc>
          <w:tcPr>
            <w:tcW w:w="850"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4.4</w:t>
            </w:r>
          </w:p>
        </w:tc>
        <w:tc>
          <w:tcPr>
            <w:tcW w:w="992"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2.8</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17.2</w:t>
            </w:r>
          </w:p>
        </w:tc>
      </w:tr>
      <w:tr w:rsidR="002850AB" w:rsidRPr="009E30D1" w:rsidTr="001058C5">
        <w:trPr>
          <w:trHeight w:val="300"/>
          <w:tblHeader/>
          <w:jc w:val="center"/>
        </w:trPr>
        <w:tc>
          <w:tcPr>
            <w:tcW w:w="195" w:type="dxa"/>
            <w:tcBorders>
              <w:top w:val="nil"/>
              <w:left w:val="single" w:sz="4" w:space="0" w:color="auto"/>
              <w:bottom w:val="nil"/>
              <w:right w:val="nil"/>
            </w:tcBorders>
            <w:shd w:val="clear" w:color="auto" w:fill="auto"/>
            <w:vAlign w:val="bottom"/>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5"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p>
        </w:tc>
        <w:tc>
          <w:tcPr>
            <w:tcW w:w="1610"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Económica</w:t>
            </w:r>
          </w:p>
        </w:tc>
        <w:tc>
          <w:tcPr>
            <w:tcW w:w="992"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6.3</w:t>
            </w:r>
          </w:p>
        </w:tc>
        <w:tc>
          <w:tcPr>
            <w:tcW w:w="851"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1.6</w:t>
            </w:r>
          </w:p>
        </w:tc>
        <w:tc>
          <w:tcPr>
            <w:tcW w:w="900"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0.1</w:t>
            </w:r>
          </w:p>
        </w:tc>
        <w:tc>
          <w:tcPr>
            <w:tcW w:w="942"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8.1</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6.3</w:t>
            </w:r>
          </w:p>
        </w:tc>
        <w:tc>
          <w:tcPr>
            <w:tcW w:w="850"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3.4</w:t>
            </w:r>
          </w:p>
        </w:tc>
        <w:tc>
          <w:tcPr>
            <w:tcW w:w="992"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0.1</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9.7</w:t>
            </w:r>
          </w:p>
        </w:tc>
      </w:tr>
      <w:tr w:rsidR="002850AB" w:rsidRPr="009E30D1" w:rsidTr="001058C5">
        <w:trPr>
          <w:trHeight w:val="300"/>
          <w:tblHeader/>
          <w:jc w:val="center"/>
        </w:trPr>
        <w:tc>
          <w:tcPr>
            <w:tcW w:w="195" w:type="dxa"/>
            <w:tcBorders>
              <w:top w:val="nil"/>
              <w:left w:val="single" w:sz="4" w:space="0" w:color="auto"/>
              <w:bottom w:val="nil"/>
              <w:right w:val="nil"/>
            </w:tcBorders>
            <w:shd w:val="clear" w:color="auto" w:fill="auto"/>
            <w:vAlign w:val="bottom"/>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5"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p>
        </w:tc>
        <w:tc>
          <w:tcPr>
            <w:tcW w:w="1610"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Física</w:t>
            </w:r>
          </w:p>
        </w:tc>
        <w:tc>
          <w:tcPr>
            <w:tcW w:w="992"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4.7</w:t>
            </w:r>
          </w:p>
        </w:tc>
        <w:tc>
          <w:tcPr>
            <w:tcW w:w="851"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1.4</w:t>
            </w:r>
          </w:p>
        </w:tc>
        <w:tc>
          <w:tcPr>
            <w:tcW w:w="900"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0.5</w:t>
            </w:r>
          </w:p>
        </w:tc>
        <w:tc>
          <w:tcPr>
            <w:tcW w:w="942"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6.6</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2.9</w:t>
            </w:r>
          </w:p>
        </w:tc>
        <w:tc>
          <w:tcPr>
            <w:tcW w:w="850"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2.4</w:t>
            </w:r>
          </w:p>
        </w:tc>
        <w:tc>
          <w:tcPr>
            <w:tcW w:w="992"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0.3</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5.6</w:t>
            </w:r>
          </w:p>
        </w:tc>
      </w:tr>
      <w:tr w:rsidR="002850AB" w:rsidRPr="009E30D1" w:rsidTr="001058C5">
        <w:trPr>
          <w:trHeight w:val="300"/>
          <w:tblHeader/>
          <w:jc w:val="center"/>
        </w:trPr>
        <w:tc>
          <w:tcPr>
            <w:tcW w:w="195" w:type="dxa"/>
            <w:tcBorders>
              <w:top w:val="nil"/>
              <w:left w:val="single" w:sz="4" w:space="0" w:color="auto"/>
              <w:bottom w:val="nil"/>
              <w:right w:val="nil"/>
            </w:tcBorders>
            <w:shd w:val="clear" w:color="auto" w:fill="auto"/>
            <w:vAlign w:val="bottom"/>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5"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p>
        </w:tc>
        <w:tc>
          <w:tcPr>
            <w:tcW w:w="1610" w:type="dxa"/>
            <w:tcBorders>
              <w:top w:val="nil"/>
              <w:left w:val="nil"/>
              <w:bottom w:val="nil"/>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Sexual</w:t>
            </w:r>
          </w:p>
        </w:tc>
        <w:tc>
          <w:tcPr>
            <w:tcW w:w="992"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1.9</w:t>
            </w:r>
          </w:p>
        </w:tc>
        <w:tc>
          <w:tcPr>
            <w:tcW w:w="851"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0.8</w:t>
            </w:r>
          </w:p>
        </w:tc>
        <w:tc>
          <w:tcPr>
            <w:tcW w:w="900"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0.4</w:t>
            </w:r>
          </w:p>
        </w:tc>
        <w:tc>
          <w:tcPr>
            <w:tcW w:w="942" w:type="dxa"/>
            <w:tcBorders>
              <w:top w:val="nil"/>
              <w:left w:val="nil"/>
              <w:bottom w:val="nil"/>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3.1</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1.3</w:t>
            </w:r>
          </w:p>
        </w:tc>
        <w:tc>
          <w:tcPr>
            <w:tcW w:w="850"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1.4</w:t>
            </w:r>
          </w:p>
        </w:tc>
        <w:tc>
          <w:tcPr>
            <w:tcW w:w="992"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0.2</w:t>
            </w:r>
          </w:p>
        </w:tc>
        <w:tc>
          <w:tcPr>
            <w:tcW w:w="993" w:type="dxa"/>
            <w:tcBorders>
              <w:top w:val="nil"/>
              <w:left w:val="nil"/>
              <w:bottom w:val="nil"/>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2.9</w:t>
            </w:r>
          </w:p>
        </w:tc>
      </w:tr>
      <w:tr w:rsidR="002850AB" w:rsidRPr="009E30D1" w:rsidTr="001058C5">
        <w:trPr>
          <w:trHeight w:val="300"/>
          <w:tblHeader/>
          <w:jc w:val="center"/>
        </w:trPr>
        <w:tc>
          <w:tcPr>
            <w:tcW w:w="195" w:type="dxa"/>
            <w:tcBorders>
              <w:top w:val="nil"/>
              <w:left w:val="single" w:sz="4" w:space="0" w:color="auto"/>
              <w:bottom w:val="single" w:sz="4" w:space="0" w:color="auto"/>
              <w:right w:val="nil"/>
            </w:tcBorders>
            <w:shd w:val="clear" w:color="auto" w:fill="auto"/>
            <w:vAlign w:val="bottom"/>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95" w:type="dxa"/>
            <w:tcBorders>
              <w:top w:val="nil"/>
              <w:left w:val="nil"/>
              <w:bottom w:val="single" w:sz="4" w:space="0" w:color="auto"/>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 </w:t>
            </w:r>
          </w:p>
        </w:tc>
        <w:tc>
          <w:tcPr>
            <w:tcW w:w="1610" w:type="dxa"/>
            <w:tcBorders>
              <w:top w:val="nil"/>
              <w:left w:val="nil"/>
              <w:bottom w:val="single" w:sz="4" w:space="0" w:color="auto"/>
              <w:right w:val="nil"/>
            </w:tcBorders>
            <w:shd w:val="clear" w:color="auto" w:fill="auto"/>
            <w:noWrap/>
            <w:vAlign w:val="center"/>
            <w:hideMark/>
          </w:tcPr>
          <w:p w:rsidR="002850AB" w:rsidRPr="009E30D1" w:rsidRDefault="002850AB" w:rsidP="00D12115">
            <w:pPr>
              <w:spacing w:after="0" w:line="240" w:lineRule="auto"/>
              <w:contextualSpacing/>
              <w:rPr>
                <w:rFonts w:ascii="Adobe Caslon Pro" w:hAnsi="Adobe Caslon Pro"/>
                <w:sz w:val="18"/>
                <w:szCs w:val="18"/>
                <w:lang w:val="es-ES_tradnl"/>
              </w:rPr>
            </w:pPr>
            <w:r w:rsidRPr="009E30D1">
              <w:rPr>
                <w:rFonts w:ascii="Adobe Caslon Pro" w:hAnsi="Adobe Caslon Pro"/>
                <w:sz w:val="18"/>
                <w:szCs w:val="18"/>
                <w:lang w:val="es-ES_tradnl"/>
              </w:rPr>
              <w:t>No especificado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0.0</w:t>
            </w:r>
          </w:p>
        </w:tc>
        <w:tc>
          <w:tcPr>
            <w:tcW w:w="851"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0.0</w:t>
            </w:r>
          </w:p>
        </w:tc>
        <w:tc>
          <w:tcPr>
            <w:tcW w:w="900"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0.0</w:t>
            </w:r>
          </w:p>
        </w:tc>
        <w:tc>
          <w:tcPr>
            <w:tcW w:w="942"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0.1</w:t>
            </w:r>
          </w:p>
        </w:tc>
        <w:tc>
          <w:tcPr>
            <w:tcW w:w="993" w:type="dxa"/>
            <w:tcBorders>
              <w:top w:val="nil"/>
              <w:left w:val="nil"/>
              <w:bottom w:val="single" w:sz="4" w:space="0" w:color="auto"/>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0.0</w:t>
            </w:r>
          </w:p>
        </w:tc>
        <w:tc>
          <w:tcPr>
            <w:tcW w:w="850" w:type="dxa"/>
            <w:tcBorders>
              <w:top w:val="nil"/>
              <w:left w:val="nil"/>
              <w:bottom w:val="single" w:sz="4" w:space="0" w:color="auto"/>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0.0</w:t>
            </w:r>
          </w:p>
        </w:tc>
        <w:tc>
          <w:tcPr>
            <w:tcW w:w="992" w:type="dxa"/>
            <w:tcBorders>
              <w:top w:val="nil"/>
              <w:left w:val="nil"/>
              <w:bottom w:val="single" w:sz="4" w:space="0" w:color="auto"/>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0.0</w:t>
            </w:r>
          </w:p>
        </w:tc>
        <w:tc>
          <w:tcPr>
            <w:tcW w:w="993" w:type="dxa"/>
            <w:tcBorders>
              <w:top w:val="nil"/>
              <w:left w:val="nil"/>
              <w:bottom w:val="single" w:sz="4" w:space="0" w:color="auto"/>
              <w:right w:val="single" w:sz="4" w:space="0" w:color="auto"/>
            </w:tcBorders>
            <w:shd w:val="clear" w:color="auto" w:fill="auto"/>
            <w:vAlign w:val="center"/>
            <w:hideMark/>
          </w:tcPr>
          <w:p w:rsidR="002850AB" w:rsidRPr="009E30D1" w:rsidRDefault="002850AB" w:rsidP="00D12115">
            <w:pPr>
              <w:spacing w:after="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0.0</w:t>
            </w:r>
          </w:p>
        </w:tc>
      </w:tr>
    </w:tbl>
    <w:p w:rsidR="002850AB" w:rsidRPr="009E30D1" w:rsidRDefault="002850AB" w:rsidP="00D12115">
      <w:pPr>
        <w:spacing w:after="0" w:line="240" w:lineRule="auto"/>
        <w:ind w:left="567" w:hanging="567"/>
        <w:contextualSpacing/>
        <w:jc w:val="center"/>
        <w:rPr>
          <w:rFonts w:ascii="Adobe Caslon Pro" w:hAnsi="Adobe Caslon Pro"/>
          <w:i/>
          <w:sz w:val="18"/>
          <w:szCs w:val="18"/>
          <w:lang w:val="es-ES_tradnl"/>
        </w:rPr>
      </w:pPr>
      <w:r w:rsidRPr="009E30D1">
        <w:rPr>
          <w:rFonts w:ascii="Adobe Caslon Pro" w:hAnsi="Adobe Caslon Pro"/>
          <w:i/>
          <w:sz w:val="18"/>
          <w:szCs w:val="18"/>
          <w:lang w:val="es-ES_tradnl"/>
        </w:rPr>
        <w:t>Fuente: Elaboración propia con datos de la ENDIREH 2006 y 2011, INEGI.</w:t>
      </w:r>
    </w:p>
    <w:p w:rsidR="002850AB" w:rsidRPr="009E30D1" w:rsidRDefault="002850AB" w:rsidP="00D12115">
      <w:pPr>
        <w:spacing w:after="0" w:line="240" w:lineRule="auto"/>
        <w:ind w:left="567" w:hanging="567"/>
        <w:contextualSpacing/>
        <w:jc w:val="center"/>
        <w:rPr>
          <w:rFonts w:ascii="Adobe Caslon Pro" w:hAnsi="Adobe Caslon Pro"/>
          <w:i/>
          <w:sz w:val="18"/>
          <w:szCs w:val="18"/>
          <w:lang w:val="es-ES_tradnl"/>
        </w:rPr>
      </w:pPr>
      <w:r w:rsidRPr="009E30D1">
        <w:rPr>
          <w:rFonts w:ascii="Adobe Caslon Pro" w:hAnsi="Adobe Caslon Pro"/>
          <w:i/>
          <w:sz w:val="18"/>
          <w:szCs w:val="18"/>
          <w:lang w:val="es-ES_tradnl"/>
        </w:rPr>
        <w:t>Nota: a/ Se excluyen las mujeres solteras que nunca han tenido alguna relación de pareja, por lo que difiere del total de solteras o mujeres mayores de 15 años de otros temas diferentes a violencia de pareja.</w:t>
      </w:r>
    </w:p>
    <w:p w:rsidR="00B85C0B" w:rsidRPr="009E30D1" w:rsidRDefault="00B85C0B" w:rsidP="00B85C0B">
      <w:pPr>
        <w:spacing w:after="120" w:line="240" w:lineRule="auto"/>
        <w:ind w:left="567" w:hanging="567"/>
        <w:contextualSpacing/>
        <w:jc w:val="center"/>
        <w:rPr>
          <w:rFonts w:ascii="Adobe Caslon Pro" w:hAnsi="Adobe Caslon Pro"/>
          <w:i/>
          <w:sz w:val="18"/>
          <w:szCs w:val="18"/>
          <w:lang w:val="es-ES_tradnl"/>
        </w:rPr>
      </w:pPr>
    </w:p>
    <w:p w:rsidR="00D12115" w:rsidRPr="009E30D1" w:rsidRDefault="002850AB"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En contraste con lo observado en </w:t>
      </w:r>
      <w:r w:rsidR="00E04944" w:rsidRPr="009E30D1">
        <w:rPr>
          <w:rFonts w:ascii="Adobe Caslon Pro" w:hAnsi="Adobe Caslon Pro"/>
          <w:lang w:val="es-ES_tradnl"/>
        </w:rPr>
        <w:t>el cuadro 2</w:t>
      </w:r>
      <w:r w:rsidRPr="009E30D1">
        <w:rPr>
          <w:rFonts w:ascii="Adobe Caslon Pro" w:hAnsi="Adobe Caslon Pro"/>
          <w:lang w:val="es-ES_tradnl"/>
        </w:rPr>
        <w:t>, del año 2006 al 2011 la violencia contra las mujeres se incrementó en 25.5%, pasó de 14.9 millones de mujeres violentadas a 18.7 millones, y es en el grupo “mujeres alguna vez unidas” donde se presenta el mayor aumento, con 104 puntos porcentuales. En el</w:t>
      </w:r>
      <w:r w:rsidR="00276AE9" w:rsidRPr="009E30D1">
        <w:rPr>
          <w:rFonts w:ascii="Adobe Caslon Pro" w:hAnsi="Adobe Caslon Pro"/>
          <w:lang w:val="es-ES_tradnl"/>
        </w:rPr>
        <w:t xml:space="preserve"> cuadro 3</w:t>
      </w:r>
      <w:r w:rsidRPr="009E30D1">
        <w:rPr>
          <w:rFonts w:ascii="Adobe Caslon Pro" w:hAnsi="Adobe Caslon Pro"/>
          <w:lang w:val="es-ES_tradnl"/>
        </w:rPr>
        <w:t xml:space="preserve"> se muestra el porcentaje de mujeres que declaró haber sido víctima de violencia por parte de su última pareja; en todos los tipos y para ambos años las mujeres alguna vez unidas son las que presentan mayor incidencia de violencia.</w:t>
      </w:r>
    </w:p>
    <w:p w:rsidR="00ED5711" w:rsidRPr="009E30D1" w:rsidRDefault="00C92E2B" w:rsidP="006E380D">
      <w:pPr>
        <w:spacing w:after="0" w:line="240" w:lineRule="auto"/>
        <w:contextualSpacing/>
        <w:jc w:val="center"/>
        <w:rPr>
          <w:rFonts w:ascii="Adobe Caslon Pro" w:hAnsi="Adobe Caslon Pro"/>
          <w:b/>
          <w:lang w:val="es-ES_tradnl"/>
        </w:rPr>
      </w:pPr>
      <w:r w:rsidRPr="009E30D1">
        <w:rPr>
          <w:rFonts w:ascii="Adobe Caslon Pro" w:hAnsi="Adobe Caslon Pro"/>
          <w:b/>
          <w:lang w:val="es-ES_tradnl"/>
        </w:rPr>
        <w:t>Cuadro 3</w:t>
      </w:r>
      <w:r w:rsidR="002850AB" w:rsidRPr="009E30D1">
        <w:rPr>
          <w:rFonts w:ascii="Adobe Caslon Pro" w:hAnsi="Adobe Caslon Pro"/>
          <w:b/>
          <w:lang w:val="es-ES_tradnl"/>
        </w:rPr>
        <w:t xml:space="preserve">. Porcentaje de mujeres mayores de 15 años víctimas de violencia </w:t>
      </w:r>
      <w:r w:rsidR="00ED5711" w:rsidRPr="009E30D1">
        <w:rPr>
          <w:rFonts w:ascii="Adobe Caslon Pro" w:hAnsi="Adobe Caslon Pro"/>
          <w:b/>
          <w:lang w:val="es-ES_tradnl"/>
        </w:rPr>
        <w:t>por parte de su última pareja</w:t>
      </w:r>
    </w:p>
    <w:p w:rsidR="002850AB" w:rsidRPr="009E30D1" w:rsidRDefault="00ED5711" w:rsidP="006E380D">
      <w:pPr>
        <w:spacing w:after="0" w:line="240" w:lineRule="auto"/>
        <w:contextualSpacing/>
        <w:jc w:val="center"/>
        <w:rPr>
          <w:rFonts w:ascii="Adobe Caslon Pro" w:hAnsi="Adobe Caslon Pro"/>
          <w:b/>
          <w:lang w:val="es-ES_tradnl"/>
        </w:rPr>
      </w:pPr>
      <w:r w:rsidRPr="009E30D1">
        <w:rPr>
          <w:rFonts w:ascii="Adobe Caslon Pro" w:hAnsi="Adobe Caslon Pro"/>
          <w:b/>
          <w:lang w:val="es-ES_tradnl"/>
        </w:rPr>
        <w:t>(</w:t>
      </w:r>
      <w:proofErr w:type="gramStart"/>
      <w:r w:rsidRPr="009E30D1">
        <w:rPr>
          <w:rFonts w:ascii="Adobe Caslon Pro" w:hAnsi="Adobe Caslon Pro"/>
          <w:b/>
          <w:lang w:val="es-ES_tradnl"/>
        </w:rPr>
        <w:t>por</w:t>
      </w:r>
      <w:proofErr w:type="gramEnd"/>
      <w:r w:rsidR="002850AB" w:rsidRPr="009E30D1">
        <w:rPr>
          <w:rFonts w:ascii="Adobe Caslon Pro" w:hAnsi="Adobe Caslon Pro"/>
          <w:b/>
          <w:lang w:val="es-ES_tradnl"/>
        </w:rPr>
        <w:t xml:space="preserve"> tipo de violencia por estado civil y año</w:t>
      </w:r>
      <w:r w:rsidRPr="009E30D1">
        <w:rPr>
          <w:rFonts w:ascii="Adobe Caslon Pro" w:hAnsi="Adobe Caslon Pro"/>
          <w:b/>
          <w:lang w:val="es-ES_tradnl"/>
        </w:rPr>
        <w:t>)</w:t>
      </w:r>
    </w:p>
    <w:tbl>
      <w:tblPr>
        <w:tblW w:w="6560" w:type="dxa"/>
        <w:jc w:val="center"/>
        <w:tblCellMar>
          <w:left w:w="70" w:type="dxa"/>
          <w:right w:w="70" w:type="dxa"/>
        </w:tblCellMar>
        <w:tblLook w:val="04A0" w:firstRow="1" w:lastRow="0" w:firstColumn="1" w:lastColumn="0" w:noHBand="0" w:noVBand="1"/>
      </w:tblPr>
      <w:tblGrid>
        <w:gridCol w:w="1660"/>
        <w:gridCol w:w="860"/>
        <w:gridCol w:w="756"/>
        <w:gridCol w:w="764"/>
        <w:gridCol w:w="880"/>
        <w:gridCol w:w="876"/>
        <w:gridCol w:w="764"/>
      </w:tblGrid>
      <w:tr w:rsidR="002850AB" w:rsidRPr="009E30D1" w:rsidTr="001058C5">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p>
        </w:tc>
        <w:tc>
          <w:tcPr>
            <w:tcW w:w="2380"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2006</w:t>
            </w:r>
          </w:p>
        </w:tc>
        <w:tc>
          <w:tcPr>
            <w:tcW w:w="2520"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2011</w:t>
            </w:r>
          </w:p>
        </w:tc>
      </w:tr>
      <w:tr w:rsidR="002850AB" w:rsidRPr="009E30D1" w:rsidTr="001058C5">
        <w:trPr>
          <w:trHeight w:val="765"/>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p>
        </w:tc>
        <w:tc>
          <w:tcPr>
            <w:tcW w:w="860"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Casadas o unidas</w:t>
            </w:r>
          </w:p>
        </w:tc>
        <w:tc>
          <w:tcPr>
            <w:tcW w:w="756"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Alguna vez unidas</w:t>
            </w:r>
          </w:p>
        </w:tc>
        <w:tc>
          <w:tcPr>
            <w:tcW w:w="764"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Solteras</w:t>
            </w:r>
          </w:p>
        </w:tc>
        <w:tc>
          <w:tcPr>
            <w:tcW w:w="880"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Casadas o unidas</w:t>
            </w:r>
          </w:p>
        </w:tc>
        <w:tc>
          <w:tcPr>
            <w:tcW w:w="876"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Alguna vez unidas</w:t>
            </w:r>
          </w:p>
        </w:tc>
        <w:tc>
          <w:tcPr>
            <w:tcW w:w="764" w:type="dxa"/>
            <w:tcBorders>
              <w:top w:val="nil"/>
              <w:left w:val="nil"/>
              <w:bottom w:val="single" w:sz="4" w:space="0" w:color="auto"/>
              <w:right w:val="single" w:sz="4" w:space="0" w:color="auto"/>
            </w:tcBorders>
            <w:shd w:val="clear" w:color="000000" w:fill="BFBFBF"/>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Solteras</w:t>
            </w:r>
          </w:p>
        </w:tc>
      </w:tr>
      <w:tr w:rsidR="002850AB" w:rsidRPr="009E30D1" w:rsidTr="001058C5">
        <w:trPr>
          <w:trHeight w:val="300"/>
          <w:jc w:val="center"/>
        </w:trPr>
        <w:tc>
          <w:tcPr>
            <w:tcW w:w="1660"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Emocional</w:t>
            </w:r>
          </w:p>
        </w:tc>
        <w:tc>
          <w:tcPr>
            <w:tcW w:w="860"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39.3</w:t>
            </w:r>
          </w:p>
        </w:tc>
        <w:tc>
          <w:tcPr>
            <w:tcW w:w="756"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55.3</w:t>
            </w:r>
          </w:p>
        </w:tc>
        <w:tc>
          <w:tcPr>
            <w:tcW w:w="764"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24.8</w:t>
            </w:r>
          </w:p>
        </w:tc>
        <w:tc>
          <w:tcPr>
            <w:tcW w:w="880"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40.0</w:t>
            </w:r>
          </w:p>
        </w:tc>
        <w:tc>
          <w:tcPr>
            <w:tcW w:w="876"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59.9</w:t>
            </w:r>
          </w:p>
        </w:tc>
        <w:tc>
          <w:tcPr>
            <w:tcW w:w="764"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37.0</w:t>
            </w:r>
          </w:p>
        </w:tc>
      </w:tr>
      <w:tr w:rsidR="002850AB" w:rsidRPr="009E30D1" w:rsidTr="001058C5">
        <w:trPr>
          <w:trHeight w:val="300"/>
          <w:jc w:val="center"/>
        </w:trPr>
        <w:tc>
          <w:tcPr>
            <w:tcW w:w="1660"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Económica</w:t>
            </w:r>
          </w:p>
        </w:tc>
        <w:tc>
          <w:tcPr>
            <w:tcW w:w="860"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28.3</w:t>
            </w:r>
          </w:p>
        </w:tc>
        <w:tc>
          <w:tcPr>
            <w:tcW w:w="756"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44.4</w:t>
            </w:r>
          </w:p>
        </w:tc>
        <w:tc>
          <w:tcPr>
            <w:tcW w:w="764"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1.2</w:t>
            </w:r>
          </w:p>
        </w:tc>
        <w:tc>
          <w:tcPr>
            <w:tcW w:w="880"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25.3</w:t>
            </w:r>
          </w:p>
        </w:tc>
        <w:tc>
          <w:tcPr>
            <w:tcW w:w="876"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45.8</w:t>
            </w:r>
          </w:p>
        </w:tc>
        <w:tc>
          <w:tcPr>
            <w:tcW w:w="764"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1.0</w:t>
            </w:r>
          </w:p>
        </w:tc>
      </w:tr>
      <w:tr w:rsidR="002850AB" w:rsidRPr="009E30D1" w:rsidTr="001058C5">
        <w:trPr>
          <w:trHeight w:val="300"/>
          <w:jc w:val="center"/>
        </w:trPr>
        <w:tc>
          <w:tcPr>
            <w:tcW w:w="1660" w:type="dxa"/>
            <w:tcBorders>
              <w:top w:val="nil"/>
              <w:left w:val="single" w:sz="4" w:space="0" w:color="auto"/>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Física</w:t>
            </w:r>
          </w:p>
        </w:tc>
        <w:tc>
          <w:tcPr>
            <w:tcW w:w="860"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20.8</w:t>
            </w:r>
          </w:p>
        </w:tc>
        <w:tc>
          <w:tcPr>
            <w:tcW w:w="756"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39.2</w:t>
            </w:r>
          </w:p>
        </w:tc>
        <w:tc>
          <w:tcPr>
            <w:tcW w:w="764"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6.2</w:t>
            </w:r>
          </w:p>
        </w:tc>
        <w:tc>
          <w:tcPr>
            <w:tcW w:w="880"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11.6</w:t>
            </w:r>
          </w:p>
        </w:tc>
        <w:tc>
          <w:tcPr>
            <w:tcW w:w="876"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33.2</w:t>
            </w:r>
          </w:p>
        </w:tc>
        <w:tc>
          <w:tcPr>
            <w:tcW w:w="764" w:type="dxa"/>
            <w:tcBorders>
              <w:top w:val="nil"/>
              <w:left w:val="nil"/>
              <w:bottom w:val="nil"/>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3.4</w:t>
            </w:r>
          </w:p>
        </w:tc>
      </w:tr>
      <w:tr w:rsidR="002850AB" w:rsidRPr="009E30D1" w:rsidTr="001058C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Sexual</w:t>
            </w:r>
          </w:p>
        </w:tc>
        <w:tc>
          <w:tcPr>
            <w:tcW w:w="860"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8.4</w:t>
            </w:r>
          </w:p>
        </w:tc>
        <w:tc>
          <w:tcPr>
            <w:tcW w:w="756"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22.9</w:t>
            </w:r>
          </w:p>
        </w:tc>
        <w:tc>
          <w:tcPr>
            <w:tcW w:w="764"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4.4</w:t>
            </w:r>
          </w:p>
        </w:tc>
        <w:tc>
          <w:tcPr>
            <w:tcW w:w="880"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5.3</w:t>
            </w:r>
          </w:p>
        </w:tc>
        <w:tc>
          <w:tcPr>
            <w:tcW w:w="876"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19.0</w:t>
            </w:r>
          </w:p>
        </w:tc>
        <w:tc>
          <w:tcPr>
            <w:tcW w:w="764" w:type="dxa"/>
            <w:tcBorders>
              <w:top w:val="nil"/>
              <w:left w:val="nil"/>
              <w:bottom w:val="single" w:sz="4" w:space="0" w:color="auto"/>
              <w:right w:val="single" w:sz="4" w:space="0" w:color="auto"/>
            </w:tcBorders>
            <w:shd w:val="clear" w:color="auto" w:fill="auto"/>
            <w:noWrap/>
            <w:vAlign w:val="center"/>
            <w:hideMark/>
          </w:tcPr>
          <w:p w:rsidR="002850AB" w:rsidRPr="009E30D1" w:rsidRDefault="002850AB" w:rsidP="00B85C0B">
            <w:pPr>
              <w:spacing w:after="120" w:line="240" w:lineRule="auto"/>
              <w:contextualSpacing/>
              <w:jc w:val="center"/>
              <w:rPr>
                <w:rFonts w:ascii="Adobe Caslon Pro" w:hAnsi="Adobe Caslon Pro"/>
                <w:sz w:val="18"/>
                <w:szCs w:val="18"/>
                <w:lang w:val="es-ES_tradnl"/>
              </w:rPr>
            </w:pPr>
            <w:r w:rsidRPr="009E30D1">
              <w:rPr>
                <w:rFonts w:ascii="Adobe Caslon Pro" w:hAnsi="Adobe Caslon Pro"/>
                <w:sz w:val="18"/>
                <w:szCs w:val="18"/>
                <w:lang w:val="es-ES_tradnl"/>
              </w:rPr>
              <w:t>2.9</w:t>
            </w:r>
          </w:p>
        </w:tc>
      </w:tr>
    </w:tbl>
    <w:p w:rsidR="002850AB" w:rsidRPr="009E30D1" w:rsidRDefault="002850AB" w:rsidP="00B85C0B">
      <w:pPr>
        <w:spacing w:after="120" w:line="240" w:lineRule="auto"/>
        <w:ind w:left="567" w:hanging="567"/>
        <w:contextualSpacing/>
        <w:jc w:val="center"/>
        <w:rPr>
          <w:rFonts w:ascii="Adobe Caslon Pro" w:hAnsi="Adobe Caslon Pro"/>
          <w:i/>
          <w:sz w:val="18"/>
          <w:szCs w:val="18"/>
          <w:lang w:val="es-ES_tradnl"/>
        </w:rPr>
      </w:pPr>
      <w:r w:rsidRPr="009E30D1">
        <w:rPr>
          <w:rFonts w:ascii="Adobe Caslon Pro" w:hAnsi="Adobe Caslon Pro"/>
          <w:i/>
          <w:sz w:val="18"/>
          <w:szCs w:val="18"/>
          <w:lang w:val="es-ES_tradnl"/>
        </w:rPr>
        <w:t>Fuente: Elaboración propia, con datos de la ENDIREH 2011, INEGI.</w:t>
      </w:r>
    </w:p>
    <w:p w:rsidR="00F52701" w:rsidRPr="009E30D1" w:rsidRDefault="00F52701" w:rsidP="00B85C0B">
      <w:pPr>
        <w:spacing w:after="120" w:line="240" w:lineRule="auto"/>
        <w:ind w:left="567" w:hanging="567"/>
        <w:contextualSpacing/>
        <w:jc w:val="center"/>
        <w:rPr>
          <w:rFonts w:ascii="Adobe Caslon Pro" w:hAnsi="Adobe Caslon Pro"/>
          <w:i/>
          <w:sz w:val="18"/>
          <w:szCs w:val="18"/>
          <w:lang w:val="es-ES_tradnl"/>
        </w:rPr>
      </w:pPr>
    </w:p>
    <w:p w:rsidR="002850AB" w:rsidRPr="009E30D1" w:rsidRDefault="002850AB" w:rsidP="00B85C0B">
      <w:pPr>
        <w:spacing w:after="120" w:line="240" w:lineRule="auto"/>
        <w:jc w:val="both"/>
        <w:rPr>
          <w:rFonts w:ascii="Adobe Caslon Pro" w:hAnsi="Adobe Caslon Pro"/>
          <w:lang w:val="es-ES_tradnl"/>
        </w:rPr>
      </w:pPr>
      <w:r w:rsidRPr="009E30D1">
        <w:rPr>
          <w:rFonts w:ascii="Adobe Caslon Pro" w:hAnsi="Adobe Caslon Pro"/>
          <w:lang w:val="es-ES_tradnl"/>
        </w:rPr>
        <w:lastRenderedPageBreak/>
        <w:t>En la siguiente gráfica se observa la variación porcentual del cambio en la incidencia de la violencia contra las mujeres por entidad federativa para los años 2006 y 2011. En los estados de Durango, Jalisco, Tabasco, Chiapas y Guerrero disminuyó la incidencia de violencia durante el periodo, mientras que estados como Nayarit, Yucatán, Nuevo León, Sonora y Zacatecas presentaron un incremento superior a 25% en la incidencia de violencia en el mismo periodo.</w:t>
      </w:r>
    </w:p>
    <w:p w:rsidR="00D12115" w:rsidRPr="009E30D1" w:rsidRDefault="00D12115">
      <w:pPr>
        <w:rPr>
          <w:rFonts w:ascii="Adobe Caslon Pro" w:hAnsi="Adobe Caslon Pro"/>
          <w:lang w:val="es-ES_tradnl"/>
        </w:rPr>
      </w:pPr>
      <w:r w:rsidRPr="009E30D1">
        <w:rPr>
          <w:rFonts w:ascii="Adobe Caslon Pro" w:hAnsi="Adobe Caslon Pro"/>
          <w:lang w:val="es-ES_tradnl"/>
        </w:rPr>
        <w:br w:type="page"/>
      </w:r>
    </w:p>
    <w:p w:rsidR="00F52701" w:rsidRPr="009E30D1" w:rsidRDefault="00F52701" w:rsidP="00B85C0B">
      <w:pPr>
        <w:spacing w:after="120" w:line="240" w:lineRule="auto"/>
        <w:jc w:val="both"/>
        <w:rPr>
          <w:rFonts w:ascii="Adobe Caslon Pro" w:hAnsi="Adobe Caslon Pro"/>
          <w:lang w:val="es-ES_tradnl"/>
        </w:rPr>
      </w:pPr>
    </w:p>
    <w:p w:rsidR="002850AB" w:rsidRPr="009E30D1" w:rsidRDefault="00C92E2B" w:rsidP="00B85C0B">
      <w:pPr>
        <w:spacing w:after="120" w:line="240" w:lineRule="auto"/>
        <w:contextualSpacing/>
        <w:jc w:val="center"/>
        <w:rPr>
          <w:rFonts w:ascii="Adobe Caslon Pro" w:hAnsi="Adobe Caslon Pro" w:cs="Arial"/>
          <w:color w:val="000000"/>
          <w:lang w:val="es-ES_tradnl"/>
        </w:rPr>
      </w:pPr>
      <w:r w:rsidRPr="009E30D1">
        <w:rPr>
          <w:rFonts w:ascii="Adobe Caslon Pro" w:hAnsi="Adobe Caslon Pro" w:cs="Arial"/>
          <w:b/>
          <w:color w:val="000000"/>
          <w:lang w:val="es-ES_tradnl"/>
        </w:rPr>
        <w:t>Gráfica 2</w:t>
      </w:r>
      <w:r w:rsidR="002850AB" w:rsidRPr="009E30D1">
        <w:rPr>
          <w:rFonts w:ascii="Adobe Caslon Pro" w:hAnsi="Adobe Caslon Pro" w:cs="Arial"/>
          <w:b/>
          <w:color w:val="000000"/>
          <w:lang w:val="es-ES_tradnl"/>
        </w:rPr>
        <w:t xml:space="preserve">. Variación porcentual de la violencia contra las mujeres en la última relación con su pareja </w:t>
      </w:r>
      <w:r w:rsidR="00ED5711" w:rsidRPr="009E30D1">
        <w:rPr>
          <w:rFonts w:ascii="Adobe Caslon Pro" w:hAnsi="Adobe Caslon Pro" w:cs="Arial"/>
          <w:b/>
          <w:color w:val="000000"/>
          <w:lang w:val="es-ES_tradnl"/>
        </w:rPr>
        <w:t>(</w:t>
      </w:r>
      <w:r w:rsidR="002850AB" w:rsidRPr="009E30D1">
        <w:rPr>
          <w:rFonts w:ascii="Adobe Caslon Pro" w:hAnsi="Adobe Caslon Pro" w:cs="Arial"/>
          <w:b/>
          <w:color w:val="000000"/>
          <w:lang w:val="es-ES_tradnl"/>
        </w:rPr>
        <w:t>por entidad federativa para los años 2006 a 2011</w:t>
      </w:r>
      <w:r w:rsidR="00ED5711" w:rsidRPr="009E30D1">
        <w:rPr>
          <w:rFonts w:ascii="Adobe Caslon Pro" w:hAnsi="Adobe Caslon Pro" w:cs="Arial"/>
          <w:b/>
          <w:color w:val="000000"/>
          <w:lang w:val="es-ES_tradnl"/>
        </w:rPr>
        <w:t>)</w:t>
      </w:r>
    </w:p>
    <w:p w:rsidR="002850AB" w:rsidRPr="009E30D1" w:rsidRDefault="002850AB" w:rsidP="00B85C0B">
      <w:pPr>
        <w:spacing w:after="120" w:line="240" w:lineRule="auto"/>
        <w:contextualSpacing/>
        <w:jc w:val="center"/>
        <w:rPr>
          <w:rFonts w:ascii="Adobe Caslon Pro" w:hAnsi="Adobe Caslon Pro" w:cs="Arial"/>
          <w:lang w:val="es-ES_tradnl"/>
        </w:rPr>
      </w:pPr>
      <w:r w:rsidRPr="009E30D1">
        <w:rPr>
          <w:rFonts w:ascii="Adobe Caslon Pro" w:hAnsi="Adobe Caslon Pro" w:cs="Arial"/>
          <w:noProof/>
          <w:lang w:eastAsia="es-MX"/>
        </w:rPr>
        <w:drawing>
          <wp:inline distT="0" distB="0" distL="0" distR="0" wp14:anchorId="25619770" wp14:editId="2BFB6314">
            <wp:extent cx="3988676" cy="6400800"/>
            <wp:effectExtent l="0" t="0" r="12065" b="19050"/>
            <wp:docPr id="3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50AB" w:rsidRPr="009E30D1" w:rsidRDefault="002850AB" w:rsidP="00B85C0B">
      <w:pPr>
        <w:spacing w:after="120" w:line="240" w:lineRule="auto"/>
        <w:ind w:left="567" w:hanging="567"/>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664A26" w:rsidRPr="009E30D1" w:rsidRDefault="00664A26" w:rsidP="00B85C0B">
      <w:pPr>
        <w:spacing w:after="120" w:line="240" w:lineRule="auto"/>
      </w:pPr>
      <w:r w:rsidRPr="009E30D1">
        <w:tab/>
      </w:r>
    </w:p>
    <w:p w:rsidR="00551A7B" w:rsidRPr="009E30D1" w:rsidRDefault="00551A7B" w:rsidP="00B85C0B">
      <w:pPr>
        <w:spacing w:after="120" w:line="240" w:lineRule="auto"/>
        <w:rPr>
          <w:rFonts w:ascii="Adobe Caslon Pro" w:hAnsi="Adobe Caslon Pro"/>
        </w:rPr>
        <w:sectPr w:rsidR="00551A7B" w:rsidRPr="009E30D1" w:rsidSect="00A663F1">
          <w:pgSz w:w="12240" w:h="15840" w:code="1"/>
          <w:pgMar w:top="1134" w:right="1701" w:bottom="1134" w:left="1701" w:header="720" w:footer="720" w:gutter="0"/>
          <w:pgNumType w:start="0"/>
          <w:cols w:space="720"/>
          <w:docGrid w:linePitch="360" w:charSpace="-6145"/>
        </w:sectPr>
      </w:pPr>
    </w:p>
    <w:p w:rsidR="00551A7B" w:rsidRPr="009E30D1" w:rsidRDefault="00551A7B" w:rsidP="00B85C0B">
      <w:pPr>
        <w:pStyle w:val="Ttulo3"/>
        <w:spacing w:before="0" w:after="120"/>
      </w:pPr>
      <w:bookmarkStart w:id="12" w:name="_Toc391883374"/>
      <w:r w:rsidRPr="009E30D1">
        <w:lastRenderedPageBreak/>
        <w:t>Árbol del problema</w:t>
      </w:r>
      <w:bookmarkEnd w:id="12"/>
    </w:p>
    <w:p w:rsidR="00614846" w:rsidRPr="009E30D1" w:rsidRDefault="00614846" w:rsidP="00B85C0B">
      <w:pPr>
        <w:keepNext/>
        <w:spacing w:after="120" w:line="240" w:lineRule="auto"/>
        <w:ind w:left="709" w:hanging="709"/>
        <w:jc w:val="center"/>
        <w:rPr>
          <w:rFonts w:ascii="Adobe Caslon Pro" w:hAnsi="Adobe Caslon Pro"/>
        </w:rPr>
      </w:pPr>
      <w:r w:rsidRPr="009E30D1">
        <w:rPr>
          <w:rFonts w:ascii="Adobe Caslon Pro" w:hAnsi="Adobe Caslon Pro" w:cs="Arial"/>
          <w:b/>
          <w:bCs/>
        </w:rPr>
        <w:t xml:space="preserve">Figura </w:t>
      </w:r>
      <w:r w:rsidRPr="009E30D1">
        <w:rPr>
          <w:rFonts w:ascii="Adobe Caslon Pro" w:hAnsi="Adobe Caslon Pro"/>
          <w:b/>
        </w:rPr>
        <w:fldChar w:fldCharType="begin"/>
      </w:r>
      <w:r w:rsidRPr="009E30D1">
        <w:rPr>
          <w:rFonts w:ascii="Adobe Caslon Pro" w:hAnsi="Adobe Caslon Pro"/>
          <w:b/>
        </w:rPr>
        <w:instrText xml:space="preserve"> SEQ "Figura" </w:instrText>
      </w:r>
      <w:r w:rsidRPr="009E30D1">
        <w:rPr>
          <w:rFonts w:ascii="Adobe Caslon Pro" w:hAnsi="Adobe Caslon Pro"/>
          <w:b/>
        </w:rPr>
        <w:fldChar w:fldCharType="separate"/>
      </w:r>
      <w:r w:rsidRPr="009E30D1">
        <w:rPr>
          <w:rFonts w:ascii="Adobe Caslon Pro" w:hAnsi="Adobe Caslon Pro"/>
          <w:b/>
          <w:noProof/>
        </w:rPr>
        <w:t>1</w:t>
      </w:r>
      <w:r w:rsidRPr="009E30D1">
        <w:rPr>
          <w:rFonts w:ascii="Adobe Caslon Pro" w:hAnsi="Adobe Caslon Pro"/>
          <w:b/>
        </w:rPr>
        <w:fldChar w:fldCharType="end"/>
      </w:r>
      <w:r w:rsidRPr="009E30D1">
        <w:rPr>
          <w:rFonts w:ascii="Adobe Caslon Pro" w:hAnsi="Adobe Caslon Pro" w:cs="Arial"/>
          <w:b/>
          <w:bCs/>
          <w:lang w:val="es-ES"/>
        </w:rPr>
        <w:t>. Árbol de problemas del PAIMEF</w:t>
      </w:r>
    </w:p>
    <w:p w:rsidR="00987377" w:rsidRPr="009E30D1" w:rsidRDefault="00384900" w:rsidP="00B85C0B">
      <w:pPr>
        <w:spacing w:after="120" w:line="240" w:lineRule="auto"/>
        <w:jc w:val="center"/>
        <w:rPr>
          <w:noProof/>
          <w:lang w:eastAsia="es-MX"/>
        </w:rPr>
      </w:pPr>
      <w:r w:rsidRPr="009E30D1">
        <w:rPr>
          <w:noProof/>
          <w:lang w:eastAsia="es-MX"/>
        </w:rPr>
        <w:drawing>
          <wp:inline distT="0" distB="0" distL="0" distR="0" wp14:anchorId="6614C35D" wp14:editId="4597C377">
            <wp:extent cx="6803308" cy="4968815"/>
            <wp:effectExtent l="0" t="0" r="0"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3843" cy="4969206"/>
                    </a:xfrm>
                    <a:prstGeom prst="rect">
                      <a:avLst/>
                    </a:prstGeom>
                    <a:noFill/>
                  </pic:spPr>
                </pic:pic>
              </a:graphicData>
            </a:graphic>
          </wp:inline>
        </w:drawing>
      </w:r>
    </w:p>
    <w:p w:rsidR="00614846" w:rsidRPr="009E30D1" w:rsidRDefault="00614846" w:rsidP="00B85C0B">
      <w:pPr>
        <w:spacing w:after="120" w:line="240" w:lineRule="auto"/>
        <w:jc w:val="center"/>
        <w:rPr>
          <w:rFonts w:ascii="Adobe Caslon Pro" w:hAnsi="Adobe Caslon Pro"/>
        </w:rPr>
        <w:sectPr w:rsidR="00614846" w:rsidRPr="009E30D1" w:rsidSect="00172563">
          <w:pgSz w:w="15840" w:h="12240" w:orient="landscape" w:code="1"/>
          <w:pgMar w:top="1134" w:right="1701" w:bottom="1134" w:left="1701" w:header="720" w:footer="720" w:gutter="0"/>
          <w:cols w:space="720"/>
          <w:docGrid w:linePitch="360" w:charSpace="-6145"/>
        </w:sectPr>
      </w:pPr>
      <w:r w:rsidRPr="009E30D1">
        <w:rPr>
          <w:rFonts w:ascii="Adobe Caslon Pro" w:hAnsi="Adobe Caslon Pro"/>
        </w:rPr>
        <w:t>Fuente:</w:t>
      </w:r>
      <w:r w:rsidR="007F4DC0" w:rsidRPr="009E30D1">
        <w:rPr>
          <w:rFonts w:ascii="Adobe Caslon Pro" w:hAnsi="Adobe Caslon Pro"/>
        </w:rPr>
        <w:t xml:space="preserve"> colaboración de la SPPE.</w:t>
      </w:r>
    </w:p>
    <w:p w:rsidR="003012EB" w:rsidRPr="009E30D1" w:rsidRDefault="003012EB" w:rsidP="00B85C0B">
      <w:pPr>
        <w:pStyle w:val="Ttulo3"/>
        <w:spacing w:before="0" w:after="120"/>
      </w:pPr>
      <w:bookmarkStart w:id="13" w:name="_Toc391883375"/>
      <w:r w:rsidRPr="009E30D1">
        <w:lastRenderedPageBreak/>
        <w:t>Análisis de las causas del problema</w:t>
      </w:r>
      <w:bookmarkEnd w:id="13"/>
      <w:r w:rsidRPr="009E30D1">
        <w:tab/>
      </w:r>
    </w:p>
    <w:p w:rsidR="003012EB" w:rsidRPr="009E30D1" w:rsidRDefault="003012EB" w:rsidP="00B85C0B">
      <w:pPr>
        <w:spacing w:after="120" w:line="240" w:lineRule="auto"/>
        <w:jc w:val="both"/>
        <w:rPr>
          <w:rFonts w:ascii="Adobe Caslon Pro" w:hAnsi="Adobe Caslon Pro" w:cs="Arial"/>
          <w:b/>
          <w:lang w:val="es-ES"/>
        </w:rPr>
      </w:pPr>
      <w:r w:rsidRPr="009E30D1">
        <w:rPr>
          <w:rFonts w:ascii="Adobe Caslon Pro" w:hAnsi="Adobe Caslon Pro" w:cs="Arial"/>
          <w:b/>
          <w:lang w:val="es-ES"/>
        </w:rPr>
        <w:t xml:space="preserve">Causa 1: Bajo nivel de empoderamiento </w:t>
      </w:r>
    </w:p>
    <w:p w:rsidR="003012EB" w:rsidRPr="009E30D1" w:rsidRDefault="003012EB"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 xml:space="preserve">La primera causa de los altos niveles de violencia contra las mujeres es el </w:t>
      </w:r>
      <w:r w:rsidRPr="009E30D1">
        <w:rPr>
          <w:rFonts w:ascii="Adobe Caslon Pro" w:hAnsi="Adobe Caslon Pro" w:cs="Arial"/>
          <w:b/>
          <w:lang w:val="es-ES_tradnl"/>
        </w:rPr>
        <w:t xml:space="preserve">bajo nivel de empoderamiento </w:t>
      </w:r>
      <w:r w:rsidRPr="009E30D1">
        <w:rPr>
          <w:rFonts w:ascii="Adobe Caslon Pro" w:hAnsi="Adobe Caslon Pro" w:cs="Arial"/>
          <w:lang w:val="es-ES_tradnl"/>
        </w:rPr>
        <w:t xml:space="preserve">de las mujeres más vulnerables y </w:t>
      </w:r>
      <w:r w:rsidR="001C1715" w:rsidRPr="009E30D1">
        <w:rPr>
          <w:rFonts w:ascii="Adobe Caslon Pro" w:hAnsi="Adobe Caslon Pro" w:cs="Arial"/>
          <w:lang w:val="es-ES_tradnl"/>
        </w:rPr>
        <w:t xml:space="preserve">que evidencia </w:t>
      </w:r>
      <w:r w:rsidRPr="009E30D1">
        <w:rPr>
          <w:rFonts w:ascii="Adobe Caslon Pro" w:hAnsi="Adobe Caslon Pro" w:cs="Arial"/>
          <w:lang w:val="es-ES_tradnl"/>
        </w:rPr>
        <w:t>la</w:t>
      </w:r>
      <w:r w:rsidR="001C1715" w:rsidRPr="009E30D1">
        <w:rPr>
          <w:rFonts w:ascii="Adobe Caslon Pro" w:hAnsi="Adobe Caslon Pro" w:cs="Arial"/>
          <w:lang w:val="es-ES_tradnl"/>
        </w:rPr>
        <w:t>s</w:t>
      </w:r>
      <w:r w:rsidRPr="009E30D1">
        <w:rPr>
          <w:rFonts w:ascii="Adobe Caslon Pro" w:hAnsi="Adobe Caslon Pro" w:cs="Arial"/>
          <w:lang w:val="es-ES_tradnl"/>
        </w:rPr>
        <w:t xml:space="preserve"> dife</w:t>
      </w:r>
      <w:r w:rsidR="00ED5711" w:rsidRPr="009E30D1">
        <w:rPr>
          <w:rFonts w:ascii="Adobe Caslon Pro" w:hAnsi="Adobe Caslon Pro" w:cs="Arial"/>
          <w:lang w:val="es-ES_tradnl"/>
        </w:rPr>
        <w:t>rencia</w:t>
      </w:r>
      <w:r w:rsidR="001C1715" w:rsidRPr="009E30D1">
        <w:rPr>
          <w:rFonts w:ascii="Adobe Caslon Pro" w:hAnsi="Adobe Caslon Pro" w:cs="Arial"/>
          <w:lang w:val="es-ES_tradnl"/>
        </w:rPr>
        <w:t>s</w:t>
      </w:r>
      <w:r w:rsidR="00ED5711" w:rsidRPr="009E30D1">
        <w:rPr>
          <w:rFonts w:ascii="Adobe Caslon Pro" w:hAnsi="Adobe Caslon Pro" w:cs="Arial"/>
          <w:lang w:val="es-ES_tradnl"/>
        </w:rPr>
        <w:t xml:space="preserve"> que existe</w:t>
      </w:r>
      <w:r w:rsidR="001C1715" w:rsidRPr="009E30D1">
        <w:rPr>
          <w:rFonts w:ascii="Adobe Caslon Pro" w:hAnsi="Adobe Caslon Pro" w:cs="Arial"/>
          <w:lang w:val="es-ES_tradnl"/>
        </w:rPr>
        <w:t>n</w:t>
      </w:r>
      <w:r w:rsidR="00ED5711" w:rsidRPr="009E30D1">
        <w:rPr>
          <w:rFonts w:ascii="Adobe Caslon Pro" w:hAnsi="Adobe Caslon Pro" w:cs="Arial"/>
          <w:lang w:val="es-ES_tradnl"/>
        </w:rPr>
        <w:t xml:space="preserve"> entre hombres </w:t>
      </w:r>
      <w:r w:rsidRPr="009E30D1">
        <w:rPr>
          <w:rFonts w:ascii="Adobe Caslon Pro" w:hAnsi="Adobe Caslon Pro" w:cs="Arial"/>
          <w:lang w:val="es-ES_tradnl"/>
        </w:rPr>
        <w:t>y mujeres en la vida económica, política y familiar</w:t>
      </w:r>
      <w:r w:rsidR="00476B16" w:rsidRPr="009E30D1">
        <w:rPr>
          <w:rFonts w:ascii="Adobe Caslon Pro" w:hAnsi="Adobe Caslon Pro" w:cs="Arial"/>
          <w:lang w:val="es-ES_tradnl"/>
        </w:rPr>
        <w:t>, lo que en conjunto les impide</w:t>
      </w:r>
      <w:r w:rsidRPr="009E30D1">
        <w:rPr>
          <w:rFonts w:ascii="Adobe Caslon Pro" w:hAnsi="Adobe Caslon Pro" w:cs="Arial"/>
          <w:lang w:val="es-ES_tradnl"/>
        </w:rPr>
        <w:t xml:space="preserve"> tomar un rol activo en la toma de decisiones (PNUD, 2010). En sentido opuesto, hablar de empoderamiento de las mujeres es </w:t>
      </w:r>
      <w:r w:rsidR="00476B16" w:rsidRPr="009E30D1">
        <w:rPr>
          <w:rFonts w:ascii="Adobe Caslon Pro" w:hAnsi="Adobe Caslon Pro" w:cs="Arial"/>
          <w:lang w:val="es-ES_tradnl"/>
        </w:rPr>
        <w:t xml:space="preserve">habilitarlas para ejercer el </w:t>
      </w:r>
      <w:r w:rsidRPr="009E30D1">
        <w:rPr>
          <w:rFonts w:ascii="Adobe Caslon Pro" w:hAnsi="Adobe Caslon Pro" w:cs="Arial"/>
          <w:lang w:val="es-ES_tradnl"/>
        </w:rPr>
        <w:t>poder a través del autoconocimiento</w:t>
      </w:r>
      <w:r w:rsidR="00476B16" w:rsidRPr="009E30D1">
        <w:rPr>
          <w:rFonts w:ascii="Adobe Caslon Pro" w:hAnsi="Adobe Caslon Pro" w:cs="Arial"/>
          <w:lang w:val="es-ES_tradnl"/>
        </w:rPr>
        <w:t xml:space="preserve">, del reconocimiento de sí mismas </w:t>
      </w:r>
      <w:r w:rsidRPr="009E30D1">
        <w:rPr>
          <w:rFonts w:ascii="Adobe Caslon Pro" w:hAnsi="Adobe Caslon Pro" w:cs="Arial"/>
          <w:lang w:val="es-ES_tradnl"/>
        </w:rPr>
        <w:t>como agente</w:t>
      </w:r>
      <w:r w:rsidR="00476B16" w:rsidRPr="009E30D1">
        <w:rPr>
          <w:rFonts w:ascii="Adobe Caslon Pro" w:hAnsi="Adobe Caslon Pro" w:cs="Arial"/>
          <w:lang w:val="es-ES_tradnl"/>
        </w:rPr>
        <w:t>s</w:t>
      </w:r>
      <w:r w:rsidRPr="009E30D1">
        <w:rPr>
          <w:rFonts w:ascii="Adobe Caslon Pro" w:hAnsi="Adobe Caslon Pro" w:cs="Arial"/>
          <w:lang w:val="es-ES_tradnl"/>
        </w:rPr>
        <w:t xml:space="preserve"> de cambio, lo que significa </w:t>
      </w:r>
      <w:r w:rsidR="00476B16" w:rsidRPr="009E30D1">
        <w:rPr>
          <w:rFonts w:ascii="Adobe Caslon Pro" w:hAnsi="Adobe Caslon Pro" w:cs="Arial"/>
          <w:lang w:val="es-ES_tradnl"/>
        </w:rPr>
        <w:t xml:space="preserve">el desarrollo de la conciencia para </w:t>
      </w:r>
      <w:r w:rsidRPr="009E30D1">
        <w:rPr>
          <w:rFonts w:ascii="Adobe Caslon Pro" w:hAnsi="Adobe Caslon Pro" w:cs="Arial"/>
          <w:lang w:val="es-ES_tradnl"/>
        </w:rPr>
        <w:t>tomar sus propias decisiones y con ello generar su desarrollo personal. Es un proceso gradual que se da en cinco niveles básicos, que están entrelazados. Estos niveles son: el bienestar, el acceso, la concientización, la participación y el control</w:t>
      </w:r>
      <w:r w:rsidRPr="009E30D1">
        <w:rPr>
          <w:rStyle w:val="Refdenotaalpie"/>
          <w:rFonts w:ascii="Adobe Caslon Pro" w:hAnsi="Adobe Caslon Pro"/>
          <w:lang w:val="es-ES_tradnl"/>
        </w:rPr>
        <w:footnoteReference w:id="13"/>
      </w:r>
      <w:r w:rsidRPr="009E30D1">
        <w:rPr>
          <w:rFonts w:ascii="Adobe Caslon Pro" w:hAnsi="Adobe Caslon Pro" w:cs="Arial"/>
          <w:lang w:val="es-ES_tradnl"/>
        </w:rPr>
        <w:t xml:space="preserve"> (UNIFEM, 2004). En relación a las causas del bajo empoderamiento destacan: 1) la dependencia económica y 2) los factores cognitivos y emocionales</w:t>
      </w:r>
      <w:r w:rsidR="000D4F08" w:rsidRPr="009E30D1">
        <w:rPr>
          <w:rFonts w:ascii="Adobe Caslon Pro" w:hAnsi="Adobe Caslon Pro" w:cs="Arial"/>
        </w:rPr>
        <w:t xml:space="preserve"> contrarios a la igualdad de género</w:t>
      </w:r>
      <w:r w:rsidRPr="009E30D1">
        <w:rPr>
          <w:rFonts w:ascii="Adobe Caslon Pro" w:hAnsi="Adobe Caslon Pro" w:cs="Arial"/>
          <w:lang w:val="es-ES_tradnl"/>
        </w:rPr>
        <w:t>.</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En primera instancia, el factor económico o la </w:t>
      </w:r>
      <w:r w:rsidRPr="009E30D1">
        <w:rPr>
          <w:rFonts w:ascii="Adobe Caslon Pro" w:hAnsi="Adobe Caslon Pro" w:cs="Arial"/>
          <w:b/>
          <w:lang w:val="es-ES"/>
        </w:rPr>
        <w:t xml:space="preserve">dependencia económica, </w:t>
      </w:r>
      <w:r w:rsidRPr="009E30D1">
        <w:rPr>
          <w:rFonts w:ascii="Adobe Caslon Pro" w:hAnsi="Adobe Caslon Pro" w:cs="Arial"/>
          <w:lang w:val="es-ES"/>
        </w:rPr>
        <w:t>resulta determinante en la vivencia de las mujeres, particularmente sobre las decisiones que toman ante situaciones de violencia. Para poder dimensionar la magnitud de la dependencia económica en la población mexicana, es necesario observar las marcadas diferencias entre el trabajo remunerado y no remunerado entre los géneros. Las mujeres trabajan más horas a la semana que los hombres (60 vs 50 horas), asimismo, la tasa de participación</w:t>
      </w:r>
      <w:r w:rsidR="00B30D79" w:rsidRPr="009E30D1">
        <w:rPr>
          <w:rFonts w:ascii="Adobe Caslon Pro" w:hAnsi="Adobe Caslon Pro" w:cs="Arial"/>
          <w:lang w:val="es-ES"/>
        </w:rPr>
        <w:t xml:space="preserve"> </w:t>
      </w:r>
      <w:r w:rsidR="00476B16" w:rsidRPr="009E30D1">
        <w:rPr>
          <w:rFonts w:ascii="Adobe Caslon Pro" w:hAnsi="Adobe Caslon Pro" w:cs="Arial"/>
          <w:lang w:val="es-ES"/>
        </w:rPr>
        <w:t>laboral</w:t>
      </w:r>
      <w:r w:rsidRPr="009E30D1">
        <w:rPr>
          <w:rFonts w:ascii="Adobe Caslon Pro" w:hAnsi="Adobe Caslon Pro" w:cs="Arial"/>
          <w:lang w:val="es-ES"/>
        </w:rPr>
        <w:t xml:space="preserve"> de las mujeres es de 42.2%, mientras que la de los hombres es de 76.4% ya que ellas destinan casi 60 horas</w:t>
      </w:r>
      <w:r w:rsidR="00DE29B6" w:rsidRPr="009E30D1">
        <w:rPr>
          <w:rFonts w:ascii="Adobe Caslon Pro" w:hAnsi="Adobe Caslon Pro" w:cs="Arial"/>
          <w:lang w:val="es-ES"/>
        </w:rPr>
        <w:t xml:space="preserve"> al trabajo</w:t>
      </w:r>
      <w:r w:rsidRPr="009E30D1">
        <w:rPr>
          <w:rFonts w:ascii="Adobe Caslon Pro" w:hAnsi="Adobe Caslon Pro" w:cs="Arial"/>
          <w:lang w:val="es-ES"/>
        </w:rPr>
        <w:t>, mientras que ellos, poco más de 50 horas (ENOE; 2014). Esto se debe a que las mujeres</w:t>
      </w:r>
      <w:r w:rsidR="00A55AC4" w:rsidRPr="009E30D1">
        <w:rPr>
          <w:rFonts w:ascii="Adobe Caslon Pro" w:hAnsi="Adobe Caslon Pro" w:cs="Arial"/>
          <w:lang w:val="es-ES"/>
        </w:rPr>
        <w:t xml:space="preserve"> en términos generales</w:t>
      </w:r>
      <w:r w:rsidRPr="009E30D1">
        <w:rPr>
          <w:rFonts w:ascii="Adobe Caslon Pro" w:hAnsi="Adobe Caslon Pro" w:cs="Arial"/>
          <w:lang w:val="es-ES"/>
        </w:rPr>
        <w:t xml:space="preserve"> desempeñan trabajos no remunerados en sus hogares, como son las tareas domésticas y actividades de cuidado (ELCOS, 2012). Según los resultados de la “Cuenta Satélite del Trabajo No Remunerado de los Hogares de México”, los trabajos anteriormente mencionados tienen un valor económico y social estimado en 21.6% del PIB, pero quienes lo realizan no reciben remuneración alguna. </w:t>
      </w:r>
    </w:p>
    <w:p w:rsidR="00B85C0B" w:rsidRPr="009E30D1" w:rsidRDefault="00B30D79" w:rsidP="00B85C0B">
      <w:pPr>
        <w:spacing w:after="120" w:line="240" w:lineRule="auto"/>
        <w:jc w:val="both"/>
        <w:rPr>
          <w:rFonts w:ascii="Adobe Caslon Pro" w:hAnsi="Adobe Caslon Pro" w:cs="Arial"/>
        </w:rPr>
      </w:pPr>
      <w:r w:rsidRPr="009E30D1">
        <w:rPr>
          <w:rFonts w:ascii="Adobe Caslon Pro" w:hAnsi="Adobe Caslon Pro" w:cs="Arial"/>
          <w:lang w:val="es-ES"/>
        </w:rPr>
        <w:t>E</w:t>
      </w:r>
      <w:r w:rsidR="00476B16" w:rsidRPr="009E30D1">
        <w:rPr>
          <w:rFonts w:ascii="Adobe Caslon Pro" w:hAnsi="Adobe Caslon Pro" w:cs="Arial"/>
          <w:lang w:val="es-ES"/>
        </w:rPr>
        <w:t>sta situación se profundiza por las cuestiones culturales que replican generacionalmente la idea de que a las mujeres les corresponde de manera “natural” las labores domésticas</w:t>
      </w:r>
      <w:r w:rsidR="00A55AC4" w:rsidRPr="009E30D1">
        <w:rPr>
          <w:rFonts w:ascii="Adobe Caslon Pro" w:hAnsi="Adobe Caslon Pro" w:cs="Arial"/>
          <w:lang w:val="es-ES"/>
        </w:rPr>
        <w:t>, a pesar de que tengan un trabajo remunerado a la par de los varones. Como muestra de ello los datos evidencian que</w:t>
      </w:r>
      <w:r w:rsidR="003012EB" w:rsidRPr="009E30D1">
        <w:rPr>
          <w:rFonts w:ascii="Adobe Caslon Pro" w:hAnsi="Adobe Caslon Pro" w:cs="Arial"/>
          <w:lang w:val="es-ES"/>
        </w:rPr>
        <w:t xml:space="preserve"> la carga</w:t>
      </w:r>
      <w:r w:rsidR="00A55AC4" w:rsidRPr="009E30D1">
        <w:rPr>
          <w:rFonts w:ascii="Adobe Caslon Pro" w:hAnsi="Adobe Caslon Pro" w:cs="Arial"/>
          <w:lang w:val="es-ES"/>
        </w:rPr>
        <w:t xml:space="preserve"> de trabajo en el hogar</w:t>
      </w:r>
      <w:r w:rsidR="003012EB" w:rsidRPr="009E30D1">
        <w:rPr>
          <w:rFonts w:ascii="Adobe Caslon Pro" w:hAnsi="Adobe Caslon Pro" w:cs="Arial"/>
          <w:lang w:val="es-ES"/>
        </w:rPr>
        <w:t xml:space="preserve"> no se distribuye de forma igualitaria entre mujeres y hombres </w:t>
      </w:r>
      <w:r w:rsidR="00A55AC4" w:rsidRPr="009E30D1">
        <w:rPr>
          <w:rFonts w:ascii="Adobe Caslon Pro" w:hAnsi="Adobe Caslon Pro" w:cs="Arial"/>
          <w:lang w:val="es-ES"/>
        </w:rPr>
        <w:t xml:space="preserve">(ver cuadro 4) </w:t>
      </w:r>
      <w:r w:rsidR="003012EB" w:rsidRPr="009E30D1">
        <w:rPr>
          <w:rFonts w:ascii="Adobe Caslon Pro" w:hAnsi="Adobe Caslon Pro" w:cs="Arial"/>
          <w:lang w:val="es-ES"/>
        </w:rPr>
        <w:t xml:space="preserve">ya que los quehaceres domésticos son realizados en más de un 80% por las mujeres y existe una mayor participación de las mujeres en los trámites y compras para el hogar comparado con sus </w:t>
      </w:r>
      <w:r w:rsidR="003012EB" w:rsidRPr="009E30D1">
        <w:rPr>
          <w:rFonts w:ascii="Adobe Caslon Pro" w:hAnsi="Adobe Caslon Pro" w:cs="Arial"/>
          <w:lang w:val="es-ES"/>
        </w:rPr>
        <w:lastRenderedPageBreak/>
        <w:t>pares masculinos (ENDIREH, 2011)</w:t>
      </w:r>
      <w:r w:rsidR="003012EB" w:rsidRPr="009E30D1">
        <w:rPr>
          <w:rFonts w:ascii="Adobe Caslon Pro" w:hAnsi="Adobe Caslon Pro" w:cs="Arial"/>
        </w:rPr>
        <w:t>.</w:t>
      </w:r>
      <w:r w:rsidR="00A55AC4" w:rsidRPr="009E30D1">
        <w:rPr>
          <w:rFonts w:ascii="Adobe Caslon Pro" w:hAnsi="Adobe Caslon Pro" w:cs="Arial"/>
        </w:rPr>
        <w:t xml:space="preserve"> La suma de estos factores desincentivan cuando no obstaculizan la participación de las mujeres en la vida económica y en el mercado laboral, con lo cual las alternativas para alcanzar la autonomía económica se ve reducida o condicionada a diversos factores externos. </w:t>
      </w:r>
    </w:p>
    <w:p w:rsidR="003012EB" w:rsidRPr="009E30D1" w:rsidRDefault="0028589A" w:rsidP="0014504B">
      <w:pPr>
        <w:rPr>
          <w:rFonts w:ascii="Adobe Caslon Pro" w:hAnsi="Adobe Caslon Pro" w:cs="Arial"/>
          <w:b/>
          <w:lang w:val="es-ES_tradnl"/>
        </w:rPr>
      </w:pPr>
      <w:r w:rsidRPr="009E30D1">
        <w:rPr>
          <w:rFonts w:ascii="Adobe Caslon Pro" w:hAnsi="Adobe Caslon Pro" w:cs="Arial"/>
          <w:b/>
          <w:lang w:val="es-ES_tradnl"/>
        </w:rPr>
        <w:t>Cuadro 4</w:t>
      </w:r>
      <w:r w:rsidR="003012EB" w:rsidRPr="009E30D1">
        <w:rPr>
          <w:rFonts w:ascii="Adobe Caslon Pro" w:hAnsi="Adobe Caslon Pro" w:cs="Arial"/>
          <w:b/>
          <w:lang w:val="es-ES_tradnl"/>
        </w:rPr>
        <w:t>. División del trabajo del hogar de mujeres casadas y unidas en porcentaje de participación</w:t>
      </w:r>
    </w:p>
    <w:tbl>
      <w:tblPr>
        <w:tblW w:w="9196" w:type="dxa"/>
        <w:jc w:val="center"/>
        <w:tblInd w:w="-435" w:type="dxa"/>
        <w:tblCellMar>
          <w:left w:w="70" w:type="dxa"/>
          <w:right w:w="70" w:type="dxa"/>
        </w:tblCellMar>
        <w:tblLook w:val="04A0" w:firstRow="1" w:lastRow="0" w:firstColumn="1" w:lastColumn="0" w:noHBand="0" w:noVBand="1"/>
      </w:tblPr>
      <w:tblGrid>
        <w:gridCol w:w="4520"/>
        <w:gridCol w:w="1163"/>
        <w:gridCol w:w="1332"/>
        <w:gridCol w:w="969"/>
        <w:gridCol w:w="1212"/>
      </w:tblGrid>
      <w:tr w:rsidR="003012EB" w:rsidRPr="009E30D1" w:rsidTr="00FC430B">
        <w:trPr>
          <w:trHeight w:val="290"/>
          <w:jc w:val="center"/>
        </w:trPr>
        <w:tc>
          <w:tcPr>
            <w:tcW w:w="452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 </w:t>
            </w:r>
          </w:p>
        </w:tc>
        <w:tc>
          <w:tcPr>
            <w:tcW w:w="4676" w:type="dxa"/>
            <w:gridSpan w:val="4"/>
            <w:tcBorders>
              <w:top w:val="single" w:sz="4" w:space="0" w:color="auto"/>
              <w:left w:val="nil"/>
              <w:bottom w:val="single" w:sz="4" w:space="0" w:color="auto"/>
              <w:right w:val="single" w:sz="4" w:space="0" w:color="000000"/>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rPr>
            </w:pPr>
            <w:r w:rsidRPr="009E30D1">
              <w:rPr>
                <w:rFonts w:ascii="Adobe Caslon Pro" w:hAnsi="Adobe Caslon Pro" w:cs="Arial"/>
                <w:b/>
                <w:color w:val="000000"/>
                <w:sz w:val="16"/>
                <w:szCs w:val="16"/>
              </w:rPr>
              <w:t>Porcentaje</w:t>
            </w:r>
          </w:p>
        </w:tc>
      </w:tr>
      <w:tr w:rsidR="003012EB" w:rsidRPr="009E30D1" w:rsidTr="00FC430B">
        <w:trPr>
          <w:trHeight w:val="739"/>
          <w:jc w:val="center"/>
        </w:trPr>
        <w:tc>
          <w:tcPr>
            <w:tcW w:w="4520" w:type="dxa"/>
            <w:vMerge/>
            <w:tcBorders>
              <w:top w:val="single" w:sz="4" w:space="0" w:color="auto"/>
              <w:left w:val="single" w:sz="4" w:space="0" w:color="auto"/>
              <w:bottom w:val="single" w:sz="4" w:space="0" w:color="000000"/>
              <w:right w:val="single" w:sz="4" w:space="0" w:color="auto"/>
            </w:tcBorders>
            <w:vAlign w:val="center"/>
            <w:hideMark/>
          </w:tcPr>
          <w:p w:rsidR="003012EB" w:rsidRPr="009E30D1" w:rsidRDefault="003012EB" w:rsidP="00B85C0B">
            <w:pPr>
              <w:spacing w:after="120" w:line="240" w:lineRule="auto"/>
              <w:rPr>
                <w:rFonts w:ascii="Adobe Caslon Pro" w:hAnsi="Adobe Caslon Pro" w:cs="Arial"/>
                <w:color w:val="000000"/>
                <w:sz w:val="16"/>
                <w:szCs w:val="16"/>
              </w:rPr>
            </w:pPr>
          </w:p>
        </w:tc>
        <w:tc>
          <w:tcPr>
            <w:tcW w:w="1163" w:type="dxa"/>
            <w:tcBorders>
              <w:top w:val="nil"/>
              <w:left w:val="nil"/>
              <w:bottom w:val="single" w:sz="4" w:space="0" w:color="auto"/>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rPr>
            </w:pPr>
            <w:r w:rsidRPr="009E30D1">
              <w:rPr>
                <w:rFonts w:ascii="Adobe Caslon Pro" w:hAnsi="Adobe Caslon Pro" w:cs="Arial"/>
                <w:b/>
                <w:color w:val="000000"/>
                <w:sz w:val="16"/>
                <w:szCs w:val="16"/>
                <w:lang w:val="es-ES_tradnl"/>
              </w:rPr>
              <w:t>Entrevistada</w:t>
            </w:r>
          </w:p>
        </w:tc>
        <w:tc>
          <w:tcPr>
            <w:tcW w:w="1332" w:type="dxa"/>
            <w:tcBorders>
              <w:top w:val="nil"/>
              <w:left w:val="nil"/>
              <w:bottom w:val="single" w:sz="4" w:space="0" w:color="auto"/>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rPr>
            </w:pPr>
            <w:r w:rsidRPr="009E30D1">
              <w:rPr>
                <w:rFonts w:ascii="Adobe Caslon Pro" w:hAnsi="Adobe Caslon Pro" w:cs="Arial"/>
                <w:b/>
                <w:color w:val="000000"/>
                <w:sz w:val="16"/>
                <w:szCs w:val="16"/>
                <w:lang w:val="es-ES_tradnl"/>
              </w:rPr>
              <w:t>Esposo o la pareja</w:t>
            </w:r>
          </w:p>
        </w:tc>
        <w:tc>
          <w:tcPr>
            <w:tcW w:w="969" w:type="dxa"/>
            <w:tcBorders>
              <w:top w:val="nil"/>
              <w:left w:val="nil"/>
              <w:bottom w:val="single" w:sz="4" w:space="0" w:color="auto"/>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rPr>
            </w:pPr>
            <w:r w:rsidRPr="009E30D1">
              <w:rPr>
                <w:rFonts w:ascii="Adobe Caslon Pro" w:hAnsi="Adobe Caslon Pro" w:cs="Arial"/>
                <w:b/>
                <w:color w:val="000000"/>
                <w:sz w:val="16"/>
                <w:szCs w:val="16"/>
                <w:lang w:val="es-ES_tradnl"/>
              </w:rPr>
              <w:t>Ambos</w:t>
            </w:r>
          </w:p>
        </w:tc>
        <w:tc>
          <w:tcPr>
            <w:tcW w:w="1211" w:type="dxa"/>
            <w:tcBorders>
              <w:top w:val="nil"/>
              <w:left w:val="nil"/>
              <w:bottom w:val="single" w:sz="4" w:space="0" w:color="auto"/>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rPr>
            </w:pPr>
            <w:r w:rsidRPr="009E30D1">
              <w:rPr>
                <w:rFonts w:ascii="Adobe Caslon Pro" w:hAnsi="Adobe Caslon Pro" w:cs="Arial"/>
                <w:b/>
                <w:color w:val="000000"/>
                <w:sz w:val="16"/>
                <w:szCs w:val="16"/>
                <w:lang w:val="es-ES_tradnl"/>
              </w:rPr>
              <w:t>Otras personas / no aplica</w:t>
            </w:r>
          </w:p>
        </w:tc>
      </w:tr>
      <w:tr w:rsidR="003012EB" w:rsidRPr="009E30D1" w:rsidTr="00FC430B">
        <w:trPr>
          <w:trHeight w:val="493"/>
          <w:jc w:val="center"/>
        </w:trPr>
        <w:tc>
          <w:tcPr>
            <w:tcW w:w="4520"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jc w:val="both"/>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¿Quiénes regularmente cuidan o apoyan a las niñas y niños que viven aquí?</w:t>
            </w:r>
          </w:p>
        </w:tc>
        <w:tc>
          <w:tcPr>
            <w:tcW w:w="1163"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45.1</w:t>
            </w:r>
          </w:p>
        </w:tc>
        <w:tc>
          <w:tcPr>
            <w:tcW w:w="1332"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1.0</w:t>
            </w:r>
          </w:p>
        </w:tc>
        <w:tc>
          <w:tcPr>
            <w:tcW w:w="969"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12.8</w:t>
            </w:r>
          </w:p>
        </w:tc>
        <w:tc>
          <w:tcPr>
            <w:tcW w:w="1211"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41.2</w:t>
            </w:r>
          </w:p>
        </w:tc>
      </w:tr>
      <w:tr w:rsidR="003012EB" w:rsidRPr="009E30D1" w:rsidTr="00FC430B">
        <w:trPr>
          <w:trHeight w:val="493"/>
          <w:jc w:val="center"/>
        </w:trPr>
        <w:tc>
          <w:tcPr>
            <w:tcW w:w="4520"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jc w:val="both"/>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¿Quiénes regularmente hacen los quehaceres domésticos?</w:t>
            </w:r>
          </w:p>
        </w:tc>
        <w:tc>
          <w:tcPr>
            <w:tcW w:w="1163"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82.3</w:t>
            </w:r>
          </w:p>
        </w:tc>
        <w:tc>
          <w:tcPr>
            <w:tcW w:w="1332"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0.7</w:t>
            </w:r>
          </w:p>
        </w:tc>
        <w:tc>
          <w:tcPr>
            <w:tcW w:w="969"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9.9</w:t>
            </w:r>
          </w:p>
        </w:tc>
        <w:tc>
          <w:tcPr>
            <w:tcW w:w="1211"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7.0</w:t>
            </w:r>
          </w:p>
        </w:tc>
      </w:tr>
      <w:tr w:rsidR="003012EB" w:rsidRPr="009E30D1" w:rsidTr="00FC430B">
        <w:trPr>
          <w:trHeight w:val="739"/>
          <w:jc w:val="center"/>
        </w:trPr>
        <w:tc>
          <w:tcPr>
            <w:tcW w:w="4520" w:type="dxa"/>
            <w:tcBorders>
              <w:top w:val="nil"/>
              <w:left w:val="single" w:sz="4" w:space="0" w:color="auto"/>
              <w:bottom w:val="single" w:sz="4" w:space="0" w:color="auto"/>
              <w:right w:val="nil"/>
            </w:tcBorders>
            <w:shd w:val="clear" w:color="auto" w:fill="auto"/>
            <w:vAlign w:val="center"/>
            <w:hideMark/>
          </w:tcPr>
          <w:p w:rsidR="003012EB" w:rsidRPr="009E30D1" w:rsidRDefault="003012EB" w:rsidP="00B85C0B">
            <w:pPr>
              <w:spacing w:after="120" w:line="240" w:lineRule="auto"/>
              <w:jc w:val="both"/>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¿Quiénes regularmente hacen trámites y compras para el hogar (pagos de luz, teléfono, ir al banco o al mercado, etc.)?</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52.1</w:t>
            </w:r>
          </w:p>
        </w:tc>
        <w:tc>
          <w:tcPr>
            <w:tcW w:w="1332" w:type="dxa"/>
            <w:tcBorders>
              <w:top w:val="nil"/>
              <w:left w:val="nil"/>
              <w:bottom w:val="single" w:sz="4" w:space="0" w:color="auto"/>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14.6</w:t>
            </w:r>
          </w:p>
        </w:tc>
        <w:tc>
          <w:tcPr>
            <w:tcW w:w="969" w:type="dxa"/>
            <w:tcBorders>
              <w:top w:val="nil"/>
              <w:left w:val="nil"/>
              <w:bottom w:val="single" w:sz="4" w:space="0" w:color="auto"/>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26.7</w:t>
            </w:r>
          </w:p>
        </w:tc>
        <w:tc>
          <w:tcPr>
            <w:tcW w:w="1211" w:type="dxa"/>
            <w:tcBorders>
              <w:top w:val="nil"/>
              <w:left w:val="nil"/>
              <w:bottom w:val="single" w:sz="4" w:space="0" w:color="auto"/>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6.5</w:t>
            </w:r>
          </w:p>
        </w:tc>
      </w:tr>
    </w:tbl>
    <w:p w:rsidR="003012EB" w:rsidRPr="009E30D1" w:rsidRDefault="003012EB" w:rsidP="00B85C0B">
      <w:pPr>
        <w:spacing w:after="120" w:line="240" w:lineRule="auto"/>
        <w:jc w:val="center"/>
        <w:rPr>
          <w:rFonts w:ascii="Adobe Caslon Pro" w:hAnsi="Adobe Caslon Pro" w:cs="Arial"/>
          <w:bCs/>
          <w:color w:val="000000"/>
          <w:sz w:val="18"/>
          <w:szCs w:val="18"/>
          <w:lang w:val="es-ES_tradnl"/>
        </w:rPr>
      </w:pPr>
      <w:r w:rsidRPr="009E30D1">
        <w:rPr>
          <w:rFonts w:ascii="Adobe Caslon Pro" w:hAnsi="Adobe Caslon Pro" w:cs="Arial"/>
          <w:i/>
          <w:color w:val="000000"/>
          <w:sz w:val="18"/>
          <w:szCs w:val="18"/>
          <w:lang w:val="es-ES"/>
        </w:rPr>
        <w:t>Fuente: Elaboración propia con datos de la ENDIREH 2011, INEGI.</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En segunda instancia, existen </w:t>
      </w:r>
      <w:r w:rsidRPr="009E30D1">
        <w:rPr>
          <w:rFonts w:ascii="Adobe Caslon Pro" w:hAnsi="Adobe Caslon Pro" w:cs="Arial"/>
          <w:b/>
          <w:lang w:val="es-ES"/>
        </w:rPr>
        <w:t xml:space="preserve">factores cognitivos y emocionales </w:t>
      </w:r>
      <w:r w:rsidR="000D4F08" w:rsidRPr="009E30D1">
        <w:rPr>
          <w:rFonts w:ascii="Adobe Caslon Pro" w:hAnsi="Adobe Caslon Pro" w:cs="Arial"/>
          <w:b/>
        </w:rPr>
        <w:t>contrarios a la igualdad de género</w:t>
      </w:r>
      <w:r w:rsidR="000D4F08" w:rsidRPr="009E30D1">
        <w:rPr>
          <w:rFonts w:ascii="Adobe Caslon Pro" w:hAnsi="Adobe Caslon Pro" w:cs="Arial"/>
          <w:lang w:val="es-ES"/>
        </w:rPr>
        <w:t xml:space="preserve"> </w:t>
      </w:r>
      <w:r w:rsidRPr="009E30D1">
        <w:rPr>
          <w:rFonts w:ascii="Adobe Caslon Pro" w:hAnsi="Adobe Caslon Pro" w:cs="Arial"/>
          <w:lang w:val="es-ES"/>
        </w:rPr>
        <w:t xml:space="preserve">por los cuales algunas mujeres no se encuentran empoderadas y por el contrario, </w:t>
      </w:r>
      <w:r w:rsidR="00B30D79" w:rsidRPr="009E30D1">
        <w:rPr>
          <w:rFonts w:ascii="Adobe Caslon Pro" w:hAnsi="Adobe Caslon Pro" w:cs="Arial"/>
          <w:lang w:val="es-ES"/>
        </w:rPr>
        <w:t xml:space="preserve">desarrollan tolerancia a </w:t>
      </w:r>
      <w:r w:rsidRPr="009E30D1">
        <w:rPr>
          <w:rFonts w:ascii="Adobe Caslon Pro" w:hAnsi="Adobe Caslon Pro" w:cs="Arial"/>
          <w:lang w:val="es-ES"/>
        </w:rPr>
        <w:t xml:space="preserve">la violencia. Dentro de estos factores destaca la concepción </w:t>
      </w:r>
      <w:r w:rsidR="00B30D79" w:rsidRPr="009E30D1">
        <w:rPr>
          <w:rFonts w:ascii="Adobe Caslon Pro" w:hAnsi="Adobe Caslon Pro" w:cs="Arial"/>
          <w:lang w:val="es-ES"/>
        </w:rPr>
        <w:t xml:space="preserve">social </w:t>
      </w:r>
      <w:r w:rsidRPr="009E30D1">
        <w:rPr>
          <w:rFonts w:ascii="Adobe Caslon Pro" w:hAnsi="Adobe Caslon Pro" w:cs="Arial"/>
          <w:lang w:val="es-ES"/>
        </w:rPr>
        <w:t>de la familia como valor absoluto</w:t>
      </w:r>
      <w:r w:rsidR="00B30D79" w:rsidRPr="009E30D1">
        <w:rPr>
          <w:rFonts w:ascii="Adobe Caslon Pro" w:hAnsi="Adobe Caslon Pro" w:cs="Arial"/>
          <w:lang w:val="es-ES"/>
        </w:rPr>
        <w:t xml:space="preserve"> para la realización plena de las mujeres</w:t>
      </w:r>
      <w:r w:rsidR="000C53E5" w:rsidRPr="009E30D1">
        <w:rPr>
          <w:rFonts w:ascii="Adobe Caslon Pro" w:hAnsi="Adobe Caslon Pro" w:cs="Arial"/>
          <w:lang w:val="es-ES"/>
        </w:rPr>
        <w:t xml:space="preserve"> (rol reproductivo)</w:t>
      </w:r>
      <w:r w:rsidRPr="009E30D1">
        <w:rPr>
          <w:rFonts w:ascii="Adobe Caslon Pro" w:hAnsi="Adobe Caslon Pro" w:cs="Arial"/>
          <w:lang w:val="es-ES"/>
        </w:rPr>
        <w:t xml:space="preserve">, la idea de que las hijas y los hijos necesitan crecer </w:t>
      </w:r>
      <w:r w:rsidR="00B30D79" w:rsidRPr="009E30D1">
        <w:rPr>
          <w:rFonts w:ascii="Adobe Caslon Pro" w:hAnsi="Adobe Caslon Pro" w:cs="Arial"/>
          <w:lang w:val="es-ES"/>
        </w:rPr>
        <w:t xml:space="preserve">en hogares </w:t>
      </w:r>
      <w:r w:rsidRPr="009E30D1">
        <w:rPr>
          <w:rFonts w:ascii="Adobe Caslon Pro" w:hAnsi="Adobe Caslon Pro" w:cs="Arial"/>
          <w:lang w:val="es-ES"/>
        </w:rPr>
        <w:t>con padre</w:t>
      </w:r>
      <w:r w:rsidR="00B30D79" w:rsidRPr="009E30D1">
        <w:rPr>
          <w:rFonts w:ascii="Adobe Caslon Pro" w:hAnsi="Adobe Caslon Pro" w:cs="Arial"/>
          <w:lang w:val="es-ES"/>
        </w:rPr>
        <w:t xml:space="preserve"> y madre</w:t>
      </w:r>
      <w:r w:rsidRPr="009E30D1">
        <w:rPr>
          <w:rFonts w:ascii="Adobe Caslon Pro" w:hAnsi="Adobe Caslon Pro" w:cs="Arial"/>
          <w:lang w:val="es-ES"/>
        </w:rPr>
        <w:t>, el sentimiento de vergüenza</w:t>
      </w:r>
      <w:r w:rsidR="001C1715" w:rsidRPr="009E30D1">
        <w:rPr>
          <w:rFonts w:ascii="Adobe Caslon Pro" w:hAnsi="Adobe Caslon Pro" w:cs="Arial"/>
          <w:lang w:val="es-ES"/>
        </w:rPr>
        <w:t xml:space="preserve"> y culpabilidad</w:t>
      </w:r>
      <w:r w:rsidR="00A55AC4" w:rsidRPr="009E30D1">
        <w:rPr>
          <w:rFonts w:ascii="Adobe Caslon Pro" w:hAnsi="Adobe Caslon Pro" w:cs="Arial"/>
          <w:lang w:val="es-ES"/>
        </w:rPr>
        <w:t xml:space="preserve"> cuando se pre</w:t>
      </w:r>
      <w:r w:rsidR="008A46E4" w:rsidRPr="009E30D1">
        <w:rPr>
          <w:rFonts w:ascii="Adobe Caslon Pro" w:hAnsi="Adobe Caslon Pro" w:cs="Arial"/>
          <w:lang w:val="es-ES"/>
        </w:rPr>
        <w:t>sentan situaciones de violencia</w:t>
      </w:r>
      <w:r w:rsidRPr="009E30D1">
        <w:rPr>
          <w:rFonts w:ascii="Adobe Caslon Pro" w:hAnsi="Adobe Caslon Pro" w:cs="Arial"/>
          <w:lang w:val="es-ES"/>
        </w:rPr>
        <w:t xml:space="preserve">, así como el miedo y la confusión emocional, que contienen y condicionan a las mujeres para solicitar y recibir atención. </w:t>
      </w:r>
    </w:p>
    <w:p w:rsidR="003012EB" w:rsidRPr="009E30D1" w:rsidRDefault="003012EB" w:rsidP="00975006">
      <w:pPr>
        <w:spacing w:after="120" w:line="240" w:lineRule="auto"/>
        <w:jc w:val="both"/>
        <w:rPr>
          <w:rFonts w:ascii="Adobe Caslon Pro" w:hAnsi="Adobe Caslon Pro" w:cs="Arial"/>
          <w:lang w:val="es-ES"/>
        </w:rPr>
      </w:pPr>
      <w:r w:rsidRPr="009E30D1">
        <w:rPr>
          <w:rFonts w:ascii="Adobe Caslon Pro" w:hAnsi="Adobe Caslon Pro" w:cs="Arial"/>
          <w:lang w:val="es-ES"/>
        </w:rPr>
        <w:t>Al respecto, dentro de los motivos por los cuales no se acudió a solicitar ayuda a alguna institución después de haber sufrido violencia por parte d</w:t>
      </w:r>
      <w:r w:rsidR="00525BF1" w:rsidRPr="009E30D1">
        <w:rPr>
          <w:rFonts w:ascii="Adobe Caslon Pro" w:hAnsi="Adobe Caslon Pro" w:cs="Arial"/>
          <w:lang w:val="es-ES"/>
        </w:rPr>
        <w:t>e su última pareja (ver cuadro 5</w:t>
      </w:r>
      <w:r w:rsidRPr="009E30D1">
        <w:rPr>
          <w:rFonts w:ascii="Adobe Caslon Pro" w:hAnsi="Adobe Caslon Pro" w:cs="Arial"/>
          <w:lang w:val="es-ES"/>
        </w:rPr>
        <w:t xml:space="preserve">), la ENDIREH 2011 destaca los </w:t>
      </w:r>
      <w:r w:rsidR="000D4F08" w:rsidRPr="009E30D1">
        <w:rPr>
          <w:rFonts w:ascii="Adobe Caslon Pro" w:hAnsi="Adobe Caslon Pro" w:cs="Arial"/>
          <w:b/>
          <w:lang w:val="es-ES_tradnl"/>
        </w:rPr>
        <w:t>factores cognitivos y emocionales</w:t>
      </w:r>
      <w:r w:rsidR="000D4F08" w:rsidRPr="009E30D1">
        <w:rPr>
          <w:rFonts w:ascii="Adobe Caslon Pro" w:hAnsi="Adobe Caslon Pro" w:cs="Arial"/>
          <w:b/>
        </w:rPr>
        <w:t xml:space="preserve"> contrarios a la igualdad de género</w:t>
      </w:r>
      <w:r w:rsidRPr="009E30D1">
        <w:rPr>
          <w:rFonts w:ascii="Adobe Caslon Pro" w:hAnsi="Adobe Caslon Pro" w:cs="Arial"/>
          <w:lang w:val="es-ES"/>
        </w:rPr>
        <w:t>, entre los que resaltan pensar que sufrir violencia es un tema sin importancia (63.1%), el miedo a la pareja (8.9%), por la esperanza de que la pareja cambie (8.7%) y por las hijas e hijos (8.6%).</w:t>
      </w:r>
    </w:p>
    <w:p w:rsidR="00ED5711" w:rsidRPr="009E30D1" w:rsidRDefault="0028589A" w:rsidP="00B85C0B">
      <w:pPr>
        <w:spacing w:after="120" w:line="240" w:lineRule="auto"/>
        <w:ind w:left="426" w:right="476"/>
        <w:jc w:val="center"/>
        <w:rPr>
          <w:rFonts w:ascii="Adobe Caslon Pro" w:hAnsi="Adobe Caslon Pro" w:cs="Arial"/>
          <w:b/>
          <w:bCs/>
          <w:lang w:val="es-ES_tradnl"/>
        </w:rPr>
      </w:pPr>
      <w:r w:rsidRPr="009E30D1">
        <w:rPr>
          <w:rFonts w:ascii="Adobe Caslon Pro" w:hAnsi="Adobe Caslon Pro" w:cs="Arial"/>
          <w:b/>
          <w:bCs/>
          <w:lang w:val="es-ES_tradnl"/>
        </w:rPr>
        <w:t>Cuadro 5</w:t>
      </w:r>
      <w:r w:rsidR="003012EB" w:rsidRPr="009E30D1">
        <w:rPr>
          <w:rFonts w:ascii="Adobe Caslon Pro" w:hAnsi="Adobe Caslon Pro" w:cs="Arial"/>
          <w:b/>
          <w:bCs/>
          <w:lang w:val="es-ES_tradnl"/>
        </w:rPr>
        <w:t xml:space="preserve">. Mujeres víctimas de violencia </w:t>
      </w:r>
      <w:r w:rsidR="00ED5711" w:rsidRPr="009E30D1">
        <w:rPr>
          <w:rFonts w:ascii="Adobe Caslon Pro" w:hAnsi="Adobe Caslon Pro" w:cs="Arial"/>
          <w:b/>
          <w:bCs/>
          <w:lang w:val="es-ES_tradnl"/>
        </w:rPr>
        <w:t>que no acudieron a la autoridad</w:t>
      </w:r>
    </w:p>
    <w:p w:rsidR="003012EB" w:rsidRPr="009E30D1" w:rsidRDefault="00ED5711" w:rsidP="00B85C0B">
      <w:pPr>
        <w:spacing w:after="120" w:line="240" w:lineRule="auto"/>
        <w:ind w:left="426" w:right="476"/>
        <w:jc w:val="center"/>
        <w:rPr>
          <w:rFonts w:ascii="Adobe Caslon Pro" w:hAnsi="Adobe Caslon Pro" w:cs="Arial"/>
          <w:b/>
          <w:bCs/>
          <w:color w:val="000000"/>
          <w:lang w:val="es-ES_tradnl"/>
        </w:rPr>
      </w:pPr>
      <w:r w:rsidRPr="009E30D1">
        <w:rPr>
          <w:rFonts w:ascii="Adobe Caslon Pro" w:hAnsi="Adobe Caslon Pro" w:cs="Arial"/>
          <w:b/>
          <w:bCs/>
          <w:lang w:val="es-ES_tradnl"/>
        </w:rPr>
        <w:t>(</w:t>
      </w:r>
      <w:proofErr w:type="gramStart"/>
      <w:r w:rsidR="003012EB" w:rsidRPr="009E30D1">
        <w:rPr>
          <w:rFonts w:ascii="Adobe Caslon Pro" w:hAnsi="Adobe Caslon Pro" w:cs="Arial"/>
          <w:b/>
          <w:bCs/>
          <w:lang w:val="es-ES_tradnl"/>
        </w:rPr>
        <w:t>por</w:t>
      </w:r>
      <w:proofErr w:type="gramEnd"/>
      <w:r w:rsidR="003012EB" w:rsidRPr="009E30D1">
        <w:rPr>
          <w:rFonts w:ascii="Adobe Caslon Pro" w:hAnsi="Adobe Caslon Pro" w:cs="Arial"/>
          <w:b/>
          <w:bCs/>
          <w:lang w:val="es-ES_tradnl"/>
        </w:rPr>
        <w:t xml:space="preserve"> tipo de motivos</w:t>
      </w:r>
      <w:r w:rsidRPr="009E30D1">
        <w:rPr>
          <w:rFonts w:ascii="Adobe Caslon Pro" w:hAnsi="Adobe Caslon Pro" w:cs="Arial"/>
          <w:b/>
          <w:bCs/>
          <w:lang w:val="es-ES_tradnl"/>
        </w:rPr>
        <w:t>)</w:t>
      </w:r>
    </w:p>
    <w:tbl>
      <w:tblPr>
        <w:tblW w:w="7303" w:type="dxa"/>
        <w:jc w:val="center"/>
        <w:tblInd w:w="-385" w:type="dxa"/>
        <w:tblCellMar>
          <w:left w:w="70" w:type="dxa"/>
          <w:right w:w="70" w:type="dxa"/>
        </w:tblCellMar>
        <w:tblLook w:val="04A0" w:firstRow="1" w:lastRow="0" w:firstColumn="1" w:lastColumn="0" w:noHBand="0" w:noVBand="1"/>
      </w:tblPr>
      <w:tblGrid>
        <w:gridCol w:w="3976"/>
        <w:gridCol w:w="2024"/>
        <w:gridCol w:w="1303"/>
      </w:tblGrid>
      <w:tr w:rsidR="003012EB" w:rsidRPr="009E30D1" w:rsidTr="00FC430B">
        <w:trPr>
          <w:trHeight w:val="567"/>
          <w:jc w:val="center"/>
        </w:trPr>
        <w:tc>
          <w:tcPr>
            <w:tcW w:w="397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rPr>
            </w:pPr>
          </w:p>
        </w:tc>
        <w:tc>
          <w:tcPr>
            <w:tcW w:w="2024" w:type="dxa"/>
            <w:tcBorders>
              <w:top w:val="single" w:sz="4" w:space="0" w:color="auto"/>
              <w:left w:val="nil"/>
              <w:bottom w:val="single" w:sz="4" w:space="0" w:color="auto"/>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lang w:val="es-ES_tradnl"/>
              </w:rPr>
            </w:pPr>
            <w:r w:rsidRPr="009E30D1">
              <w:rPr>
                <w:rFonts w:ascii="Adobe Caslon Pro" w:hAnsi="Adobe Caslon Pro" w:cs="Arial"/>
                <w:b/>
                <w:color w:val="000000"/>
                <w:sz w:val="16"/>
                <w:szCs w:val="16"/>
                <w:lang w:val="es-ES_tradnl"/>
              </w:rPr>
              <w:t xml:space="preserve">Total </w:t>
            </w:r>
          </w:p>
          <w:p w:rsidR="003012EB" w:rsidRPr="009E30D1" w:rsidRDefault="003012EB" w:rsidP="00B85C0B">
            <w:pPr>
              <w:spacing w:after="120" w:line="240" w:lineRule="auto"/>
              <w:jc w:val="center"/>
              <w:rPr>
                <w:rFonts w:ascii="Adobe Caslon Pro" w:hAnsi="Adobe Caslon Pro" w:cs="Arial"/>
                <w:b/>
                <w:color w:val="000000"/>
                <w:sz w:val="16"/>
                <w:szCs w:val="16"/>
              </w:rPr>
            </w:pPr>
            <w:r w:rsidRPr="009E30D1">
              <w:rPr>
                <w:rFonts w:ascii="Adobe Caslon Pro" w:hAnsi="Adobe Caslon Pro" w:cs="Arial"/>
                <w:b/>
                <w:color w:val="000000"/>
                <w:sz w:val="16"/>
                <w:szCs w:val="16"/>
                <w:lang w:val="es-ES_tradnl"/>
              </w:rPr>
              <w:t>(Millones de mujeres)</w:t>
            </w:r>
          </w:p>
        </w:tc>
        <w:tc>
          <w:tcPr>
            <w:tcW w:w="1303" w:type="dxa"/>
            <w:tcBorders>
              <w:top w:val="single" w:sz="4" w:space="0" w:color="auto"/>
              <w:left w:val="nil"/>
              <w:bottom w:val="single" w:sz="4" w:space="0" w:color="auto"/>
              <w:right w:val="single" w:sz="4" w:space="0" w:color="auto"/>
            </w:tcBorders>
            <w:shd w:val="clear" w:color="000000" w:fill="BFBFBF"/>
            <w:vAlign w:val="center"/>
            <w:hideMark/>
          </w:tcPr>
          <w:p w:rsidR="003012EB" w:rsidRPr="009E30D1" w:rsidRDefault="003012EB" w:rsidP="00B85C0B">
            <w:pPr>
              <w:spacing w:after="120" w:line="240" w:lineRule="auto"/>
              <w:jc w:val="center"/>
              <w:rPr>
                <w:rFonts w:ascii="Adobe Caslon Pro" w:hAnsi="Adobe Caslon Pro" w:cs="Arial"/>
                <w:b/>
                <w:color w:val="000000"/>
                <w:sz w:val="16"/>
                <w:szCs w:val="16"/>
              </w:rPr>
            </w:pPr>
            <w:r w:rsidRPr="009E30D1">
              <w:rPr>
                <w:rFonts w:ascii="Adobe Caslon Pro" w:hAnsi="Adobe Caslon Pro" w:cs="Arial"/>
                <w:b/>
                <w:color w:val="000000"/>
                <w:sz w:val="16"/>
                <w:szCs w:val="16"/>
                <w:lang w:val="es-ES_tradnl"/>
              </w:rPr>
              <w:t>Porcentaje</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se trató de algo sin importancia</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10.1</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63.1</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lastRenderedPageBreak/>
              <w:t>Por miedo</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1.4</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8.9</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él dijo que iba a cambiar</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1.4</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8.7</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 sus hijas e hijos</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1.4</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8.6</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no sabía que podía denunciar la ofensa o agresión</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1.3</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8.0</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 vergüenza</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1.2</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7.7</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 otras razones</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1.2</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7.7</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usted sabe que él no va a cambiar</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1.1</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6.9</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no confía en las autoridades</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0.8</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5.2</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Para que su familia no se enterara</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0.8</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5.0</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su esposo o pareja la amenazó</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0.3</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piensa que su esposo o pareja tiene derecho a reprenderla</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0.2</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1.3</w:t>
            </w:r>
          </w:p>
        </w:tc>
      </w:tr>
      <w:tr w:rsidR="003012EB" w:rsidRPr="009E30D1" w:rsidTr="00FC430B">
        <w:trPr>
          <w:trHeight w:val="20"/>
          <w:jc w:val="center"/>
        </w:trPr>
        <w:tc>
          <w:tcPr>
            <w:tcW w:w="3976" w:type="dxa"/>
            <w:tcBorders>
              <w:top w:val="nil"/>
              <w:left w:val="single" w:sz="4" w:space="0" w:color="auto"/>
              <w:bottom w:val="nil"/>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Porque su familia la convenció de no hacerlo</w:t>
            </w:r>
          </w:p>
        </w:tc>
        <w:tc>
          <w:tcPr>
            <w:tcW w:w="2024" w:type="dxa"/>
            <w:tcBorders>
              <w:top w:val="nil"/>
              <w:left w:val="single" w:sz="4" w:space="0" w:color="auto"/>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_tradnl"/>
              </w:rPr>
              <w:t>0.2</w:t>
            </w:r>
          </w:p>
        </w:tc>
        <w:tc>
          <w:tcPr>
            <w:tcW w:w="1303" w:type="dxa"/>
            <w:tcBorders>
              <w:top w:val="nil"/>
              <w:left w:val="nil"/>
              <w:bottom w:val="nil"/>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1.2</w:t>
            </w:r>
          </w:p>
        </w:tc>
      </w:tr>
      <w:tr w:rsidR="003012EB" w:rsidRPr="009E30D1" w:rsidTr="00FC430B">
        <w:trPr>
          <w:trHeight w:val="20"/>
          <w:jc w:val="center"/>
        </w:trPr>
        <w:tc>
          <w:tcPr>
            <w:tcW w:w="3976" w:type="dxa"/>
            <w:tcBorders>
              <w:top w:val="nil"/>
              <w:left w:val="single" w:sz="4" w:space="0" w:color="auto"/>
              <w:bottom w:val="single" w:sz="4" w:space="0" w:color="auto"/>
              <w:right w:val="nil"/>
            </w:tcBorders>
            <w:shd w:val="clear" w:color="auto" w:fill="auto"/>
            <w:vAlign w:val="center"/>
            <w:hideMark/>
          </w:tcPr>
          <w:p w:rsidR="003012EB" w:rsidRPr="009E30D1" w:rsidRDefault="003012EB" w:rsidP="00B85C0B">
            <w:pPr>
              <w:spacing w:after="120" w:line="240" w:lineRule="auto"/>
              <w:rPr>
                <w:rFonts w:ascii="Adobe Caslon Pro" w:hAnsi="Adobe Caslon Pro" w:cs="Arial"/>
                <w:b/>
                <w:bCs/>
                <w:color w:val="000000"/>
                <w:sz w:val="16"/>
                <w:szCs w:val="16"/>
              </w:rPr>
            </w:pPr>
            <w:r w:rsidRPr="009E30D1">
              <w:rPr>
                <w:rFonts w:ascii="Adobe Caslon Pro" w:hAnsi="Adobe Caslon Pro" w:cs="Arial"/>
                <w:b/>
                <w:bCs/>
                <w:color w:val="000000"/>
                <w:sz w:val="16"/>
                <w:szCs w:val="16"/>
                <w:lang w:val="es-ES_tradnl"/>
              </w:rPr>
              <w:t>Total</w:t>
            </w:r>
          </w:p>
        </w:tc>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012EB" w:rsidRPr="009E30D1" w:rsidRDefault="003012EB" w:rsidP="00B85C0B">
            <w:pPr>
              <w:spacing w:after="120" w:line="240" w:lineRule="auto"/>
              <w:jc w:val="center"/>
              <w:rPr>
                <w:rFonts w:ascii="Adobe Caslon Pro" w:hAnsi="Adobe Caslon Pro" w:cs="Arial"/>
                <w:b/>
                <w:bCs/>
                <w:color w:val="000000"/>
                <w:sz w:val="16"/>
                <w:szCs w:val="16"/>
              </w:rPr>
            </w:pPr>
            <w:r w:rsidRPr="009E30D1">
              <w:rPr>
                <w:rFonts w:ascii="Adobe Caslon Pro" w:hAnsi="Adobe Caslon Pro" w:cs="Arial"/>
                <w:b/>
                <w:bCs/>
                <w:color w:val="000000"/>
                <w:sz w:val="16"/>
                <w:szCs w:val="16"/>
                <w:lang w:val="es-ES_tradnl"/>
              </w:rPr>
              <w:t>16.1</w:t>
            </w:r>
          </w:p>
        </w:tc>
        <w:tc>
          <w:tcPr>
            <w:tcW w:w="1303" w:type="dxa"/>
            <w:tcBorders>
              <w:top w:val="nil"/>
              <w:left w:val="nil"/>
              <w:bottom w:val="single" w:sz="4" w:space="0" w:color="auto"/>
              <w:right w:val="single" w:sz="4" w:space="0" w:color="auto"/>
            </w:tcBorders>
            <w:shd w:val="clear" w:color="auto" w:fill="auto"/>
            <w:noWrap/>
            <w:vAlign w:val="center"/>
            <w:hideMark/>
          </w:tcPr>
          <w:p w:rsidR="003012EB" w:rsidRPr="009E30D1" w:rsidRDefault="003012EB"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rPr>
              <w:t> </w:t>
            </w:r>
          </w:p>
        </w:tc>
      </w:tr>
    </w:tbl>
    <w:p w:rsidR="003012EB" w:rsidRPr="009E30D1" w:rsidRDefault="003012EB" w:rsidP="00B85C0B">
      <w:pPr>
        <w:spacing w:after="120" w:line="240" w:lineRule="auto"/>
        <w:contextualSpacing/>
        <w:jc w:val="center"/>
        <w:rPr>
          <w:rFonts w:ascii="Adobe Caslon Pro" w:hAnsi="Adobe Caslon Pro" w:cs="Arial"/>
          <w:i/>
          <w:color w:val="000000"/>
          <w:sz w:val="18"/>
          <w:szCs w:val="18"/>
          <w:lang w:val="es-ES"/>
        </w:rPr>
      </w:pPr>
      <w:r w:rsidRPr="009E30D1">
        <w:rPr>
          <w:rFonts w:ascii="Adobe Caslon Pro" w:hAnsi="Adobe Caslon Pro" w:cs="Arial"/>
          <w:i/>
          <w:color w:val="000000"/>
          <w:sz w:val="18"/>
          <w:szCs w:val="18"/>
          <w:lang w:val="es-ES"/>
        </w:rPr>
        <w:t>Fuente: Elaboración propia con datos de la ENDIREH 2011, INEGI.</w:t>
      </w:r>
    </w:p>
    <w:p w:rsidR="003012EB" w:rsidRPr="009E30D1" w:rsidRDefault="003012EB" w:rsidP="00B85C0B">
      <w:pPr>
        <w:spacing w:after="120" w:line="240" w:lineRule="auto"/>
        <w:contextualSpacing/>
        <w:jc w:val="center"/>
        <w:rPr>
          <w:rFonts w:ascii="Adobe Caslon Pro" w:hAnsi="Adobe Caslon Pro" w:cs="Arial"/>
          <w:i/>
          <w:color w:val="000000"/>
          <w:sz w:val="18"/>
          <w:szCs w:val="18"/>
          <w:lang w:val="es-ES"/>
        </w:rPr>
      </w:pPr>
      <w:r w:rsidRPr="009E30D1">
        <w:rPr>
          <w:rFonts w:ascii="Adobe Caslon Pro" w:hAnsi="Adobe Caslon Pro" w:cs="Arial"/>
          <w:i/>
          <w:color w:val="000000"/>
          <w:sz w:val="18"/>
          <w:szCs w:val="18"/>
          <w:lang w:val="es-ES"/>
        </w:rPr>
        <w:t>Nota: La suma de los porcentajes no es 100%, debido a que una mujer puedo haber tenido más de un motivo para no solicitar ayuda.</w:t>
      </w:r>
    </w:p>
    <w:p w:rsidR="00B85C0B" w:rsidRPr="009E30D1" w:rsidRDefault="00B85C0B" w:rsidP="00B85C0B">
      <w:pPr>
        <w:spacing w:after="120" w:line="240" w:lineRule="auto"/>
        <w:contextualSpacing/>
        <w:jc w:val="center"/>
        <w:rPr>
          <w:rFonts w:ascii="Adobe Caslon Pro" w:hAnsi="Adobe Caslon Pro" w:cs="Arial"/>
          <w:i/>
          <w:color w:val="000000"/>
          <w:sz w:val="18"/>
          <w:szCs w:val="18"/>
          <w:lang w:val="es-ES"/>
        </w:rPr>
      </w:pPr>
    </w:p>
    <w:p w:rsidR="003012EB" w:rsidRPr="009E30D1" w:rsidRDefault="003012EB" w:rsidP="00975006">
      <w:pPr>
        <w:spacing w:after="120" w:line="240" w:lineRule="auto"/>
        <w:jc w:val="both"/>
        <w:rPr>
          <w:rFonts w:ascii="Adobe Caslon Pro" w:hAnsi="Adobe Caslon Pro" w:cs="Arial"/>
          <w:lang w:val="es-ES"/>
        </w:rPr>
      </w:pPr>
      <w:r w:rsidRPr="009E30D1">
        <w:rPr>
          <w:rFonts w:ascii="Adobe Caslon Pro" w:hAnsi="Adobe Caslon Pro" w:cs="Arial"/>
          <w:lang w:val="es-ES"/>
        </w:rPr>
        <w:t>En este mismo sentido, cuando la</w:t>
      </w:r>
      <w:r w:rsidR="000C53E5" w:rsidRPr="009E30D1">
        <w:rPr>
          <w:rFonts w:ascii="Adobe Caslon Pro" w:hAnsi="Adobe Caslon Pro" w:cs="Arial"/>
          <w:lang w:val="es-ES"/>
        </w:rPr>
        <w:t>s</w:t>
      </w:r>
      <w:r w:rsidRPr="009E30D1">
        <w:rPr>
          <w:rFonts w:ascii="Adobe Caslon Pro" w:hAnsi="Adobe Caslon Pro" w:cs="Arial"/>
          <w:lang w:val="es-ES"/>
        </w:rPr>
        <w:t xml:space="preserve"> mujer</w:t>
      </w:r>
      <w:r w:rsidR="000C53E5" w:rsidRPr="009E30D1">
        <w:rPr>
          <w:rFonts w:ascii="Adobe Caslon Pro" w:hAnsi="Adobe Caslon Pro" w:cs="Arial"/>
          <w:lang w:val="es-ES"/>
        </w:rPr>
        <w:t>es son</w:t>
      </w:r>
      <w:r w:rsidRPr="009E30D1">
        <w:rPr>
          <w:rFonts w:ascii="Adobe Caslon Pro" w:hAnsi="Adobe Caslon Pro" w:cs="Arial"/>
          <w:lang w:val="es-ES"/>
        </w:rPr>
        <w:t xml:space="preserve"> víctima</w:t>
      </w:r>
      <w:r w:rsidR="000C53E5" w:rsidRPr="009E30D1">
        <w:rPr>
          <w:rFonts w:ascii="Adobe Caslon Pro" w:hAnsi="Adobe Caslon Pro" w:cs="Arial"/>
          <w:lang w:val="es-ES"/>
        </w:rPr>
        <w:t>s</w:t>
      </w:r>
      <w:r w:rsidRPr="009E30D1">
        <w:rPr>
          <w:rFonts w:ascii="Adobe Caslon Pro" w:hAnsi="Adobe Caslon Pro" w:cs="Arial"/>
          <w:lang w:val="es-ES"/>
        </w:rPr>
        <w:t xml:space="preserve"> de violencia laboral, escolar o social, no busca</w:t>
      </w:r>
      <w:r w:rsidR="000C53E5" w:rsidRPr="009E30D1">
        <w:rPr>
          <w:rFonts w:ascii="Adobe Caslon Pro" w:hAnsi="Adobe Caslon Pro" w:cs="Arial"/>
          <w:lang w:val="es-ES"/>
        </w:rPr>
        <w:t>n</w:t>
      </w:r>
      <w:r w:rsidRPr="009E30D1">
        <w:rPr>
          <w:rFonts w:ascii="Adobe Caslon Pro" w:hAnsi="Adobe Caslon Pro" w:cs="Arial"/>
          <w:lang w:val="es-ES"/>
        </w:rPr>
        <w:t xml:space="preserve"> ayuda principalmente porque considera</w:t>
      </w:r>
      <w:r w:rsidR="000C53E5" w:rsidRPr="009E30D1">
        <w:rPr>
          <w:rFonts w:ascii="Adobe Caslon Pro" w:hAnsi="Adobe Caslon Pro" w:cs="Arial"/>
          <w:lang w:val="es-ES"/>
        </w:rPr>
        <w:t>n</w:t>
      </w:r>
      <w:r w:rsidRPr="009E30D1">
        <w:rPr>
          <w:rFonts w:ascii="Adobe Caslon Pro" w:hAnsi="Adobe Caslon Pro" w:cs="Arial"/>
          <w:lang w:val="es-ES"/>
        </w:rPr>
        <w:t xml:space="preserve"> que la violencia de este tipo es algo sin importancia (39.9%), porque no confía</w:t>
      </w:r>
      <w:r w:rsidR="000C53E5" w:rsidRPr="009E30D1">
        <w:rPr>
          <w:rFonts w:ascii="Adobe Caslon Pro" w:hAnsi="Adobe Caslon Pro" w:cs="Arial"/>
          <w:lang w:val="es-ES"/>
        </w:rPr>
        <w:t>n</w:t>
      </w:r>
      <w:r w:rsidRPr="009E30D1">
        <w:rPr>
          <w:rFonts w:ascii="Adobe Caslon Pro" w:hAnsi="Adobe Caslon Pro" w:cs="Arial"/>
          <w:lang w:val="es-ES"/>
        </w:rPr>
        <w:t xml:space="preserve"> en las autoridades (22.9%) o por falta de conocimiento sobre la posibilidad de realizar una denuncia (16.3%). </w:t>
      </w:r>
    </w:p>
    <w:p w:rsidR="003012EB" w:rsidRPr="009E30D1" w:rsidRDefault="003012EB" w:rsidP="00B85C0B">
      <w:pPr>
        <w:spacing w:after="120" w:line="240" w:lineRule="auto"/>
        <w:jc w:val="both"/>
        <w:rPr>
          <w:rFonts w:ascii="Adobe Caslon Pro" w:hAnsi="Adobe Caslon Pro" w:cs="Arial"/>
          <w:b/>
          <w:lang w:val="es-ES"/>
        </w:rPr>
      </w:pPr>
      <w:r w:rsidRPr="009E30D1">
        <w:rPr>
          <w:rFonts w:ascii="Adobe Caslon Pro" w:hAnsi="Adobe Caslon Pro" w:cs="Arial"/>
          <w:b/>
          <w:lang w:val="es-ES"/>
        </w:rPr>
        <w:t>Causa 2: Discriminación contra las mujeres</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La segunda causa de los altos niveles de violencia contra las mujeres es la discriminación contra las mujeres. De acuerdo al Secretario General de la ONU</w:t>
      </w:r>
      <w:r w:rsidRPr="009E30D1">
        <w:rPr>
          <w:rStyle w:val="Refdenotaalpie"/>
          <w:rFonts w:ascii="Adobe Caslon Pro" w:hAnsi="Adobe Caslon Pro"/>
        </w:rPr>
        <w:footnoteReference w:id="14"/>
      </w:r>
      <w:r w:rsidRPr="009E30D1">
        <w:rPr>
          <w:rFonts w:ascii="Adobe Caslon Pro" w:hAnsi="Adobe Caslon Pro" w:cs="Arial"/>
        </w:rPr>
        <w:t>, la discriminación</w:t>
      </w:r>
      <w:r w:rsidRPr="009E30D1">
        <w:rPr>
          <w:rFonts w:ascii="Adobe Caslon Pro" w:hAnsi="Adobe Caslon Pro" w:cs="Arial"/>
          <w:lang w:val="es-ES"/>
        </w:rPr>
        <w:t xml:space="preserve"> es un fenómeno social basado en el conjunto de roles socialmente construidos, comportamientos, actividades y atributos que la sociedad considera apropiados para hombres y mujeres. </w:t>
      </w:r>
      <w:r w:rsidR="005410D8" w:rsidRPr="009E30D1">
        <w:rPr>
          <w:rFonts w:ascii="Adobe Caslon Pro" w:hAnsi="Adobe Caslon Pro" w:cs="Arial"/>
          <w:lang w:val="es-ES"/>
        </w:rPr>
        <w:t>En específico, l</w:t>
      </w:r>
      <w:r w:rsidRPr="009E30D1">
        <w:rPr>
          <w:rFonts w:ascii="Adobe Caslon Pro" w:hAnsi="Adobe Caslon Pro" w:cs="Arial"/>
          <w:lang w:val="es-ES"/>
        </w:rPr>
        <w:t>os roles</w:t>
      </w:r>
      <w:r w:rsidR="005410D8" w:rsidRPr="009E30D1">
        <w:rPr>
          <w:rFonts w:ascii="Adobe Caslon Pro" w:hAnsi="Adobe Caslon Pro" w:cs="Arial"/>
          <w:lang w:val="es-ES"/>
        </w:rPr>
        <w:t xml:space="preserve"> de género</w:t>
      </w:r>
      <w:r w:rsidRPr="009E30D1">
        <w:rPr>
          <w:rFonts w:ascii="Adobe Caslon Pro" w:hAnsi="Adobe Caslon Pro" w:cs="Arial"/>
          <w:lang w:val="es-ES"/>
        </w:rPr>
        <w:t xml:space="preserve"> han estado ordenados</w:t>
      </w:r>
      <w:r w:rsidR="005410D8" w:rsidRPr="009E30D1">
        <w:rPr>
          <w:rFonts w:ascii="Adobe Caslon Pro" w:hAnsi="Adobe Caslon Pro" w:cs="Arial"/>
          <w:lang w:val="es-ES"/>
        </w:rPr>
        <w:t xml:space="preserve"> históricamente</w:t>
      </w:r>
      <w:r w:rsidRPr="009E30D1">
        <w:rPr>
          <w:rFonts w:ascii="Adobe Caslon Pro" w:hAnsi="Adobe Caslon Pro" w:cs="Arial"/>
          <w:lang w:val="es-ES"/>
        </w:rPr>
        <w:t xml:space="preserve"> de modo tal, que los hombres ejercen poder y control sobre las mujeres, y cuentan para ello con bases tanto ideológicas como materiales. En este sentido, el patriarcado encuentra cobijo en normas sociales y culturales, y se ha institucionalizado en el derecho y las estructuras políticas, con lo cual se ha arraigado en las ideologías formales y el discurso público. </w:t>
      </w:r>
    </w:p>
    <w:p w:rsidR="003012EB" w:rsidRPr="009E30D1" w:rsidRDefault="003012EB" w:rsidP="00B85C0B">
      <w:pPr>
        <w:spacing w:after="120" w:line="240" w:lineRule="auto"/>
        <w:jc w:val="both"/>
        <w:rPr>
          <w:rFonts w:ascii="Adobe Caslon Pro" w:hAnsi="Adobe Caslon Pro" w:cs="Arial"/>
          <w:color w:val="000000"/>
        </w:rPr>
      </w:pPr>
      <w:r w:rsidRPr="009E30D1">
        <w:rPr>
          <w:rFonts w:ascii="Adobe Caslon Pro" w:hAnsi="Adobe Caslon Pro" w:cs="Arial"/>
          <w:lang w:val="es-ES"/>
        </w:rPr>
        <w:lastRenderedPageBreak/>
        <w:t xml:space="preserve">A pesar de que el patriarcado ha perdido poder a través de los años, la discriminación es una de las marcas que aún existen de esta conducta. </w:t>
      </w:r>
      <w:r w:rsidRPr="009E30D1">
        <w:rPr>
          <w:rFonts w:ascii="Adobe Caslon Pro" w:hAnsi="Adobe Caslon Pro" w:cs="Arial"/>
          <w:lang w:val="es-ES_tradnl"/>
        </w:rPr>
        <w:t xml:space="preserve">De acuerdo a la ENADIS 2010, </w:t>
      </w:r>
      <w:r w:rsidRPr="009E30D1">
        <w:rPr>
          <w:rFonts w:ascii="Adobe Caslon Pro" w:hAnsi="Adobe Caslon Pro" w:cs="Arial"/>
          <w:color w:val="000000"/>
          <w:lang w:val="es-ES_tradnl"/>
        </w:rPr>
        <w:t xml:space="preserve">una de cada diez mujeres considera que uno de los principales problemas para las mujeres en México está relacionado con la discriminación contra las mujeres (ver gráfica 3) y el 11.6% de las mujeres consideran que el abuso, acoso, maltrato y violencia son los problemas más graves de la actualidad. </w:t>
      </w:r>
    </w:p>
    <w:p w:rsidR="003012EB" w:rsidRPr="009E30D1" w:rsidRDefault="003012EB" w:rsidP="00B85C0B">
      <w:pPr>
        <w:spacing w:after="120"/>
        <w:contextualSpacing/>
        <w:jc w:val="center"/>
        <w:rPr>
          <w:rFonts w:ascii="Adobe Caslon Pro" w:hAnsi="Adobe Caslon Pro" w:cs="Arial"/>
          <w:b/>
          <w:sz w:val="20"/>
          <w:szCs w:val="20"/>
          <w:lang w:val="es-ES_tradnl"/>
        </w:rPr>
      </w:pPr>
      <w:r w:rsidRPr="009E30D1">
        <w:rPr>
          <w:rFonts w:ascii="Adobe Caslon Pro" w:hAnsi="Adobe Caslon Pro" w:cs="Arial"/>
          <w:b/>
          <w:sz w:val="20"/>
          <w:szCs w:val="20"/>
          <w:lang w:val="es-ES_tradnl"/>
        </w:rPr>
        <w:t xml:space="preserve">Gráfica 3. Distribución de la respuesta a la pregunta: </w:t>
      </w:r>
    </w:p>
    <w:p w:rsidR="003012EB" w:rsidRPr="009E30D1" w:rsidRDefault="003012EB" w:rsidP="00B85C0B">
      <w:pPr>
        <w:spacing w:after="120"/>
        <w:contextualSpacing/>
        <w:jc w:val="center"/>
        <w:rPr>
          <w:rFonts w:ascii="Adobe Caslon Pro" w:hAnsi="Adobe Caslon Pro" w:cs="Arial"/>
          <w:b/>
          <w:sz w:val="20"/>
          <w:szCs w:val="20"/>
          <w:lang w:val="es-ES_tradnl"/>
        </w:rPr>
      </w:pPr>
      <w:r w:rsidRPr="009E30D1">
        <w:rPr>
          <w:rFonts w:ascii="Adobe Caslon Pro" w:hAnsi="Adobe Caslon Pro" w:cs="Arial"/>
          <w:b/>
          <w:sz w:val="20"/>
          <w:szCs w:val="20"/>
          <w:lang w:val="es-ES_tradnl"/>
        </w:rPr>
        <w:t>¿Cuál crees que es el principal problema para las mujeres en México, hoy en día?</w:t>
      </w:r>
    </w:p>
    <w:p w:rsidR="003012EB" w:rsidRPr="009E30D1" w:rsidRDefault="003012EB" w:rsidP="00B85C0B">
      <w:pPr>
        <w:spacing w:after="120"/>
        <w:ind w:right="476"/>
        <w:jc w:val="center"/>
        <w:rPr>
          <w:rFonts w:ascii="Adobe Caslon Pro" w:hAnsi="Adobe Caslon Pro" w:cs="Arial"/>
          <w:bCs/>
          <w:color w:val="000000"/>
          <w:sz w:val="18"/>
          <w:szCs w:val="18"/>
          <w:lang w:val="es-ES_tradnl"/>
        </w:rPr>
      </w:pPr>
      <w:r w:rsidRPr="009E30D1">
        <w:rPr>
          <w:noProof/>
          <w:lang w:eastAsia="es-MX"/>
        </w:rPr>
        <w:drawing>
          <wp:inline distT="0" distB="0" distL="0" distR="0" wp14:anchorId="6A328FA8" wp14:editId="30BE21A9">
            <wp:extent cx="5029200" cy="2613546"/>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12EB" w:rsidRPr="009E30D1" w:rsidRDefault="003012EB" w:rsidP="00B85C0B">
      <w:pPr>
        <w:spacing w:after="120" w:line="240" w:lineRule="auto"/>
        <w:ind w:left="1134" w:right="1043"/>
        <w:contextualSpacing/>
        <w:jc w:val="center"/>
        <w:rPr>
          <w:rFonts w:ascii="Adobe Caslon Pro" w:hAnsi="Adobe Caslon Pro" w:cs="Arial"/>
          <w:i/>
          <w:color w:val="000000"/>
          <w:sz w:val="18"/>
          <w:szCs w:val="18"/>
          <w:lang w:val="es-ES"/>
        </w:rPr>
      </w:pPr>
      <w:r w:rsidRPr="009E30D1">
        <w:rPr>
          <w:rFonts w:ascii="Adobe Caslon Pro" w:hAnsi="Adobe Caslon Pro" w:cs="Arial"/>
          <w:i/>
          <w:color w:val="000000"/>
          <w:sz w:val="18"/>
          <w:szCs w:val="18"/>
          <w:lang w:val="es-ES"/>
        </w:rPr>
        <w:t>Fuente: Elaboración propia con datos de la ENADIS 2010, CONAPRED.</w:t>
      </w:r>
    </w:p>
    <w:p w:rsidR="003012EB" w:rsidRPr="009E30D1" w:rsidRDefault="003012EB" w:rsidP="00B85C0B">
      <w:pPr>
        <w:spacing w:after="120" w:line="240" w:lineRule="auto"/>
        <w:jc w:val="both"/>
        <w:rPr>
          <w:rFonts w:ascii="Adobe Caslon Pro" w:hAnsi="Adobe Caslon Pro"/>
          <w:color w:val="000000" w:themeColor="text1"/>
        </w:rPr>
      </w:pPr>
      <w:r w:rsidRPr="009E30D1">
        <w:rPr>
          <w:rFonts w:ascii="Adobe Caslon Pro" w:hAnsi="Adobe Caslon Pro" w:cs="Arial"/>
          <w:color w:val="000000" w:themeColor="text1"/>
          <w:lang w:val="es-ES"/>
        </w:rPr>
        <w:t>Sin embargo, la discriminación no se limita a la familia, pues los espacios laborales son también ámbitos en los que se violentan los derechos humanos</w:t>
      </w:r>
      <w:r w:rsidR="000C53E5" w:rsidRPr="009E30D1">
        <w:rPr>
          <w:rFonts w:ascii="Adobe Caslon Pro" w:hAnsi="Adobe Caslon Pro" w:cs="Arial"/>
          <w:color w:val="000000" w:themeColor="text1"/>
          <w:lang w:val="es-ES"/>
        </w:rPr>
        <w:t xml:space="preserve"> de las mujeres</w:t>
      </w:r>
      <w:r w:rsidRPr="009E30D1">
        <w:rPr>
          <w:rFonts w:ascii="Adobe Caslon Pro" w:hAnsi="Adobe Caslon Pro" w:cs="Arial"/>
          <w:color w:val="000000" w:themeColor="text1"/>
          <w:lang w:val="es-ES"/>
        </w:rPr>
        <w:t xml:space="preserve">: </w:t>
      </w:r>
      <w:r w:rsidRPr="009E30D1">
        <w:rPr>
          <w:rFonts w:ascii="Adobe Caslon Pro" w:hAnsi="Adobe Caslon Pro" w:cs="Arial"/>
          <w:color w:val="000000" w:themeColor="text1"/>
        </w:rPr>
        <w:t>26 de cada 100 asalariadas que trabajaron enfrentaron actos de discriminación laboral</w:t>
      </w:r>
      <w:r w:rsidRPr="009E30D1">
        <w:rPr>
          <w:rFonts w:ascii="Adobe Caslon Pro" w:hAnsi="Adobe Caslon Pro" w:cs="Arial"/>
          <w:color w:val="000000" w:themeColor="text1"/>
          <w:lang w:val="es-ES"/>
        </w:rPr>
        <w:t>,</w:t>
      </w:r>
      <w:r w:rsidRPr="009E30D1">
        <w:rPr>
          <w:rFonts w:ascii="Adobe Caslon Pro" w:hAnsi="Adobe Caslon Pro" w:cs="Arial"/>
          <w:color w:val="000000" w:themeColor="text1"/>
        </w:rPr>
        <w:t xml:space="preserve"> 19.3% de las mexicanas fueron víctimas de acoso y 91.3% de discriminación; de éstas últimas, 53.4% declaró tener menos oportunidades que un hombre para ascender de nivel o puesto, 52.1% mencionó que le pagaron menos que a un hombre por el mismo trabajo o puesto, y 27.9% dijo que le exigieron una prueba de embarazo (ENDIREH, 2011). En esta misma línea, las mujeres participan de forma menos activa en el mercado laboral ya que sólo 37.8% de la PEA está constituida por mujeres que, en su mayoría, desempeñan doble jornada al ser responsables de las labores del hogar además de su empleo. Finalmente, en cuestión de condiciones laborales, </w:t>
      </w:r>
      <w:r w:rsidRPr="009E30D1">
        <w:rPr>
          <w:rFonts w:ascii="Adobe Caslon Pro" w:hAnsi="Adobe Caslon Pro"/>
          <w:color w:val="000000" w:themeColor="text1"/>
        </w:rPr>
        <w:t>62% de las mujeres no cuentan con acceso a las instituciones de salud, dos de cada tres profesionistas ganan menos de tres salarios mínimos y las tasas de desocupación son más altas en las mujeres con mayor instrucción (ENOE, 2014).</w:t>
      </w:r>
    </w:p>
    <w:p w:rsidR="003012EB" w:rsidRPr="009E30D1" w:rsidRDefault="003012EB" w:rsidP="00B85C0B">
      <w:pPr>
        <w:spacing w:after="120"/>
        <w:contextualSpacing/>
        <w:jc w:val="both"/>
        <w:rPr>
          <w:rFonts w:ascii="Adobe Caslon Pro" w:hAnsi="Adobe Caslon Pro" w:cs="Arial"/>
          <w:lang w:val="es-ES_tradnl"/>
        </w:rPr>
      </w:pPr>
      <w:r w:rsidRPr="009E30D1">
        <w:rPr>
          <w:rFonts w:ascii="Adobe Caslon Pro" w:hAnsi="Adobe Caslon Pro" w:cs="Arial"/>
          <w:lang w:val="es-ES_tradnl"/>
        </w:rPr>
        <w:lastRenderedPageBreak/>
        <w:t>La discriminación contra las mujeres se desprende de la internalización social de la violencia contra las muje</w:t>
      </w:r>
      <w:r w:rsidR="008A46E4" w:rsidRPr="009E30D1">
        <w:rPr>
          <w:rFonts w:ascii="Adobe Caslon Pro" w:hAnsi="Adobe Caslon Pro" w:cs="Arial"/>
          <w:lang w:val="es-ES_tradnl"/>
        </w:rPr>
        <w:t xml:space="preserve">res que a su vez es causada por </w:t>
      </w:r>
      <w:r w:rsidRPr="009E30D1">
        <w:rPr>
          <w:rFonts w:ascii="Adobe Caslon Pro" w:hAnsi="Adobe Caslon Pro" w:cs="Arial"/>
          <w:lang w:val="es-ES_tradnl"/>
        </w:rPr>
        <w:t xml:space="preserve">la </w:t>
      </w:r>
      <w:proofErr w:type="spellStart"/>
      <w:r w:rsidRPr="009E30D1">
        <w:rPr>
          <w:rFonts w:ascii="Adobe Caslon Pro" w:hAnsi="Adobe Caslon Pro" w:cs="Arial"/>
          <w:lang w:val="es-ES_tradnl"/>
        </w:rPr>
        <w:t>invisibilización</w:t>
      </w:r>
      <w:proofErr w:type="spellEnd"/>
      <w:r w:rsidRPr="009E30D1">
        <w:rPr>
          <w:rFonts w:ascii="Adobe Caslon Pro" w:hAnsi="Adobe Caslon Pro" w:cs="Arial"/>
          <w:lang w:val="es-ES_tradnl"/>
        </w:rPr>
        <w:t xml:space="preserve"> del problema de violencia contra las mujeres. </w:t>
      </w:r>
    </w:p>
    <w:p w:rsidR="003012EB" w:rsidRPr="009E30D1" w:rsidRDefault="003012EB" w:rsidP="008A46E4">
      <w:pPr>
        <w:spacing w:after="120" w:line="240" w:lineRule="auto"/>
        <w:ind w:right="-93"/>
        <w:jc w:val="both"/>
        <w:rPr>
          <w:rFonts w:ascii="Adobe Caslon Pro" w:hAnsi="Adobe Caslon Pro" w:cs="Arial"/>
          <w:color w:val="000000" w:themeColor="text1"/>
        </w:rPr>
      </w:pPr>
      <w:r w:rsidRPr="009E30D1">
        <w:rPr>
          <w:rFonts w:ascii="Adobe Caslon Pro" w:hAnsi="Adobe Caslon Pro" w:cs="Arial"/>
          <w:lang w:val="es-ES_tradnl"/>
        </w:rPr>
        <w:t xml:space="preserve">En primer lugar, la </w:t>
      </w:r>
      <w:proofErr w:type="spellStart"/>
      <w:r w:rsidRPr="009E30D1">
        <w:rPr>
          <w:rFonts w:ascii="Adobe Caslon Pro" w:hAnsi="Adobe Caslon Pro" w:cs="Arial"/>
          <w:lang w:val="es-ES_tradnl"/>
        </w:rPr>
        <w:t>invisibilización</w:t>
      </w:r>
      <w:proofErr w:type="spellEnd"/>
      <w:r w:rsidRPr="009E30D1">
        <w:rPr>
          <w:rFonts w:ascii="Adobe Caslon Pro" w:hAnsi="Adobe Caslon Pro" w:cs="Arial"/>
          <w:lang w:val="es-ES_tradnl"/>
        </w:rPr>
        <w:t xml:space="preserve"> del problema de violencia contra las mujeres surge de la naturalización de la</w:t>
      </w:r>
      <w:r w:rsidR="005410D8" w:rsidRPr="009E30D1">
        <w:rPr>
          <w:rFonts w:ascii="Adobe Caslon Pro" w:hAnsi="Adobe Caslon Pro" w:cs="Arial"/>
          <w:lang w:val="es-ES_tradnl"/>
        </w:rPr>
        <w:t>s prácticas</w:t>
      </w:r>
      <w:r w:rsidRPr="009E30D1">
        <w:rPr>
          <w:rFonts w:ascii="Adobe Caslon Pro" w:hAnsi="Adobe Caslon Pro" w:cs="Arial"/>
          <w:lang w:val="es-ES_tradnl"/>
        </w:rPr>
        <w:t xml:space="preserve"> </w:t>
      </w:r>
      <w:r w:rsidR="005410D8" w:rsidRPr="009E30D1">
        <w:rPr>
          <w:rFonts w:ascii="Adobe Caslon Pro" w:hAnsi="Adobe Caslon Pro" w:cs="Arial"/>
          <w:lang w:val="es-ES_tradnl"/>
        </w:rPr>
        <w:t xml:space="preserve">violentas de dominación </w:t>
      </w:r>
      <w:r w:rsidRPr="009E30D1">
        <w:rPr>
          <w:rFonts w:ascii="Adobe Caslon Pro" w:hAnsi="Adobe Caslon Pro" w:cs="Arial"/>
          <w:lang w:val="es-ES_tradnl"/>
        </w:rPr>
        <w:t xml:space="preserve">que a su vez </w:t>
      </w:r>
      <w:r w:rsidR="005410D8" w:rsidRPr="009E30D1">
        <w:rPr>
          <w:rFonts w:ascii="Adobe Caslon Pro" w:hAnsi="Adobe Caslon Pro" w:cs="Arial"/>
          <w:lang w:val="es-ES_tradnl"/>
        </w:rPr>
        <w:t>son</w:t>
      </w:r>
      <w:r w:rsidRPr="009E30D1">
        <w:rPr>
          <w:rFonts w:ascii="Adobe Caslon Pro" w:hAnsi="Adobe Caslon Pro" w:cs="Arial"/>
          <w:lang w:val="es-ES_tradnl"/>
        </w:rPr>
        <w:t xml:space="preserve"> reflejo de la cultura patriarcal. Desde la infancia, las personas se integran a una cultura de discriminación y violencia por lo que ambas actitudes se adoptan</w:t>
      </w:r>
      <w:r w:rsidR="005410D8" w:rsidRPr="009E30D1">
        <w:rPr>
          <w:rFonts w:ascii="Adobe Caslon Pro" w:hAnsi="Adobe Caslon Pro" w:cs="Arial"/>
          <w:lang w:val="es-ES_tradnl"/>
        </w:rPr>
        <w:t xml:space="preserve"> y refuerzan mutuamente</w:t>
      </w:r>
      <w:r w:rsidRPr="009E30D1">
        <w:rPr>
          <w:rFonts w:ascii="Adobe Caslon Pro" w:hAnsi="Adobe Caslon Pro" w:cs="Arial"/>
          <w:lang w:val="es-ES_tradnl"/>
        </w:rPr>
        <w:t xml:space="preserve">. De acuerdo al Informe Nacional sobre </w:t>
      </w:r>
      <w:r w:rsidRPr="009E30D1">
        <w:rPr>
          <w:rFonts w:ascii="Adobe Caslon Pro" w:hAnsi="Adobe Caslon Pro" w:cs="Arial"/>
          <w:color w:val="000000" w:themeColor="text1"/>
        </w:rPr>
        <w:t>Violencia de Género en la Educación Básica realizado por la SEP y UNICEF (2010), los estereotipos de roles se comienzan a formar en la infancia, resultando lo siguiente:</w:t>
      </w:r>
    </w:p>
    <w:p w:rsidR="003012EB" w:rsidRPr="009E30D1" w:rsidRDefault="003012EB" w:rsidP="008A46E4">
      <w:pPr>
        <w:pStyle w:val="Prrafodelista"/>
        <w:numPr>
          <w:ilvl w:val="0"/>
          <w:numId w:val="51"/>
        </w:numPr>
        <w:spacing w:after="120" w:line="240" w:lineRule="auto"/>
        <w:ind w:right="-93"/>
        <w:jc w:val="both"/>
        <w:rPr>
          <w:rFonts w:ascii="Adobe Caslon Pro" w:hAnsi="Adobe Caslon Pro" w:cs="Arial"/>
          <w:color w:val="000000" w:themeColor="text1"/>
        </w:rPr>
      </w:pPr>
      <w:r w:rsidRPr="009E30D1">
        <w:rPr>
          <w:rFonts w:ascii="Adobe Caslon Pro" w:hAnsi="Adobe Caslon Pro" w:cs="Arial"/>
          <w:color w:val="000000" w:themeColor="text1"/>
        </w:rPr>
        <w:t xml:space="preserve">50.1% de los niños de primaria está de acuerdo con que “el hombre es el que manda y decide lo que le conviene a la familia”, frente a 31.7% de las niñas, que opina lo mismo. </w:t>
      </w:r>
    </w:p>
    <w:p w:rsidR="003012EB" w:rsidRPr="009E30D1" w:rsidRDefault="003012EB" w:rsidP="008A46E4">
      <w:pPr>
        <w:pStyle w:val="Prrafodelista"/>
        <w:numPr>
          <w:ilvl w:val="0"/>
          <w:numId w:val="51"/>
        </w:numPr>
        <w:spacing w:after="120" w:line="240" w:lineRule="auto"/>
        <w:ind w:right="-93"/>
        <w:jc w:val="both"/>
        <w:rPr>
          <w:rFonts w:ascii="Adobe Caslon Pro" w:hAnsi="Adobe Caslon Pro" w:cs="Arial"/>
          <w:color w:val="000000" w:themeColor="text1"/>
        </w:rPr>
      </w:pPr>
      <w:r w:rsidRPr="009E30D1">
        <w:rPr>
          <w:rFonts w:ascii="Adobe Caslon Pro" w:hAnsi="Adobe Caslon Pro" w:cs="Arial"/>
          <w:color w:val="000000" w:themeColor="text1"/>
        </w:rPr>
        <w:t xml:space="preserve">79.2% de las niñas y los niños está de acuerdo con que “el hombre es el que debe tener la mayor responsabilidad para traer el dinero al hogar”, y que las niñas deben aprender a cuidar a sus hermanitas y hermanitos, así como hacer la limpieza. </w:t>
      </w:r>
    </w:p>
    <w:p w:rsidR="003012EB" w:rsidRPr="009E30D1" w:rsidRDefault="003012EB" w:rsidP="008A46E4">
      <w:pPr>
        <w:pStyle w:val="Prrafodelista"/>
        <w:numPr>
          <w:ilvl w:val="0"/>
          <w:numId w:val="51"/>
        </w:numPr>
        <w:spacing w:after="120" w:line="240" w:lineRule="auto"/>
        <w:ind w:right="-93"/>
        <w:jc w:val="both"/>
        <w:rPr>
          <w:rFonts w:ascii="Adobe Caslon Pro" w:hAnsi="Adobe Caslon Pro" w:cs="Arial"/>
          <w:color w:val="000000" w:themeColor="text1"/>
        </w:rPr>
      </w:pPr>
      <w:r w:rsidRPr="009E30D1">
        <w:rPr>
          <w:rFonts w:ascii="Adobe Caslon Pro" w:hAnsi="Adobe Caslon Pro" w:cs="Arial"/>
          <w:color w:val="000000" w:themeColor="text1"/>
        </w:rPr>
        <w:t>60.3% de los hombres y 54.8% de las mujeres de nivel secundaria está de acuerdo en que “la mujer es la que tiene que cuidarse para no quedar embarazada”.</w:t>
      </w:r>
    </w:p>
    <w:p w:rsidR="005410D8" w:rsidRPr="009E30D1" w:rsidRDefault="005410D8" w:rsidP="00B85C0B">
      <w:pPr>
        <w:spacing w:after="120" w:line="240" w:lineRule="auto"/>
        <w:ind w:right="-93"/>
        <w:jc w:val="both"/>
        <w:rPr>
          <w:rFonts w:ascii="Adobe Caslon Pro" w:hAnsi="Adobe Caslon Pro" w:cs="Arial"/>
          <w:color w:val="000000" w:themeColor="text1"/>
        </w:rPr>
      </w:pPr>
      <w:r w:rsidRPr="009E30D1">
        <w:rPr>
          <w:rFonts w:ascii="Adobe Caslon Pro" w:hAnsi="Adobe Caslon Pro" w:cs="Arial"/>
          <w:color w:val="000000" w:themeColor="text1"/>
        </w:rPr>
        <w:t xml:space="preserve">Al formar parte de las dinámicas de relación </w:t>
      </w:r>
      <w:r w:rsidR="0054417A" w:rsidRPr="009E30D1">
        <w:rPr>
          <w:rFonts w:ascii="Adobe Caslon Pro" w:hAnsi="Adobe Caslon Pro" w:cs="Arial"/>
          <w:color w:val="000000" w:themeColor="text1"/>
        </w:rPr>
        <w:t>inter</w:t>
      </w:r>
      <w:r w:rsidRPr="009E30D1">
        <w:rPr>
          <w:rFonts w:ascii="Adobe Caslon Pro" w:hAnsi="Adobe Caslon Pro" w:cs="Arial"/>
          <w:color w:val="000000" w:themeColor="text1"/>
        </w:rPr>
        <w:t xml:space="preserve">personal, inicialmente en la familia y en otros ámbitos posteriormente, </w:t>
      </w:r>
      <w:r w:rsidR="00AC21FE" w:rsidRPr="009E30D1">
        <w:rPr>
          <w:rFonts w:ascii="Adobe Caslon Pro" w:hAnsi="Adobe Caslon Pro" w:cs="Arial"/>
          <w:color w:val="000000" w:themeColor="text1"/>
        </w:rPr>
        <w:t xml:space="preserve">la </w:t>
      </w:r>
      <w:r w:rsidR="00C97B20" w:rsidRPr="009E30D1">
        <w:rPr>
          <w:rFonts w:ascii="Adobe Caslon Pro" w:hAnsi="Adobe Caslon Pro" w:cs="Arial"/>
          <w:color w:val="000000" w:themeColor="text1"/>
        </w:rPr>
        <w:t>introyec</w:t>
      </w:r>
      <w:r w:rsidR="00AC21FE" w:rsidRPr="009E30D1">
        <w:rPr>
          <w:rFonts w:ascii="Adobe Caslon Pro" w:hAnsi="Adobe Caslon Pro" w:cs="Arial"/>
          <w:color w:val="000000" w:themeColor="text1"/>
        </w:rPr>
        <w:t xml:space="preserve">ción de </w:t>
      </w:r>
      <w:r w:rsidRPr="009E30D1">
        <w:rPr>
          <w:rFonts w:ascii="Adobe Caslon Pro" w:hAnsi="Adobe Caslon Pro" w:cs="Arial"/>
          <w:color w:val="000000" w:themeColor="text1"/>
        </w:rPr>
        <w:t>práctica</w:t>
      </w:r>
      <w:r w:rsidR="0054417A" w:rsidRPr="009E30D1">
        <w:rPr>
          <w:rFonts w:ascii="Adobe Caslon Pro" w:hAnsi="Adobe Caslon Pro" w:cs="Arial"/>
          <w:color w:val="000000" w:themeColor="text1"/>
        </w:rPr>
        <w:t>s</w:t>
      </w:r>
      <w:r w:rsidRPr="009E30D1">
        <w:rPr>
          <w:rFonts w:ascii="Adobe Caslon Pro" w:hAnsi="Adobe Caslon Pro" w:cs="Arial"/>
          <w:color w:val="000000" w:themeColor="text1"/>
        </w:rPr>
        <w:t xml:space="preserve"> de dominación en las que se juega el control y el poder como objetivo social</w:t>
      </w:r>
      <w:r w:rsidR="0054417A" w:rsidRPr="009E30D1">
        <w:rPr>
          <w:rFonts w:ascii="Adobe Caslon Pro" w:hAnsi="Adobe Caslon Pro" w:cs="Arial"/>
          <w:color w:val="000000" w:themeColor="text1"/>
        </w:rPr>
        <w:t xml:space="preserve"> supone que las personas van asumiendo como naturales e incluso </w:t>
      </w:r>
      <w:proofErr w:type="spellStart"/>
      <w:r w:rsidR="0054417A" w:rsidRPr="009E30D1">
        <w:rPr>
          <w:rFonts w:ascii="Adobe Caslon Pro" w:hAnsi="Adobe Caslon Pro" w:cs="Arial"/>
          <w:color w:val="000000" w:themeColor="text1"/>
        </w:rPr>
        <w:t>aspiracionales</w:t>
      </w:r>
      <w:proofErr w:type="spellEnd"/>
      <w:r w:rsidR="0054417A" w:rsidRPr="009E30D1">
        <w:rPr>
          <w:rFonts w:ascii="Adobe Caslon Pro" w:hAnsi="Adobe Caslon Pro" w:cs="Arial"/>
          <w:color w:val="000000" w:themeColor="text1"/>
        </w:rPr>
        <w:t xml:space="preserve"> las actitudes y habilidades para destacar e imponer la visión o intereses propios, todo ello abona a reforzar los estereotipos que sobrevaloran lo </w:t>
      </w:r>
      <w:r w:rsidR="0054417A" w:rsidRPr="009E30D1">
        <w:rPr>
          <w:rFonts w:ascii="Adobe Caslon Pro" w:hAnsi="Adobe Caslon Pro" w:cs="Arial"/>
          <w:i/>
          <w:color w:val="000000" w:themeColor="text1"/>
        </w:rPr>
        <w:t>masculino-dominante</w:t>
      </w:r>
      <w:r w:rsidR="0054417A" w:rsidRPr="009E30D1">
        <w:rPr>
          <w:rFonts w:ascii="Adobe Caslon Pro" w:hAnsi="Adobe Caslon Pro" w:cs="Arial"/>
          <w:color w:val="000000" w:themeColor="text1"/>
        </w:rPr>
        <w:t>, es decir, la lógica patriarcal</w:t>
      </w:r>
      <w:r w:rsidR="00C97B20" w:rsidRPr="009E30D1">
        <w:rPr>
          <w:rFonts w:ascii="Adobe Caslon Pro" w:hAnsi="Adobe Caslon Pro" w:cs="Arial"/>
          <w:color w:val="000000" w:themeColor="text1"/>
        </w:rPr>
        <w:t xml:space="preserve"> y </w:t>
      </w:r>
      <w:r w:rsidR="002A07B6" w:rsidRPr="009E30D1">
        <w:rPr>
          <w:rFonts w:ascii="Adobe Caslon Pro" w:hAnsi="Adobe Caslon Pro" w:cs="Arial"/>
          <w:color w:val="000000" w:themeColor="text1"/>
        </w:rPr>
        <w:t xml:space="preserve">se </w:t>
      </w:r>
      <w:r w:rsidR="00C97B20" w:rsidRPr="009E30D1">
        <w:rPr>
          <w:rFonts w:ascii="Adobe Caslon Pro" w:hAnsi="Adobe Caslon Pro" w:cs="Arial"/>
          <w:color w:val="000000" w:themeColor="text1"/>
        </w:rPr>
        <w:t>indilga la debilidad, la inferioridad, lo emocional y lo menospreciable a lo femenino.</w:t>
      </w:r>
    </w:p>
    <w:p w:rsidR="003012EB" w:rsidRPr="009E30D1" w:rsidRDefault="003012EB" w:rsidP="00B85C0B">
      <w:pPr>
        <w:spacing w:after="120" w:line="240" w:lineRule="auto"/>
        <w:ind w:right="-93"/>
        <w:jc w:val="both"/>
        <w:rPr>
          <w:rFonts w:ascii="Adobe Caslon Pro" w:hAnsi="Adobe Caslon Pro" w:cs="Arial"/>
          <w:lang w:val="es-ES"/>
        </w:rPr>
      </w:pPr>
      <w:r w:rsidRPr="009E30D1">
        <w:rPr>
          <w:rFonts w:ascii="Adobe Caslon Pro" w:hAnsi="Adobe Caslon Pro" w:cs="Arial"/>
          <w:color w:val="000000" w:themeColor="text1"/>
        </w:rPr>
        <w:t xml:space="preserve">En el sector educativo, las prácticas de violencia se </w:t>
      </w:r>
      <w:r w:rsidR="0054417A" w:rsidRPr="009E30D1">
        <w:rPr>
          <w:rFonts w:ascii="Adobe Caslon Pro" w:hAnsi="Adobe Caslon Pro" w:cs="Arial"/>
          <w:color w:val="000000" w:themeColor="text1"/>
        </w:rPr>
        <w:t xml:space="preserve">refuerzan, </w:t>
      </w:r>
      <w:r w:rsidRPr="009E30D1">
        <w:rPr>
          <w:rFonts w:ascii="Adobe Caslon Pro" w:hAnsi="Adobe Caslon Pro" w:cs="Arial"/>
          <w:color w:val="000000" w:themeColor="text1"/>
        </w:rPr>
        <w:t xml:space="preserve">reproducen, amplían, aprenden y transmiten por lo que existe una elevada probabilidad de que una persona que haya sufrido violencia </w:t>
      </w:r>
      <w:r w:rsidR="00C97B20" w:rsidRPr="009E30D1">
        <w:rPr>
          <w:rFonts w:ascii="Adobe Caslon Pro" w:hAnsi="Adobe Caslon Pro" w:cs="Arial"/>
          <w:color w:val="000000" w:themeColor="text1"/>
        </w:rPr>
        <w:t>reproduzca las agresiones</w:t>
      </w:r>
      <w:r w:rsidRPr="009E30D1">
        <w:rPr>
          <w:rFonts w:ascii="Adobe Caslon Pro" w:hAnsi="Adobe Caslon Pro" w:cs="Arial"/>
          <w:color w:val="000000" w:themeColor="text1"/>
        </w:rPr>
        <w:t xml:space="preserve">. En este sentido, México se encuentra entre los siete países de América Latina con mayores porcentajes de </w:t>
      </w:r>
      <w:proofErr w:type="spellStart"/>
      <w:r w:rsidRPr="009E30D1">
        <w:rPr>
          <w:rFonts w:ascii="Adobe Caslon Pro" w:hAnsi="Adobe Caslon Pro" w:cs="Arial"/>
          <w:color w:val="000000" w:themeColor="text1"/>
        </w:rPr>
        <w:t>bullying</w:t>
      </w:r>
      <w:proofErr w:type="spellEnd"/>
      <w:r w:rsidRPr="009E30D1">
        <w:rPr>
          <w:rFonts w:ascii="Adobe Caslon Pro" w:hAnsi="Adobe Caslon Pro" w:cs="Arial"/>
          <w:color w:val="000000" w:themeColor="text1"/>
        </w:rPr>
        <w:t xml:space="preserve"> en las escuelas secundarias. La prevalencia de acoso, riñas y agresiones asciende al 47% entre escolares de primaria y secundaria. Más del 30% de los agresores son varones, de </w:t>
      </w:r>
      <w:r w:rsidRPr="009E30D1">
        <w:rPr>
          <w:rFonts w:ascii="Adobe Caslon Pro" w:hAnsi="Adobe Caslon Pro" w:cs="Arial"/>
        </w:rPr>
        <w:t xml:space="preserve">suerte que las agresiones físicas entre compañeros escolares alcanzaron a 33 de cada cien niños y 30 de cada cien niñas en primarias. Más aún, el 41.7% de las niñas señalaron haber sido maltratadas y humilladas por sus compañeros y el 6.8% por sus propios maestros o maestras </w:t>
      </w:r>
      <w:r w:rsidRPr="009E30D1">
        <w:rPr>
          <w:rFonts w:ascii="Adobe Caslon Pro" w:hAnsi="Adobe Caslon Pro" w:cs="Arial"/>
          <w:color w:val="000000" w:themeColor="text1"/>
        </w:rPr>
        <w:t xml:space="preserve">(PIPASEVM, 2014). Adicionalmente, la ENJ (2005) reveló que el 49.1% de los jóvenes acudió a escuelas donde había violencia entre compañeros </w:t>
      </w:r>
      <w:r w:rsidR="00ED5711" w:rsidRPr="009E30D1">
        <w:rPr>
          <w:rFonts w:ascii="Adobe Caslon Pro" w:hAnsi="Adobe Caslon Pro" w:cs="Arial"/>
          <w:color w:val="000000" w:themeColor="text1"/>
        </w:rPr>
        <w:t>y compañeras escolares; en 23.6</w:t>
      </w:r>
      <w:r w:rsidRPr="009E30D1">
        <w:rPr>
          <w:rFonts w:ascii="Adobe Caslon Pro" w:hAnsi="Adobe Caslon Pro" w:cs="Arial"/>
          <w:color w:val="000000" w:themeColor="text1"/>
        </w:rPr>
        <w:t>% de las escuelas había violencia entre maestros y alumnos y en 26.9% agresiones de alumnos hacia docentes.</w:t>
      </w:r>
    </w:p>
    <w:p w:rsidR="003012EB" w:rsidRPr="009E30D1" w:rsidRDefault="003012EB" w:rsidP="00B85C0B">
      <w:pPr>
        <w:spacing w:after="120" w:line="240" w:lineRule="auto"/>
        <w:jc w:val="both"/>
        <w:rPr>
          <w:rFonts w:ascii="Adobe Caslon Pro" w:hAnsi="Adobe Caslon Pro"/>
          <w:lang w:val="es-ES"/>
        </w:rPr>
      </w:pPr>
      <w:r w:rsidRPr="009E30D1">
        <w:rPr>
          <w:rFonts w:ascii="Adobe Caslon Pro" w:hAnsi="Adobe Caslon Pro"/>
          <w:lang w:val="es-ES"/>
        </w:rPr>
        <w:lastRenderedPageBreak/>
        <w:t xml:space="preserve">En este mismo sentido, la discriminación y la violencia no se limitan al ámbito laboral o escolar sino que se presenta en el ámbito de lo familiar o de las relaciones cercanas, como la violencia de pareja y esta es la violencia que más afecta (PIPASEVM, 2014). De acuerdo con los datos de la ENDIREH 2011, entre las mujeres de 15 años y más que en el último año han sufrido violencia por parte de su pareja, existen las siguientes creencias: </w:t>
      </w:r>
    </w:p>
    <w:p w:rsidR="003012EB" w:rsidRPr="009E30D1" w:rsidRDefault="003012EB" w:rsidP="0082753F">
      <w:pPr>
        <w:numPr>
          <w:ilvl w:val="0"/>
          <w:numId w:val="3"/>
        </w:numPr>
        <w:spacing w:after="120" w:line="240" w:lineRule="auto"/>
        <w:ind w:left="714" w:hanging="357"/>
        <w:jc w:val="both"/>
        <w:rPr>
          <w:rFonts w:ascii="Adobe Caslon Pro" w:hAnsi="Adobe Caslon Pro"/>
          <w:lang w:val="es-ES"/>
        </w:rPr>
      </w:pPr>
      <w:r w:rsidRPr="009E30D1">
        <w:rPr>
          <w:rFonts w:ascii="Adobe Caslon Pro" w:hAnsi="Adobe Caslon Pro"/>
          <w:lang w:val="es-ES"/>
        </w:rPr>
        <w:t>17.7% está de acuerdo en que “una esposa debe obedecer a su esposo o pareja en todo lo que él ordene”.</w:t>
      </w:r>
    </w:p>
    <w:p w:rsidR="003012EB" w:rsidRPr="009E30D1" w:rsidRDefault="003012EB" w:rsidP="0082753F">
      <w:pPr>
        <w:numPr>
          <w:ilvl w:val="0"/>
          <w:numId w:val="3"/>
        </w:numPr>
        <w:spacing w:after="120" w:line="240" w:lineRule="auto"/>
        <w:ind w:left="714" w:hanging="357"/>
        <w:jc w:val="both"/>
        <w:rPr>
          <w:rFonts w:ascii="Adobe Caslon Pro" w:hAnsi="Adobe Caslon Pro"/>
          <w:lang w:val="es-ES"/>
        </w:rPr>
      </w:pPr>
      <w:r w:rsidRPr="009E30D1">
        <w:rPr>
          <w:rFonts w:ascii="Adobe Caslon Pro" w:hAnsi="Adobe Caslon Pro"/>
          <w:lang w:val="es-ES"/>
        </w:rPr>
        <w:t>15.4% cree que “es obligación de la mujer tener relaciones sexuales con su esposo o pareja”.</w:t>
      </w:r>
    </w:p>
    <w:p w:rsidR="003012EB" w:rsidRPr="009E30D1" w:rsidRDefault="003012EB" w:rsidP="0082753F">
      <w:pPr>
        <w:numPr>
          <w:ilvl w:val="0"/>
          <w:numId w:val="3"/>
        </w:numPr>
        <w:spacing w:after="120" w:line="240" w:lineRule="auto"/>
        <w:ind w:left="714" w:hanging="357"/>
        <w:jc w:val="both"/>
        <w:rPr>
          <w:rFonts w:ascii="Adobe Caslon Pro" w:hAnsi="Adobe Caslon Pro"/>
          <w:lang w:val="es-ES"/>
        </w:rPr>
      </w:pPr>
      <w:r w:rsidRPr="009E30D1">
        <w:rPr>
          <w:rFonts w:ascii="Adobe Caslon Pro" w:hAnsi="Adobe Caslon Pro"/>
          <w:lang w:val="es-ES"/>
        </w:rPr>
        <w:t xml:space="preserve">29.3% considera que “si hay golpes o maltratos en la casa es un asunto de familia y ahí debe quedar”. </w:t>
      </w:r>
    </w:p>
    <w:p w:rsidR="003012EB" w:rsidRPr="009E30D1" w:rsidRDefault="003012EB" w:rsidP="00B85C0B">
      <w:pPr>
        <w:spacing w:after="120" w:line="240" w:lineRule="auto"/>
        <w:jc w:val="both"/>
        <w:rPr>
          <w:rFonts w:ascii="Adobe Caslon Pro" w:hAnsi="Adobe Caslon Pro" w:cs="Arial"/>
          <w:spacing w:val="-4"/>
          <w:lang w:val="es-ES"/>
        </w:rPr>
      </w:pPr>
      <w:r w:rsidRPr="009E30D1">
        <w:rPr>
          <w:rFonts w:ascii="Adobe Caslon Pro" w:hAnsi="Adobe Caslon Pro" w:cs="Arial"/>
          <w:bCs/>
          <w:iCs/>
          <w:lang w:val="es-ES"/>
        </w:rPr>
        <w:t xml:space="preserve">De acuerdo con la ENVIPE 2012, 91.6% de las víctimas de delitos en el país no presenta una denuncia, las principales causas son porque no confían en las instituciones, por la corrupción o porque lo consideran una pérdida de tiempo. En 1999 las denuncias por violencia familiar eran prácticamente inexistentes lo que provocó una </w:t>
      </w:r>
      <w:proofErr w:type="spellStart"/>
      <w:r w:rsidRPr="009E30D1">
        <w:rPr>
          <w:rFonts w:ascii="Adobe Caslon Pro" w:hAnsi="Adobe Caslon Pro" w:cs="Arial"/>
          <w:b/>
          <w:bCs/>
          <w:iCs/>
          <w:lang w:val="es-ES"/>
        </w:rPr>
        <w:t>invisilibización</w:t>
      </w:r>
      <w:proofErr w:type="spellEnd"/>
      <w:r w:rsidRPr="009E30D1">
        <w:rPr>
          <w:rFonts w:ascii="Adobe Caslon Pro" w:hAnsi="Adobe Caslon Pro" w:cs="Arial"/>
          <w:b/>
          <w:bCs/>
          <w:iCs/>
          <w:lang w:val="es-ES"/>
        </w:rPr>
        <w:t xml:space="preserve"> de la violencia contra las mujeres en la agenda pública</w:t>
      </w:r>
      <w:r w:rsidRPr="009E30D1">
        <w:rPr>
          <w:rFonts w:ascii="Adobe Caslon Pro" w:hAnsi="Adobe Caslon Pro" w:cs="Arial"/>
          <w:bCs/>
          <w:iCs/>
          <w:lang w:val="es-ES"/>
        </w:rPr>
        <w:t>, pero a partir de la aprobación de la LGAMVLV, las denuncias han presentado un repunte, hasta alcanzar en el año 2012 más de 50 veces el número de denuncias que se realizaron en 1999</w:t>
      </w:r>
      <w:r w:rsidR="0028589A" w:rsidRPr="009E30D1">
        <w:rPr>
          <w:rFonts w:ascii="Adobe Caslon Pro" w:hAnsi="Adobe Caslon Pro" w:cs="Arial"/>
          <w:bCs/>
          <w:iCs/>
          <w:lang w:val="es-ES"/>
        </w:rPr>
        <w:t xml:space="preserve">. </w:t>
      </w:r>
      <w:r w:rsidRPr="009E30D1">
        <w:rPr>
          <w:rFonts w:ascii="Adobe Caslon Pro" w:hAnsi="Adobe Caslon Pro" w:cs="Arial"/>
          <w:bCs/>
          <w:iCs/>
          <w:lang w:val="es-ES"/>
        </w:rPr>
        <w:t xml:space="preserve">Asimismo, </w:t>
      </w:r>
      <w:r w:rsidRPr="009E30D1">
        <w:rPr>
          <w:rFonts w:ascii="Adobe Caslon Pro" w:hAnsi="Adobe Caslon Pro" w:cs="Arial"/>
          <w:iCs/>
          <w:lang w:val="es-ES"/>
        </w:rPr>
        <w:t xml:space="preserve">en promedio 90% de las denuncias por violencia familiar en dicho período fueron presentadas contra hombres. </w:t>
      </w:r>
      <w:r w:rsidRPr="009E30D1">
        <w:rPr>
          <w:rFonts w:ascii="Adobe Caslon Pro" w:hAnsi="Adobe Caslon Pro" w:cs="Arial"/>
          <w:spacing w:val="-4"/>
          <w:lang w:val="es-ES"/>
        </w:rPr>
        <w:t>Estas situaciones de discriminación y violencia tan marcadas en distintos ámbitos han sido reforzados de forma histórica por tradiciones, costumbres y valores religiosos (ONU, 2006).</w:t>
      </w:r>
    </w:p>
    <w:p w:rsidR="003012EB" w:rsidRPr="009E30D1" w:rsidRDefault="0028589A" w:rsidP="004B266F">
      <w:pPr>
        <w:jc w:val="center"/>
        <w:rPr>
          <w:rFonts w:ascii="Adobe Caslon Pro" w:hAnsi="Adobe Caslon Pro" w:cs="Arial"/>
          <w:b/>
          <w:color w:val="000000"/>
          <w:lang w:val="es-ES"/>
        </w:rPr>
      </w:pPr>
      <w:r w:rsidRPr="009E30D1">
        <w:rPr>
          <w:rFonts w:ascii="Adobe Caslon Pro" w:hAnsi="Adobe Caslon Pro" w:cs="Arial"/>
          <w:b/>
          <w:bCs/>
          <w:color w:val="000000"/>
          <w:lang w:val="es-ES"/>
        </w:rPr>
        <w:t>Cuadro 6</w:t>
      </w:r>
      <w:r w:rsidR="003012EB" w:rsidRPr="009E30D1">
        <w:rPr>
          <w:rFonts w:ascii="Adobe Caslon Pro" w:hAnsi="Adobe Caslon Pro" w:cs="Arial"/>
          <w:b/>
          <w:bCs/>
          <w:color w:val="000000"/>
          <w:lang w:val="es-ES"/>
        </w:rPr>
        <w:t>. Presuntos delincuentes de violencia familiar (1999 a 2012)</w:t>
      </w:r>
    </w:p>
    <w:tbl>
      <w:tblPr>
        <w:tblW w:w="0" w:type="auto"/>
        <w:jc w:val="center"/>
        <w:tblInd w:w="70" w:type="dxa"/>
        <w:tblLayout w:type="fixed"/>
        <w:tblCellMar>
          <w:left w:w="70" w:type="dxa"/>
          <w:right w:w="70" w:type="dxa"/>
        </w:tblCellMar>
        <w:tblLook w:val="0000" w:firstRow="0" w:lastRow="0" w:firstColumn="0" w:lastColumn="0" w:noHBand="0" w:noVBand="0"/>
      </w:tblPr>
      <w:tblGrid>
        <w:gridCol w:w="696"/>
        <w:gridCol w:w="752"/>
        <w:gridCol w:w="2319"/>
        <w:gridCol w:w="2254"/>
      </w:tblGrid>
      <w:tr w:rsidR="003012EB" w:rsidRPr="009E30D1" w:rsidTr="00FC430B">
        <w:trPr>
          <w:trHeight w:val="510"/>
          <w:tblHeader/>
          <w:jc w:val="center"/>
        </w:trPr>
        <w:tc>
          <w:tcPr>
            <w:tcW w:w="6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Año</w:t>
            </w:r>
          </w:p>
        </w:tc>
        <w:tc>
          <w:tcPr>
            <w:tcW w:w="752"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Total</w:t>
            </w:r>
          </w:p>
        </w:tc>
        <w:tc>
          <w:tcPr>
            <w:tcW w:w="2319"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Porcentaje de hombres</w:t>
            </w:r>
          </w:p>
        </w:tc>
        <w:tc>
          <w:tcPr>
            <w:tcW w:w="2254"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b/>
                <w:sz w:val="16"/>
                <w:szCs w:val="16"/>
              </w:rPr>
            </w:pPr>
            <w:r w:rsidRPr="009E30D1">
              <w:rPr>
                <w:rFonts w:ascii="Adobe Caslon Pro" w:hAnsi="Adobe Caslon Pro" w:cs="Arial"/>
                <w:b/>
                <w:color w:val="000000"/>
                <w:sz w:val="16"/>
                <w:szCs w:val="16"/>
                <w:lang w:val="es-ES"/>
              </w:rPr>
              <w:t>Porcentaje de mujeres</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1999</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121</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95.0</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5.0</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2000</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355</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90.7</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9.3</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2001</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742</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87.2</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12.8</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2002</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942</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87.4</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12.6</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2003</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1,237</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88.5</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11.5</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2004</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1,799</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91.3</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8.7</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2005</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2,148</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91.3</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8.7</w:t>
            </w:r>
          </w:p>
        </w:tc>
      </w:tr>
      <w:tr w:rsidR="003012EB" w:rsidRPr="009E30D1" w:rsidTr="00FC430B">
        <w:trPr>
          <w:trHeight w:val="300"/>
          <w:jc w:val="center"/>
        </w:trPr>
        <w:tc>
          <w:tcPr>
            <w:tcW w:w="696" w:type="dxa"/>
            <w:tcBorders>
              <w:left w:val="single" w:sz="4" w:space="0" w:color="000000"/>
              <w:bottom w:val="single" w:sz="12"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2006</w:t>
            </w:r>
          </w:p>
        </w:tc>
        <w:tc>
          <w:tcPr>
            <w:tcW w:w="752" w:type="dxa"/>
            <w:tcBorders>
              <w:left w:val="single" w:sz="4" w:space="0" w:color="000000"/>
              <w:bottom w:val="single" w:sz="12"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2,439</w:t>
            </w:r>
          </w:p>
        </w:tc>
        <w:tc>
          <w:tcPr>
            <w:tcW w:w="2319" w:type="dxa"/>
            <w:tcBorders>
              <w:bottom w:val="single" w:sz="12"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90.7</w:t>
            </w:r>
          </w:p>
        </w:tc>
        <w:tc>
          <w:tcPr>
            <w:tcW w:w="2254" w:type="dxa"/>
            <w:tcBorders>
              <w:bottom w:val="single" w:sz="12"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9.3</w:t>
            </w:r>
          </w:p>
        </w:tc>
      </w:tr>
      <w:tr w:rsidR="003012EB" w:rsidRPr="009E30D1" w:rsidTr="00FC430B">
        <w:trPr>
          <w:trHeight w:val="300"/>
          <w:jc w:val="center"/>
        </w:trPr>
        <w:tc>
          <w:tcPr>
            <w:tcW w:w="696" w:type="dxa"/>
            <w:tcBorders>
              <w:top w:val="single" w:sz="12" w:space="0" w:color="000000"/>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2007</w:t>
            </w:r>
          </w:p>
        </w:tc>
        <w:tc>
          <w:tcPr>
            <w:tcW w:w="752" w:type="dxa"/>
            <w:tcBorders>
              <w:top w:val="single" w:sz="12" w:space="0" w:color="000000"/>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3,004</w:t>
            </w:r>
          </w:p>
        </w:tc>
        <w:tc>
          <w:tcPr>
            <w:tcW w:w="2319" w:type="dxa"/>
            <w:tcBorders>
              <w:top w:val="single" w:sz="12"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91.5</w:t>
            </w:r>
          </w:p>
        </w:tc>
        <w:tc>
          <w:tcPr>
            <w:tcW w:w="2254" w:type="dxa"/>
            <w:tcBorders>
              <w:top w:val="single" w:sz="12"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8.5</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2008</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3,246</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91.0</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9.0</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2009</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3,866</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90.2</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9.8</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2010</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3,801</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91.7</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8.3</w:t>
            </w:r>
          </w:p>
        </w:tc>
      </w:tr>
      <w:tr w:rsidR="003012EB" w:rsidRPr="009E30D1" w:rsidTr="00FC430B">
        <w:trPr>
          <w:trHeight w:val="300"/>
          <w:jc w:val="center"/>
        </w:trPr>
        <w:tc>
          <w:tcPr>
            <w:tcW w:w="696"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lastRenderedPageBreak/>
              <w:t>2011</w:t>
            </w:r>
          </w:p>
        </w:tc>
        <w:tc>
          <w:tcPr>
            <w:tcW w:w="75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5,426</w:t>
            </w:r>
          </w:p>
        </w:tc>
        <w:tc>
          <w:tcPr>
            <w:tcW w:w="231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92.3</w:t>
            </w:r>
          </w:p>
        </w:tc>
        <w:tc>
          <w:tcPr>
            <w:tcW w:w="2254"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7.7</w:t>
            </w:r>
          </w:p>
        </w:tc>
      </w:tr>
      <w:tr w:rsidR="003012EB" w:rsidRPr="009E30D1" w:rsidTr="00FC430B">
        <w:trPr>
          <w:trHeight w:val="300"/>
          <w:jc w:val="center"/>
        </w:trPr>
        <w:tc>
          <w:tcPr>
            <w:tcW w:w="696" w:type="dxa"/>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2012</w:t>
            </w:r>
          </w:p>
        </w:tc>
        <w:tc>
          <w:tcPr>
            <w:tcW w:w="752" w:type="dxa"/>
            <w:tcBorders>
              <w:left w:val="single" w:sz="4" w:space="0" w:color="000000"/>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6,166</w:t>
            </w:r>
          </w:p>
        </w:tc>
        <w:tc>
          <w:tcPr>
            <w:tcW w:w="2319"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92.5</w:t>
            </w:r>
          </w:p>
        </w:tc>
        <w:tc>
          <w:tcPr>
            <w:tcW w:w="2254"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7.5</w:t>
            </w:r>
          </w:p>
        </w:tc>
      </w:tr>
    </w:tbl>
    <w:p w:rsidR="003012EB" w:rsidRPr="009E30D1" w:rsidRDefault="003012EB" w:rsidP="00975006">
      <w:pPr>
        <w:pStyle w:val="Prrafodelista"/>
        <w:spacing w:after="120" w:line="240" w:lineRule="auto"/>
        <w:ind w:right="1043"/>
        <w:rPr>
          <w:rFonts w:ascii="Adobe Caslon Pro" w:hAnsi="Adobe Caslon Pro" w:cs="Arial"/>
          <w:i/>
          <w:color w:val="000000"/>
          <w:sz w:val="18"/>
          <w:szCs w:val="18"/>
          <w:lang w:val="es-ES"/>
        </w:rPr>
      </w:pPr>
      <w:r w:rsidRPr="009E30D1">
        <w:rPr>
          <w:rFonts w:ascii="Adobe Caslon Pro" w:hAnsi="Adobe Caslon Pro" w:cs="Arial"/>
          <w:i/>
          <w:color w:val="000000"/>
          <w:sz w:val="18"/>
          <w:szCs w:val="18"/>
          <w:lang w:val="es-ES"/>
        </w:rPr>
        <w:t>Fuente: Elaboración propia con datos del INEGI, Estadísticas Judiciales en Materia Penal, 1999</w:t>
      </w:r>
      <w:r w:rsidR="00975006" w:rsidRPr="009E30D1">
        <w:rPr>
          <w:rFonts w:ascii="Adobe Caslon Pro" w:hAnsi="Adobe Caslon Pro" w:cs="Arial"/>
          <w:i/>
          <w:color w:val="000000"/>
          <w:sz w:val="18"/>
          <w:szCs w:val="18"/>
          <w:lang w:val="es-ES"/>
        </w:rPr>
        <w:t>-2012.</w:t>
      </w:r>
    </w:p>
    <w:p w:rsidR="003012EB" w:rsidRPr="009E30D1" w:rsidRDefault="003012EB" w:rsidP="00975006">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En segundo lugar, en cuestión de derechos, existe </w:t>
      </w:r>
      <w:r w:rsidRPr="009E30D1">
        <w:rPr>
          <w:rFonts w:ascii="Adobe Caslon Pro" w:hAnsi="Adobe Caslon Pro" w:cs="Arial"/>
          <w:b/>
          <w:lang w:val="es-ES"/>
        </w:rPr>
        <w:t>poco conocimient</w:t>
      </w:r>
      <w:r w:rsidRPr="009E30D1">
        <w:rPr>
          <w:rFonts w:ascii="Adobe Caslon Pro" w:hAnsi="Adobe Caslon Pro" w:cs="Arial"/>
          <w:lang w:val="es-ES"/>
        </w:rPr>
        <w:t>o</w:t>
      </w:r>
      <w:r w:rsidRPr="009E30D1">
        <w:rPr>
          <w:rFonts w:ascii="Adobe Caslon Pro" w:hAnsi="Adobe Caslon Pro" w:cs="Arial"/>
          <w:b/>
          <w:lang w:val="es-ES"/>
        </w:rPr>
        <w:t xml:space="preserve"> de los derechos de las mujeres</w:t>
      </w:r>
      <w:r w:rsidRPr="009E30D1">
        <w:rPr>
          <w:rFonts w:ascii="Adobe Caslon Pro" w:hAnsi="Adobe Caslon Pro" w:cs="Arial"/>
          <w:lang w:val="es-ES"/>
        </w:rPr>
        <w:t xml:space="preserve"> por parte de la sociedad en general – y de las mujeres en particular-. En este sentido, resulta contradictorio que aunque el 95.9% de las mujeres considera que tanto hombres como mujeres deberían tener los mismos derechos y el 98.4% de las mujeres consideran que tienen el derecho a vivir una vida libre de violencia (ver cuadro 7), las cifras de denuncia en ante este tipo de situación son bajas y se debe principalmente a que no se </w:t>
      </w:r>
      <w:r w:rsidR="00636F5F" w:rsidRPr="009E30D1">
        <w:rPr>
          <w:rFonts w:ascii="Adobe Caslon Pro" w:hAnsi="Adobe Caslon Pro" w:cs="Arial"/>
          <w:lang w:val="es-ES"/>
        </w:rPr>
        <w:t xml:space="preserve">asume como una violación a los derechos humanos y en consecuencia como </w:t>
      </w:r>
      <w:r w:rsidR="00427E6D" w:rsidRPr="009E30D1">
        <w:rPr>
          <w:rFonts w:ascii="Adobe Caslon Pro" w:hAnsi="Adobe Caslon Pro" w:cs="Arial"/>
          <w:lang w:val="es-ES"/>
        </w:rPr>
        <w:t xml:space="preserve">un </w:t>
      </w:r>
      <w:r w:rsidR="00636F5F" w:rsidRPr="009E30D1">
        <w:rPr>
          <w:rFonts w:ascii="Adobe Caslon Pro" w:hAnsi="Adobe Caslon Pro" w:cs="Arial"/>
          <w:lang w:val="es-ES"/>
        </w:rPr>
        <w:t>delito</w:t>
      </w:r>
      <w:r w:rsidR="00975006" w:rsidRPr="009E30D1">
        <w:rPr>
          <w:rFonts w:ascii="Adobe Caslon Pro" w:hAnsi="Adobe Caslon Pro" w:cs="Arial"/>
          <w:lang w:val="es-ES"/>
        </w:rPr>
        <w:t xml:space="preserve">. </w:t>
      </w:r>
    </w:p>
    <w:p w:rsidR="003012EB" w:rsidRPr="009E30D1" w:rsidRDefault="003012EB" w:rsidP="00B85C0B">
      <w:pPr>
        <w:spacing w:after="120" w:line="240" w:lineRule="auto"/>
        <w:contextualSpacing/>
        <w:jc w:val="center"/>
        <w:rPr>
          <w:rFonts w:ascii="Adobe Caslon Pro" w:hAnsi="Adobe Caslon Pro" w:cs="Arial"/>
          <w:b/>
          <w:color w:val="000000"/>
          <w:lang w:val="es-ES"/>
        </w:rPr>
      </w:pPr>
      <w:r w:rsidRPr="009E30D1">
        <w:rPr>
          <w:rFonts w:ascii="Adobe Caslon Pro" w:hAnsi="Adobe Caslon Pro" w:cs="Arial"/>
          <w:b/>
          <w:lang w:val="es-ES"/>
        </w:rPr>
        <w:t>Cuadro 7. Conciencia de las mujeres sobre sus derechos</w:t>
      </w:r>
    </w:p>
    <w:tbl>
      <w:tblPr>
        <w:tblpPr w:leftFromText="141" w:rightFromText="141" w:vertAnchor="text" w:tblpXSpec="center" w:tblpY="1"/>
        <w:tblOverlap w:val="never"/>
        <w:tblW w:w="9391" w:type="dxa"/>
        <w:tblLayout w:type="fixed"/>
        <w:tblCellMar>
          <w:left w:w="70" w:type="dxa"/>
          <w:right w:w="70" w:type="dxa"/>
        </w:tblCellMar>
        <w:tblLook w:val="0000" w:firstRow="0" w:lastRow="0" w:firstColumn="0" w:lastColumn="0" w:noHBand="0" w:noVBand="0"/>
      </w:tblPr>
      <w:tblGrid>
        <w:gridCol w:w="3948"/>
        <w:gridCol w:w="1202"/>
        <w:gridCol w:w="1203"/>
        <w:gridCol w:w="986"/>
        <w:gridCol w:w="753"/>
        <w:gridCol w:w="1269"/>
        <w:gridCol w:w="30"/>
      </w:tblGrid>
      <w:tr w:rsidR="003012EB" w:rsidRPr="009E30D1" w:rsidTr="00FC430B">
        <w:trPr>
          <w:gridAfter w:val="1"/>
          <w:wAfter w:w="30" w:type="dxa"/>
          <w:trHeight w:val="482"/>
        </w:trPr>
        <w:tc>
          <w:tcPr>
            <w:tcW w:w="3948" w:type="dxa"/>
            <w:vMerge w:val="restart"/>
            <w:tcBorders>
              <w:top w:val="single" w:sz="4" w:space="0" w:color="000000"/>
              <w:left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Mujeres que están de acuerdo con que...</w:t>
            </w:r>
          </w:p>
        </w:tc>
        <w:tc>
          <w:tcPr>
            <w:tcW w:w="1202"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Casadas</w:t>
            </w:r>
          </w:p>
        </w:tc>
        <w:tc>
          <w:tcPr>
            <w:tcW w:w="1203"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Alguna vez unidas</w:t>
            </w:r>
          </w:p>
        </w:tc>
        <w:tc>
          <w:tcPr>
            <w:tcW w:w="986"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Solteras</w:t>
            </w:r>
          </w:p>
        </w:tc>
        <w:tc>
          <w:tcPr>
            <w:tcW w:w="753"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r w:rsidRPr="009E30D1">
              <w:rPr>
                <w:rFonts w:ascii="Adobe Caslon Pro" w:hAnsi="Adobe Caslon Pro" w:cs="Arial"/>
                <w:b/>
                <w:color w:val="000000"/>
                <w:sz w:val="16"/>
                <w:szCs w:val="16"/>
                <w:lang w:val="es-ES"/>
              </w:rPr>
              <w:t xml:space="preserve">Total </w:t>
            </w:r>
          </w:p>
        </w:tc>
        <w:tc>
          <w:tcPr>
            <w:tcW w:w="1269"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b/>
                <w:sz w:val="16"/>
                <w:szCs w:val="16"/>
              </w:rPr>
            </w:pPr>
            <w:r w:rsidRPr="009E30D1">
              <w:rPr>
                <w:rFonts w:ascii="Adobe Caslon Pro" w:hAnsi="Adobe Caslon Pro" w:cs="Arial"/>
                <w:b/>
                <w:color w:val="000000"/>
                <w:sz w:val="16"/>
                <w:szCs w:val="16"/>
                <w:lang w:val="es-ES"/>
              </w:rPr>
              <w:t xml:space="preserve">Porcentaje </w:t>
            </w:r>
          </w:p>
        </w:tc>
      </w:tr>
      <w:tr w:rsidR="003012EB" w:rsidRPr="009E30D1" w:rsidTr="00FC430B">
        <w:trPr>
          <w:trHeight w:val="340"/>
        </w:trPr>
        <w:tc>
          <w:tcPr>
            <w:tcW w:w="3948" w:type="dxa"/>
            <w:vMerge/>
            <w:tcBorders>
              <w:left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cs="Arial"/>
                <w:b/>
                <w:color w:val="000000"/>
                <w:sz w:val="16"/>
                <w:szCs w:val="16"/>
                <w:lang w:val="es-ES"/>
              </w:rPr>
            </w:pPr>
          </w:p>
        </w:tc>
        <w:tc>
          <w:tcPr>
            <w:tcW w:w="5443" w:type="dxa"/>
            <w:gridSpan w:val="6"/>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contextualSpacing/>
              <w:jc w:val="center"/>
              <w:rPr>
                <w:rFonts w:ascii="Adobe Caslon Pro" w:hAnsi="Adobe Caslon Pro"/>
                <w:b/>
                <w:sz w:val="16"/>
                <w:szCs w:val="16"/>
              </w:rPr>
            </w:pPr>
            <w:r w:rsidRPr="009E30D1">
              <w:rPr>
                <w:rFonts w:ascii="Adobe Caslon Pro" w:hAnsi="Adobe Caslon Pro" w:cs="Arial"/>
                <w:b/>
                <w:color w:val="000000"/>
                <w:sz w:val="16"/>
                <w:szCs w:val="16"/>
                <w:lang w:val="es-ES"/>
              </w:rPr>
              <w:t>(Millones de mujeres mayores de 15 años)</w:t>
            </w:r>
          </w:p>
        </w:tc>
      </w:tr>
      <w:tr w:rsidR="003012EB" w:rsidRPr="009E30D1" w:rsidTr="00FC430B">
        <w:trPr>
          <w:gridAfter w:val="1"/>
          <w:wAfter w:w="30" w:type="dxa"/>
          <w:trHeight w:val="284"/>
        </w:trPr>
        <w:tc>
          <w:tcPr>
            <w:tcW w:w="3948" w:type="dxa"/>
            <w:tcBorders>
              <w:left w:val="single" w:sz="4" w:space="0" w:color="000000"/>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both"/>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Total de Mujeres</w:t>
            </w:r>
          </w:p>
        </w:tc>
        <w:tc>
          <w:tcPr>
            <w:tcW w:w="1202"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25.0</w:t>
            </w:r>
          </w:p>
        </w:tc>
        <w:tc>
          <w:tcPr>
            <w:tcW w:w="1203"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7.3</w:t>
            </w:r>
          </w:p>
        </w:tc>
        <w:tc>
          <w:tcPr>
            <w:tcW w:w="986"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10.3</w:t>
            </w:r>
          </w:p>
        </w:tc>
        <w:tc>
          <w:tcPr>
            <w:tcW w:w="753"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42.6</w:t>
            </w:r>
          </w:p>
        </w:tc>
        <w:tc>
          <w:tcPr>
            <w:tcW w:w="1269"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lang w:val="es-ES"/>
              </w:rPr>
              <w:t> </w:t>
            </w:r>
          </w:p>
        </w:tc>
      </w:tr>
      <w:tr w:rsidR="003012EB" w:rsidRPr="009E30D1" w:rsidTr="00FC430B">
        <w:trPr>
          <w:gridAfter w:val="1"/>
          <w:wAfter w:w="30" w:type="dxa"/>
          <w:trHeight w:val="723"/>
        </w:trPr>
        <w:tc>
          <w:tcPr>
            <w:tcW w:w="3948"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both"/>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 las mujeres y los hombres tengan los mismos derechos para tomar sus decisiones</w:t>
            </w:r>
          </w:p>
        </w:tc>
        <w:tc>
          <w:tcPr>
            <w:tcW w:w="120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23.9</w:t>
            </w:r>
          </w:p>
        </w:tc>
        <w:tc>
          <w:tcPr>
            <w:tcW w:w="120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6.9</w:t>
            </w:r>
          </w:p>
        </w:tc>
        <w:tc>
          <w:tcPr>
            <w:tcW w:w="986"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10.1</w:t>
            </w:r>
          </w:p>
        </w:tc>
        <w:tc>
          <w:tcPr>
            <w:tcW w:w="75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
              </w:rPr>
              <w:t>40.9</w:t>
            </w:r>
          </w:p>
        </w:tc>
        <w:tc>
          <w:tcPr>
            <w:tcW w:w="126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rPr>
              <w:t>95.9</w:t>
            </w:r>
          </w:p>
        </w:tc>
      </w:tr>
      <w:tr w:rsidR="003012EB" w:rsidRPr="009E30D1" w:rsidTr="00FC430B">
        <w:trPr>
          <w:gridAfter w:val="1"/>
          <w:wAfter w:w="30" w:type="dxa"/>
          <w:trHeight w:val="482"/>
        </w:trPr>
        <w:tc>
          <w:tcPr>
            <w:tcW w:w="3948"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both"/>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 las mujeres y los hombres tengan la misma libertad</w:t>
            </w:r>
          </w:p>
        </w:tc>
        <w:tc>
          <w:tcPr>
            <w:tcW w:w="120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21.8</w:t>
            </w:r>
          </w:p>
        </w:tc>
        <w:tc>
          <w:tcPr>
            <w:tcW w:w="120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6.0</w:t>
            </w:r>
          </w:p>
        </w:tc>
        <w:tc>
          <w:tcPr>
            <w:tcW w:w="986"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9.8</w:t>
            </w:r>
          </w:p>
        </w:tc>
        <w:tc>
          <w:tcPr>
            <w:tcW w:w="75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
              </w:rPr>
              <w:t>37.6</w:t>
            </w:r>
          </w:p>
        </w:tc>
        <w:tc>
          <w:tcPr>
            <w:tcW w:w="126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rPr>
              <w:t>88.3</w:t>
            </w:r>
          </w:p>
        </w:tc>
      </w:tr>
      <w:tr w:rsidR="003012EB" w:rsidRPr="009E30D1" w:rsidTr="00FC430B">
        <w:trPr>
          <w:gridAfter w:val="1"/>
          <w:wAfter w:w="30" w:type="dxa"/>
          <w:trHeight w:val="723"/>
        </w:trPr>
        <w:tc>
          <w:tcPr>
            <w:tcW w:w="3948"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both"/>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 las mujeres tengan el derecho a defenderse y denunciar cualquier maltrato o agresión</w:t>
            </w:r>
          </w:p>
        </w:tc>
        <w:tc>
          <w:tcPr>
            <w:tcW w:w="120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24.7</w:t>
            </w:r>
          </w:p>
        </w:tc>
        <w:tc>
          <w:tcPr>
            <w:tcW w:w="120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7.2</w:t>
            </w:r>
          </w:p>
        </w:tc>
        <w:tc>
          <w:tcPr>
            <w:tcW w:w="986"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10.3</w:t>
            </w:r>
          </w:p>
        </w:tc>
        <w:tc>
          <w:tcPr>
            <w:tcW w:w="75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
              </w:rPr>
              <w:t>42.2</w:t>
            </w:r>
          </w:p>
        </w:tc>
        <w:tc>
          <w:tcPr>
            <w:tcW w:w="126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rPr>
              <w:t>99.0</w:t>
            </w:r>
          </w:p>
        </w:tc>
      </w:tr>
      <w:tr w:rsidR="003012EB" w:rsidRPr="009E30D1" w:rsidTr="00FC430B">
        <w:trPr>
          <w:gridAfter w:val="1"/>
          <w:wAfter w:w="30" w:type="dxa"/>
          <w:trHeight w:val="482"/>
        </w:trPr>
        <w:tc>
          <w:tcPr>
            <w:tcW w:w="3948"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both"/>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 las mujeres tengan la posibilidad de decidir sobre su propia vida</w:t>
            </w:r>
          </w:p>
        </w:tc>
        <w:tc>
          <w:tcPr>
            <w:tcW w:w="120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24.3</w:t>
            </w:r>
          </w:p>
        </w:tc>
        <w:tc>
          <w:tcPr>
            <w:tcW w:w="120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7.1</w:t>
            </w:r>
          </w:p>
        </w:tc>
        <w:tc>
          <w:tcPr>
            <w:tcW w:w="986"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10.2</w:t>
            </w:r>
          </w:p>
        </w:tc>
        <w:tc>
          <w:tcPr>
            <w:tcW w:w="75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
              </w:rPr>
              <w:t>41.7</w:t>
            </w:r>
          </w:p>
        </w:tc>
        <w:tc>
          <w:tcPr>
            <w:tcW w:w="126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rPr>
              <w:t>97.8</w:t>
            </w:r>
          </w:p>
        </w:tc>
      </w:tr>
      <w:tr w:rsidR="003012EB" w:rsidRPr="009E30D1" w:rsidTr="00FC430B">
        <w:trPr>
          <w:gridAfter w:val="1"/>
          <w:wAfter w:w="30" w:type="dxa"/>
          <w:trHeight w:val="482"/>
        </w:trPr>
        <w:tc>
          <w:tcPr>
            <w:tcW w:w="3948" w:type="dxa"/>
            <w:tcBorders>
              <w:left w:val="single" w:sz="4" w:space="0" w:color="000000"/>
            </w:tcBorders>
            <w:shd w:val="clear" w:color="auto" w:fill="FFFFFF"/>
            <w:vAlign w:val="center"/>
          </w:tcPr>
          <w:p w:rsidR="003012EB" w:rsidRPr="009E30D1" w:rsidRDefault="003012EB" w:rsidP="00B85C0B">
            <w:pPr>
              <w:spacing w:after="120" w:line="240" w:lineRule="auto"/>
              <w:contextualSpacing/>
              <w:jc w:val="both"/>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 las mujeres tengan el derecho a vivir una vida libre de violencia</w:t>
            </w:r>
          </w:p>
        </w:tc>
        <w:tc>
          <w:tcPr>
            <w:tcW w:w="1202" w:type="dxa"/>
            <w:tcBorders>
              <w:left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24.5</w:t>
            </w:r>
          </w:p>
        </w:tc>
        <w:tc>
          <w:tcPr>
            <w:tcW w:w="120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7.2</w:t>
            </w:r>
          </w:p>
        </w:tc>
        <w:tc>
          <w:tcPr>
            <w:tcW w:w="986"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10.2</w:t>
            </w:r>
          </w:p>
        </w:tc>
        <w:tc>
          <w:tcPr>
            <w:tcW w:w="753"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
              </w:rPr>
              <w:t>41.9</w:t>
            </w:r>
          </w:p>
        </w:tc>
        <w:tc>
          <w:tcPr>
            <w:tcW w:w="1269" w:type="dxa"/>
            <w:tcBorders>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rPr>
              <w:t>98.4</w:t>
            </w:r>
          </w:p>
        </w:tc>
      </w:tr>
      <w:tr w:rsidR="003012EB" w:rsidRPr="009E30D1" w:rsidTr="00FC430B">
        <w:trPr>
          <w:gridAfter w:val="1"/>
          <w:wAfter w:w="30" w:type="dxa"/>
          <w:trHeight w:val="482"/>
        </w:trPr>
        <w:tc>
          <w:tcPr>
            <w:tcW w:w="3948" w:type="dxa"/>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contextualSpacing/>
              <w:jc w:val="both"/>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 las mujeres tengan derecho a decidir sobre cuándo y cuántos hijos tener</w:t>
            </w:r>
          </w:p>
        </w:tc>
        <w:tc>
          <w:tcPr>
            <w:tcW w:w="1202" w:type="dxa"/>
            <w:tcBorders>
              <w:left w:val="single" w:sz="4" w:space="0" w:color="000000"/>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24.0</w:t>
            </w:r>
          </w:p>
        </w:tc>
        <w:tc>
          <w:tcPr>
            <w:tcW w:w="1203"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7.0</w:t>
            </w:r>
          </w:p>
        </w:tc>
        <w:tc>
          <w:tcPr>
            <w:tcW w:w="986"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10.1</w:t>
            </w:r>
          </w:p>
        </w:tc>
        <w:tc>
          <w:tcPr>
            <w:tcW w:w="753"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cs="Arial"/>
                <w:color w:val="000000"/>
                <w:sz w:val="16"/>
                <w:szCs w:val="16"/>
              </w:rPr>
            </w:pPr>
            <w:r w:rsidRPr="009E30D1">
              <w:rPr>
                <w:rFonts w:ascii="Adobe Caslon Pro" w:hAnsi="Adobe Caslon Pro" w:cs="Arial"/>
                <w:color w:val="000000"/>
                <w:sz w:val="16"/>
                <w:szCs w:val="16"/>
                <w:lang w:val="es-ES"/>
              </w:rPr>
              <w:t>41.2</w:t>
            </w:r>
          </w:p>
        </w:tc>
        <w:tc>
          <w:tcPr>
            <w:tcW w:w="1269"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contextualSpacing/>
              <w:jc w:val="center"/>
              <w:rPr>
                <w:rFonts w:ascii="Adobe Caslon Pro" w:hAnsi="Adobe Caslon Pro"/>
                <w:sz w:val="16"/>
                <w:szCs w:val="16"/>
              </w:rPr>
            </w:pPr>
            <w:r w:rsidRPr="009E30D1">
              <w:rPr>
                <w:rFonts w:ascii="Adobe Caslon Pro" w:hAnsi="Adobe Caslon Pro" w:cs="Arial"/>
                <w:color w:val="000000"/>
                <w:sz w:val="16"/>
                <w:szCs w:val="16"/>
              </w:rPr>
              <w:t>96.6</w:t>
            </w:r>
          </w:p>
        </w:tc>
      </w:tr>
    </w:tbl>
    <w:p w:rsidR="003012EB" w:rsidRPr="009E30D1" w:rsidRDefault="003012EB" w:rsidP="00B85C0B">
      <w:pPr>
        <w:spacing w:after="120" w:line="240" w:lineRule="auto"/>
        <w:ind w:left="1134" w:right="1043"/>
        <w:contextualSpacing/>
        <w:jc w:val="center"/>
        <w:rPr>
          <w:rFonts w:ascii="Adobe Caslon Pro" w:hAnsi="Adobe Caslon Pro" w:cs="Arial"/>
          <w:i/>
          <w:color w:val="000000"/>
          <w:sz w:val="18"/>
          <w:szCs w:val="18"/>
          <w:lang w:val="es-ES"/>
        </w:rPr>
      </w:pPr>
      <w:r w:rsidRPr="009E30D1">
        <w:rPr>
          <w:rFonts w:ascii="Adobe Caslon Pro" w:hAnsi="Adobe Caslon Pro" w:cs="Arial"/>
          <w:i/>
          <w:color w:val="000000"/>
          <w:sz w:val="18"/>
          <w:szCs w:val="18"/>
          <w:lang w:val="es-ES"/>
        </w:rPr>
        <w:t>Fuente: Elaboración propia con datos de la ENDIREH 2011, INEGI.</w:t>
      </w:r>
    </w:p>
    <w:p w:rsidR="00B85C0B" w:rsidRPr="009E30D1" w:rsidRDefault="00B85C0B" w:rsidP="00B85C0B">
      <w:pPr>
        <w:spacing w:after="120" w:line="240" w:lineRule="auto"/>
        <w:jc w:val="both"/>
        <w:rPr>
          <w:rFonts w:ascii="Adobe Caslon Pro" w:hAnsi="Adobe Caslon Pro" w:cs="Arial"/>
          <w:lang w:val="es-ES"/>
        </w:rPr>
      </w:pPr>
    </w:p>
    <w:p w:rsidR="003012EB" w:rsidRPr="009E30D1" w:rsidRDefault="003012EB" w:rsidP="00975006">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En este mismo sentido, a pesar de que el 73.6% de las mujeres conoce la LGIMH y el 80.5% conoce la LGAMVLV, el 8% de las mujeres entrevistadas en la ENDIREH que no denunció fue porque no sabía que podía denunciar la ofensa o agresión y el 29.3% considera que si hay golpes o maltratos en la casa es un asunto de familia y ahí debe quedar. Asimismo, parece que a pesar de que se conocen y son conscientes los derechos de las mujeres, existe una cultura de naturalización de la violencia en la que las mujeres no denuncian las agresiones que reciben por pensar que no tiene importancia, por haber crecido con la idea de que es necesario tolerar estas situaciones, por ser </w:t>
      </w:r>
      <w:r w:rsidRPr="009E30D1">
        <w:rPr>
          <w:rFonts w:ascii="Adobe Caslon Pro" w:hAnsi="Adobe Caslon Pro" w:cs="Arial"/>
          <w:lang w:val="es-ES"/>
        </w:rPr>
        <w:lastRenderedPageBreak/>
        <w:t xml:space="preserve">conceptos socialmente aceptados o bien por no considerar un derecho el denunciar las agresiones para </w:t>
      </w:r>
      <w:r w:rsidR="00427E6D" w:rsidRPr="009E30D1">
        <w:rPr>
          <w:rFonts w:ascii="Adobe Caslon Pro" w:hAnsi="Adobe Caslon Pro" w:cs="Arial"/>
          <w:lang w:val="es-ES"/>
        </w:rPr>
        <w:t xml:space="preserve">acceder a la </w:t>
      </w:r>
      <w:r w:rsidRPr="009E30D1">
        <w:rPr>
          <w:rFonts w:ascii="Adobe Caslon Pro" w:hAnsi="Adobe Caslon Pro" w:cs="Arial"/>
          <w:lang w:val="es-ES"/>
        </w:rPr>
        <w:t>justicia.</w:t>
      </w:r>
      <w:r w:rsidR="00B52185" w:rsidRPr="009E30D1">
        <w:rPr>
          <w:rFonts w:ascii="Adobe Caslon Pro" w:hAnsi="Adobe Caslon Pro" w:cs="Arial"/>
          <w:lang w:val="es-ES"/>
        </w:rPr>
        <w:t xml:space="preserve"> </w:t>
      </w:r>
    </w:p>
    <w:p w:rsidR="003012EB" w:rsidRPr="009E30D1" w:rsidRDefault="003012EB" w:rsidP="00B85C0B">
      <w:pPr>
        <w:spacing w:after="120" w:line="240" w:lineRule="auto"/>
        <w:ind w:right="1043"/>
        <w:contextualSpacing/>
        <w:rPr>
          <w:rFonts w:ascii="Adobe Caslon Pro" w:hAnsi="Adobe Caslon Pro" w:cs="Arial"/>
          <w:b/>
          <w:lang w:val="es-ES"/>
        </w:rPr>
      </w:pPr>
      <w:r w:rsidRPr="009E30D1">
        <w:rPr>
          <w:rFonts w:ascii="Adobe Caslon Pro" w:hAnsi="Adobe Caslon Pro" w:cs="Arial"/>
          <w:b/>
          <w:lang w:val="es-ES"/>
        </w:rPr>
        <w:t>Causa 3: Deficiente atención a la violencia contra las mujeres</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La tercera causa de los altos niveles de violencia contra las mujeres </w:t>
      </w:r>
      <w:r w:rsidR="00D32DB2" w:rsidRPr="009E30D1">
        <w:rPr>
          <w:rFonts w:ascii="Adobe Caslon Pro" w:hAnsi="Adobe Caslon Pro" w:cs="Arial"/>
          <w:lang w:val="es-ES"/>
        </w:rPr>
        <w:t xml:space="preserve">que se identifica </w:t>
      </w:r>
      <w:r w:rsidRPr="009E30D1">
        <w:rPr>
          <w:rFonts w:ascii="Adobe Caslon Pro" w:hAnsi="Adobe Caslon Pro" w:cs="Arial"/>
          <w:lang w:val="es-ES"/>
        </w:rPr>
        <w:t xml:space="preserve">es la </w:t>
      </w:r>
      <w:r w:rsidRPr="009E30D1">
        <w:rPr>
          <w:rFonts w:ascii="Adobe Caslon Pro" w:hAnsi="Adobe Caslon Pro" w:cs="Arial"/>
          <w:b/>
          <w:lang w:val="es-ES"/>
        </w:rPr>
        <w:t>deficiente atención a la violencia contra las mujeres</w:t>
      </w:r>
      <w:r w:rsidRPr="009E30D1">
        <w:rPr>
          <w:rFonts w:ascii="Adobe Caslon Pro" w:hAnsi="Adobe Caslon Pro" w:cs="Arial"/>
          <w:lang w:val="es-ES"/>
        </w:rPr>
        <w:t xml:space="preserve">. Esta causa se ramifica a su vez en dos causas de segundo orden: 1) escasa oferta institucional para la atención de los casos de violencia contra las mujeres y 2) las limitadas capacidades institucionales de atención. </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En relación a la </w:t>
      </w:r>
      <w:r w:rsidRPr="009E30D1">
        <w:rPr>
          <w:rFonts w:ascii="Adobe Caslon Pro" w:hAnsi="Adobe Caslon Pro" w:cs="Arial"/>
          <w:b/>
          <w:lang w:val="es-ES"/>
        </w:rPr>
        <w:t>escasa oferta institucional para la atención de los casos de violencia contra las mujeres,</w:t>
      </w:r>
      <w:r w:rsidRPr="009E30D1">
        <w:rPr>
          <w:rFonts w:ascii="Adobe Caslon Pro" w:hAnsi="Adobe Caslon Pro" w:cs="Arial"/>
          <w:lang w:val="es-ES"/>
        </w:rPr>
        <w:t xml:space="preserve"> destaca que a nivel nacional, el </w:t>
      </w:r>
      <w:proofErr w:type="spellStart"/>
      <w:r w:rsidRPr="009E30D1">
        <w:rPr>
          <w:rFonts w:ascii="Adobe Caslon Pro" w:hAnsi="Adobe Caslon Pro" w:cs="Arial"/>
          <w:lang w:val="es-ES"/>
        </w:rPr>
        <w:t>CNEGySR</w:t>
      </w:r>
      <w:proofErr w:type="spellEnd"/>
      <w:r w:rsidRPr="009E30D1">
        <w:rPr>
          <w:rFonts w:ascii="Adobe Caslon Pro" w:hAnsi="Adobe Caslon Pro" w:cs="Arial"/>
          <w:lang w:val="es-ES"/>
        </w:rPr>
        <w:t xml:space="preserve"> declara que existen 292 unidades de atención médica que prestan servicios en materia de prevención y atención de la violencia familiar y de género. Las entidades con menor cantidad de unidades de atención son Aguascalientes (3), Nayarit (4), Oaxaca (4), Hidalgo (5), Baja California (5), mientras que Guerrero (19), San Luis Potosí (17), Estado de México (16) y el Distrito Federal (15) son las que mayor cantidad de unidades poseen. Sin embargo, Nayarit fue la entidad con la mayor variación porcentual de la violencia contra las mujeres en la última relación con su pareja por lo que la existencia de limitadas unidades de atención en esta entidad no permite generar atención pertinente adecuada a las necesidades de la entidad. </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En esta línea, el artículo 36</w:t>
      </w:r>
      <w:proofErr w:type="gramStart"/>
      <w:r w:rsidRPr="009E30D1">
        <w:rPr>
          <w:rFonts w:ascii="Adobe Caslon Pro" w:hAnsi="Adobe Caslon Pro" w:cs="Arial"/>
          <w:lang w:val="es-ES"/>
        </w:rPr>
        <w:t>.°</w:t>
      </w:r>
      <w:proofErr w:type="gramEnd"/>
      <w:r w:rsidRPr="009E30D1">
        <w:rPr>
          <w:rFonts w:ascii="Adobe Caslon Pro" w:hAnsi="Adobe Caslon Pro" w:cs="Arial"/>
          <w:lang w:val="es-ES"/>
        </w:rPr>
        <w:t xml:space="preserve"> de la LGAMVLV señala que el SNPASEVM se conformará por las y los titulares de:</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I. La Secretaría de Gobernación, quien lo presidirá;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II. La Secretaría de Desarrollo Social;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III. La Secretaría de Seguridad Pública;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IV. La Procuraduría General de la República;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V. La Secretaría de Educación Pública;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VI. La Secretaría de Salud;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VII. La Secretaría del Trabajo y Previsión Social;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VIII. El Instituto Nacional de las Mujeres, quien ocupará la Secretaría Ejecutiva del Sistema;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IX. El Consejo Nacional para Prevenir la Discriminación;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 xml:space="preserve">X. El Sistema Nacional para el Desarrollo Integral de la Familia, y </w:t>
      </w:r>
    </w:p>
    <w:p w:rsidR="003012EB" w:rsidRPr="009E30D1" w:rsidRDefault="003012EB" w:rsidP="00B85C0B">
      <w:pPr>
        <w:spacing w:after="120" w:line="240" w:lineRule="auto"/>
        <w:ind w:left="567" w:right="618"/>
        <w:rPr>
          <w:rFonts w:ascii="Adobe Caslon Pro" w:hAnsi="Adobe Caslon Pro" w:cs="Arial"/>
          <w:lang w:val="es-ES"/>
        </w:rPr>
      </w:pPr>
      <w:r w:rsidRPr="009E30D1">
        <w:rPr>
          <w:rFonts w:ascii="Adobe Caslon Pro" w:hAnsi="Adobe Caslon Pro" w:cs="Arial"/>
          <w:lang w:val="es-ES"/>
        </w:rPr>
        <w:t>XI. Los mecanismos para el adelanto de las mujeres en las entidades federativas.</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lastRenderedPageBreak/>
        <w:t>Cada una de las instancias anteriormente mencionadas tiene como tarea atender el problema de la violencia contra las mujeres en el ámbito de su competencia, y cuenta con un</w:t>
      </w:r>
      <w:r w:rsidR="00FC430B" w:rsidRPr="009E30D1">
        <w:rPr>
          <w:rFonts w:ascii="Adobe Caslon Pro" w:hAnsi="Adobe Caslon Pro" w:cs="Arial"/>
          <w:lang w:val="es-ES"/>
        </w:rPr>
        <w:t xml:space="preserve"> presupuesto asignado para ello. No obstante, la Evaluación de Diseño del PAIMEF (2007) muestra que el Programa es el de mayor importancia en términos de monto de financiamiento y en virtud de su población objetivo en el PEF 2007.</w:t>
      </w:r>
      <w:r w:rsidRPr="009E30D1">
        <w:rPr>
          <w:rFonts w:ascii="Adobe Caslon Pro" w:hAnsi="Adobe Caslon Pro" w:cs="Arial"/>
          <w:lang w:val="es-ES"/>
        </w:rPr>
        <w:t xml:space="preserve"> </w:t>
      </w:r>
      <w:r w:rsidR="00FC430B" w:rsidRPr="009E30D1">
        <w:rPr>
          <w:rFonts w:ascii="Adobe Caslon Pro" w:hAnsi="Adobe Caslon Pro" w:cs="Arial"/>
          <w:lang w:val="es-ES"/>
        </w:rPr>
        <w:t xml:space="preserve">Esto muestra que </w:t>
      </w:r>
      <w:r w:rsidRPr="009E30D1">
        <w:rPr>
          <w:rFonts w:ascii="Adobe Caslon Pro" w:hAnsi="Adobe Caslon Pro" w:cs="Arial"/>
          <w:lang w:val="es-ES"/>
        </w:rPr>
        <w:t>los esfuerzos</w:t>
      </w:r>
      <w:r w:rsidR="00FC430B" w:rsidRPr="009E30D1">
        <w:rPr>
          <w:rFonts w:ascii="Adobe Caslon Pro" w:hAnsi="Adobe Caslon Pro" w:cs="Arial"/>
          <w:lang w:val="es-ES"/>
        </w:rPr>
        <w:t xml:space="preserve"> de prevención y atención a la violencia contra la mujer</w:t>
      </w:r>
      <w:r w:rsidRPr="009E30D1">
        <w:rPr>
          <w:rFonts w:ascii="Adobe Caslon Pro" w:hAnsi="Adobe Caslon Pro" w:cs="Arial"/>
          <w:lang w:val="es-ES"/>
        </w:rPr>
        <w:t xml:space="preserve"> se </w:t>
      </w:r>
      <w:r w:rsidR="00D32DB2" w:rsidRPr="009E30D1">
        <w:rPr>
          <w:rFonts w:ascii="Adobe Caslon Pro" w:hAnsi="Adobe Caslon Pro" w:cs="Arial"/>
          <w:lang w:val="es-ES"/>
        </w:rPr>
        <w:t xml:space="preserve">han </w:t>
      </w:r>
      <w:r w:rsidRPr="009E30D1">
        <w:rPr>
          <w:rFonts w:ascii="Adobe Caslon Pro" w:hAnsi="Adobe Caslon Pro" w:cs="Arial"/>
          <w:lang w:val="es-ES"/>
        </w:rPr>
        <w:t>centra</w:t>
      </w:r>
      <w:r w:rsidR="00D32DB2" w:rsidRPr="009E30D1">
        <w:rPr>
          <w:rFonts w:ascii="Adobe Caslon Pro" w:hAnsi="Adobe Caslon Pro" w:cs="Arial"/>
          <w:lang w:val="es-ES"/>
        </w:rPr>
        <w:t xml:space="preserve">do inicialmente </w:t>
      </w:r>
      <w:r w:rsidRPr="009E30D1">
        <w:rPr>
          <w:rFonts w:ascii="Adobe Caslon Pro" w:hAnsi="Adobe Caslon Pro" w:cs="Arial"/>
          <w:lang w:val="es-ES"/>
        </w:rPr>
        <w:t xml:space="preserve">en el ámbito federal, lo que </w:t>
      </w:r>
      <w:r w:rsidR="00D32DB2" w:rsidRPr="009E30D1">
        <w:rPr>
          <w:rFonts w:ascii="Adobe Caslon Pro" w:hAnsi="Adobe Caslon Pro" w:cs="Arial"/>
          <w:lang w:val="es-ES"/>
        </w:rPr>
        <w:t xml:space="preserve">puede explicar </w:t>
      </w:r>
      <w:r w:rsidRPr="009E30D1">
        <w:rPr>
          <w:rFonts w:ascii="Adobe Caslon Pro" w:hAnsi="Adobe Caslon Pro" w:cs="Arial"/>
          <w:lang w:val="es-ES"/>
        </w:rPr>
        <w:t xml:space="preserve">la escasa oferta institucional para la atención de casos de violencia contra las mujeres. </w:t>
      </w:r>
      <w:r w:rsidR="00FC430B" w:rsidRPr="009E30D1">
        <w:rPr>
          <w:rFonts w:ascii="Adobe Caslon Pro" w:hAnsi="Adobe Caslon Pro" w:cs="Arial"/>
          <w:lang w:val="es-ES"/>
        </w:rPr>
        <w:t>En este sentido, l</w:t>
      </w:r>
      <w:r w:rsidRPr="009E30D1">
        <w:rPr>
          <w:rFonts w:ascii="Adobe Caslon Pro" w:hAnsi="Adobe Caslon Pro" w:cs="Arial"/>
          <w:lang w:val="es-ES"/>
        </w:rPr>
        <w:t xml:space="preserve">a oferta institucional es limitada por 1) los escasos mecanismos para solicitar auxilio en situaciones de emergencia y 2) los limitados mecanismos de atención a las mujeres que sufren violencia. </w:t>
      </w:r>
    </w:p>
    <w:p w:rsidR="003012EB" w:rsidRPr="009E30D1" w:rsidRDefault="00E908AD"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Las mujeres que padecen situaciones de violencia y que toman la decisión de solicitar ayuda se enfrentan </w:t>
      </w:r>
      <w:r w:rsidR="00A255CB" w:rsidRPr="009E30D1">
        <w:rPr>
          <w:rFonts w:ascii="Adobe Caslon Pro" w:hAnsi="Adobe Caslon Pro" w:cs="Arial"/>
          <w:lang w:val="es-ES"/>
        </w:rPr>
        <w:t>a que en las entidades federativas se tienen</w:t>
      </w:r>
      <w:r w:rsidR="003012EB" w:rsidRPr="009E30D1">
        <w:rPr>
          <w:rFonts w:ascii="Adobe Caslon Pro" w:hAnsi="Adobe Caslon Pro" w:cs="Arial"/>
          <w:lang w:val="es-ES"/>
        </w:rPr>
        <w:t xml:space="preserve"> </w:t>
      </w:r>
      <w:r w:rsidR="003012EB" w:rsidRPr="009E30D1">
        <w:rPr>
          <w:rFonts w:ascii="Adobe Caslon Pro" w:hAnsi="Adobe Caslon Pro" w:cs="Arial"/>
          <w:b/>
          <w:lang w:val="es-ES"/>
        </w:rPr>
        <w:t>escasos mecanismos para solicitar auxilio en situaciones de emergencia</w:t>
      </w:r>
      <w:r w:rsidR="003012EB" w:rsidRPr="009E30D1">
        <w:rPr>
          <w:rFonts w:ascii="Adobe Caslon Pro" w:hAnsi="Adobe Caslon Pro" w:cs="Arial"/>
          <w:lang w:val="es-ES"/>
        </w:rPr>
        <w:t>, y consisten principalmente en servicios de atención telefónica</w:t>
      </w:r>
      <w:r w:rsidRPr="009E30D1">
        <w:rPr>
          <w:rFonts w:ascii="Adobe Caslon Pro" w:hAnsi="Adobe Caslon Pro" w:cs="Arial"/>
          <w:lang w:val="es-ES"/>
        </w:rPr>
        <w:t xml:space="preserve"> que están sujetos a disponibilidad</w:t>
      </w:r>
      <w:r w:rsidR="00A255CB" w:rsidRPr="009E30D1">
        <w:rPr>
          <w:rFonts w:ascii="Adobe Caslon Pro" w:hAnsi="Adobe Caslon Pro" w:cs="Arial"/>
          <w:lang w:val="es-ES"/>
        </w:rPr>
        <w:t>, cobertura y capacidad institucional para atención emergente</w:t>
      </w:r>
      <w:r w:rsidR="002E678D" w:rsidRPr="009E30D1">
        <w:rPr>
          <w:rStyle w:val="Refdenotaalpie"/>
          <w:rFonts w:ascii="Adobe Caslon Pro" w:hAnsi="Adobe Caslon Pro"/>
          <w:lang w:val="es-ES"/>
        </w:rPr>
        <w:footnoteReference w:id="15"/>
      </w:r>
      <w:r w:rsidR="003012EB" w:rsidRPr="009E30D1">
        <w:rPr>
          <w:rFonts w:ascii="Adobe Caslon Pro" w:hAnsi="Adobe Caslon Pro" w:cs="Arial"/>
          <w:lang w:val="es-ES"/>
        </w:rPr>
        <w:t xml:space="preserve">. Existe oferta disponible pero es importante puntualizar que este mecanismo presenta </w:t>
      </w:r>
      <w:r w:rsidR="002E678D" w:rsidRPr="009E30D1">
        <w:rPr>
          <w:rFonts w:ascii="Adobe Caslon Pro" w:hAnsi="Adobe Caslon Pro" w:cs="Arial"/>
          <w:lang w:val="es-ES"/>
        </w:rPr>
        <w:t xml:space="preserve">entre otras limitantes </w:t>
      </w:r>
      <w:r w:rsidR="00A255CB" w:rsidRPr="009E30D1">
        <w:rPr>
          <w:rFonts w:ascii="Adobe Caslon Pro" w:hAnsi="Adobe Caslon Pro" w:cs="Arial"/>
          <w:lang w:val="es-ES"/>
        </w:rPr>
        <w:t>que la población debe contar con</w:t>
      </w:r>
      <w:r w:rsidR="003012EB" w:rsidRPr="009E30D1">
        <w:rPr>
          <w:rFonts w:ascii="Adobe Caslon Pro" w:hAnsi="Adobe Caslon Pro" w:cs="Arial"/>
          <w:lang w:val="es-ES"/>
        </w:rPr>
        <w:t xml:space="preserve"> acceso a servicios telefónicos y, en ocasiones, a recursos económicos para su uso (ENDIREH, 2011); asimismo, puede presentar complicaciones por los horarios de atención, las características de marcación del número de emergencia y los servicios que en esta se ofrecen (INMUJ</w:t>
      </w:r>
      <w:r w:rsidR="00A255CB" w:rsidRPr="009E30D1">
        <w:rPr>
          <w:rFonts w:ascii="Adobe Caslon Pro" w:hAnsi="Adobe Caslon Pro" w:cs="Arial"/>
          <w:lang w:val="es-ES"/>
        </w:rPr>
        <w:t>E</w:t>
      </w:r>
      <w:r w:rsidR="003012EB" w:rsidRPr="009E30D1">
        <w:rPr>
          <w:rFonts w:ascii="Adobe Caslon Pro" w:hAnsi="Adobe Caslon Pro" w:cs="Arial"/>
          <w:lang w:val="es-ES"/>
        </w:rPr>
        <w:t>RES, 2014).</w:t>
      </w:r>
      <w:r w:rsidR="00B52185" w:rsidRPr="009E30D1">
        <w:rPr>
          <w:rFonts w:ascii="Adobe Caslon Pro" w:hAnsi="Adobe Caslon Pro" w:cs="Arial"/>
          <w:lang w:val="es-ES"/>
        </w:rPr>
        <w:t xml:space="preserve"> </w:t>
      </w:r>
      <w:r w:rsidR="003012EB" w:rsidRPr="009E30D1">
        <w:rPr>
          <w:rFonts w:ascii="Adobe Caslon Pro" w:hAnsi="Adobe Caslon Pro" w:cs="Arial"/>
          <w:lang w:val="es-ES"/>
        </w:rPr>
        <w:t xml:space="preserve">Además, existe la atención directa en las diferentes instituciones en las que se puede recibir auxilio como son el DIF, las Instancias de Mujeres, el Ministerio Público, la presidencia municipal y la policía, entre otras. Sin embargo, este contacto depende de la distancia </w:t>
      </w:r>
      <w:r w:rsidR="00A255CB" w:rsidRPr="009E30D1">
        <w:rPr>
          <w:rFonts w:ascii="Adobe Caslon Pro" w:hAnsi="Adobe Caslon Pro" w:cs="Arial"/>
          <w:lang w:val="es-ES"/>
        </w:rPr>
        <w:t>entra la ubicación de las mujeres y la de</w:t>
      </w:r>
      <w:r w:rsidR="003012EB" w:rsidRPr="009E30D1">
        <w:rPr>
          <w:rFonts w:ascii="Adobe Caslon Pro" w:hAnsi="Adobe Caslon Pro" w:cs="Arial"/>
          <w:lang w:val="es-ES"/>
        </w:rPr>
        <w:t>l centro de atención así como el conocimiento</w:t>
      </w:r>
      <w:r w:rsidR="00A255CB" w:rsidRPr="009E30D1">
        <w:rPr>
          <w:rFonts w:ascii="Adobe Caslon Pro" w:hAnsi="Adobe Caslon Pro" w:cs="Arial"/>
          <w:lang w:val="es-ES"/>
        </w:rPr>
        <w:t xml:space="preserve"> previo</w:t>
      </w:r>
      <w:r w:rsidR="003012EB" w:rsidRPr="009E30D1">
        <w:rPr>
          <w:rFonts w:ascii="Adobe Caslon Pro" w:hAnsi="Adobe Caslon Pro" w:cs="Arial"/>
          <w:lang w:val="es-ES"/>
        </w:rPr>
        <w:t xml:space="preserve"> de estas </w:t>
      </w:r>
      <w:r w:rsidR="00A255CB" w:rsidRPr="009E30D1">
        <w:rPr>
          <w:rFonts w:ascii="Adobe Caslon Pro" w:hAnsi="Adobe Caslon Pro" w:cs="Arial"/>
          <w:lang w:val="es-ES"/>
        </w:rPr>
        <w:t>alternativas</w:t>
      </w:r>
      <w:r w:rsidR="003012EB" w:rsidRPr="009E30D1">
        <w:rPr>
          <w:rFonts w:ascii="Adobe Caslon Pro" w:hAnsi="Adobe Caslon Pro" w:cs="Arial"/>
          <w:lang w:val="es-ES"/>
        </w:rPr>
        <w:t xml:space="preserve">. </w:t>
      </w:r>
    </w:p>
    <w:p w:rsidR="002E678D"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En segunda instancia, existen </w:t>
      </w:r>
      <w:r w:rsidRPr="009E30D1">
        <w:rPr>
          <w:rFonts w:ascii="Adobe Caslon Pro" w:hAnsi="Adobe Caslon Pro" w:cs="Arial"/>
          <w:b/>
          <w:lang w:val="es-ES"/>
        </w:rPr>
        <w:t>limitados mecanismos de atención a las mujeres que sufren violencia</w:t>
      </w:r>
      <w:r w:rsidRPr="009E30D1">
        <w:rPr>
          <w:rFonts w:ascii="Adobe Caslon Pro" w:hAnsi="Adobe Caslon Pro" w:cs="Arial"/>
          <w:lang w:val="es-ES"/>
        </w:rPr>
        <w:t>. A nivel estatal existe una IMEF por cada Entidad Federativa, que juega un papel fundamental en la atención y prevención de la violencia contra las mujeres. Actualmente en el país existen 27 Institutos Estatales de la Mujer, 4 Secretarías (Chiapas, Coahuila, Guerrero y Michoacán) y un Consejo (Estado de México)</w:t>
      </w:r>
      <w:r w:rsidRPr="009E30D1">
        <w:rPr>
          <w:rStyle w:val="Refdenotaalpie"/>
          <w:rFonts w:ascii="Adobe Caslon Pro" w:hAnsi="Adobe Caslon Pro"/>
        </w:rPr>
        <w:footnoteReference w:id="16"/>
      </w:r>
      <w:r w:rsidRPr="009E30D1">
        <w:rPr>
          <w:rFonts w:ascii="Adobe Caslon Pro" w:hAnsi="Adobe Caslon Pro" w:cs="Arial"/>
          <w:lang w:val="es-ES"/>
        </w:rPr>
        <w:t>. Sin embargo,</w:t>
      </w:r>
      <w:r w:rsidR="002E678D" w:rsidRPr="009E30D1">
        <w:rPr>
          <w:rFonts w:ascii="Adobe Caslon Pro" w:hAnsi="Adobe Caslon Pro" w:cs="Arial"/>
          <w:lang w:val="es-ES"/>
        </w:rPr>
        <w:t xml:space="preserve"> las IMEF son instancias que de origen tenían un propósito normativo que, al dar cuenta de los rezagos </w:t>
      </w:r>
      <w:r w:rsidR="00A30756" w:rsidRPr="009E30D1">
        <w:rPr>
          <w:rFonts w:ascii="Adobe Caslon Pro" w:hAnsi="Adobe Caslon Pro" w:cs="Arial"/>
          <w:lang w:val="es-ES"/>
        </w:rPr>
        <w:t xml:space="preserve">existentes en las entidades federativas, </w:t>
      </w:r>
      <w:r w:rsidR="002E678D" w:rsidRPr="009E30D1">
        <w:rPr>
          <w:rFonts w:ascii="Adobe Caslon Pro" w:hAnsi="Adobe Caslon Pro" w:cs="Arial"/>
          <w:lang w:val="es-ES"/>
        </w:rPr>
        <w:t xml:space="preserve">en materia de prevención, atención, sanción y erradicación de la violencia contra las mujeres, han ampliado sus actividades para promover y, en la mayoría de los casos, operar servicios especializados de atención. </w:t>
      </w:r>
      <w:r w:rsidR="002E678D" w:rsidRPr="009E30D1">
        <w:rPr>
          <w:rFonts w:ascii="Adobe Caslon Pro" w:hAnsi="Adobe Caslon Pro" w:cs="Arial"/>
          <w:lang w:val="es-ES"/>
        </w:rPr>
        <w:lastRenderedPageBreak/>
        <w:t>La intervención de las IMEF en esta materia puede ser el principal indicador de la</w:t>
      </w:r>
      <w:r w:rsidR="00A30756" w:rsidRPr="009E30D1">
        <w:rPr>
          <w:rFonts w:ascii="Adobe Caslon Pro" w:hAnsi="Adobe Caslon Pro" w:cs="Arial"/>
          <w:lang w:val="es-ES"/>
        </w:rPr>
        <w:t>s</w:t>
      </w:r>
      <w:r w:rsidR="002E678D" w:rsidRPr="009E30D1">
        <w:rPr>
          <w:rFonts w:ascii="Adobe Caslon Pro" w:hAnsi="Adobe Caslon Pro" w:cs="Arial"/>
          <w:lang w:val="es-ES"/>
        </w:rPr>
        <w:t xml:space="preserve"> ausencia</w:t>
      </w:r>
      <w:r w:rsidR="00A30756" w:rsidRPr="009E30D1">
        <w:rPr>
          <w:rFonts w:ascii="Adobe Caslon Pro" w:hAnsi="Adobe Caslon Pro" w:cs="Arial"/>
          <w:lang w:val="es-ES"/>
        </w:rPr>
        <w:t>s</w:t>
      </w:r>
      <w:r w:rsidR="002E678D" w:rsidRPr="009E30D1">
        <w:rPr>
          <w:rFonts w:ascii="Adobe Caslon Pro" w:hAnsi="Adobe Caslon Pro" w:cs="Arial"/>
          <w:lang w:val="es-ES"/>
        </w:rPr>
        <w:t xml:space="preserve"> o limitaciones institucionales que se tienen a nivel local para ofertar estos servicios, en virtud de que no fue el propósito</w:t>
      </w:r>
      <w:r w:rsidR="00A30756" w:rsidRPr="009E30D1">
        <w:rPr>
          <w:rFonts w:ascii="Adobe Caslon Pro" w:hAnsi="Adobe Caslon Pro" w:cs="Arial"/>
          <w:lang w:val="es-ES"/>
        </w:rPr>
        <w:t xml:space="preserve"> original</w:t>
      </w:r>
      <w:r w:rsidR="002E678D" w:rsidRPr="009E30D1">
        <w:rPr>
          <w:rFonts w:ascii="Adobe Caslon Pro" w:hAnsi="Adobe Caslon Pro" w:cs="Arial"/>
          <w:lang w:val="es-ES"/>
        </w:rPr>
        <w:t xml:space="preserve"> de su creación</w:t>
      </w:r>
      <w:r w:rsidR="00A30756" w:rsidRPr="009E30D1">
        <w:rPr>
          <w:rFonts w:ascii="Adobe Caslon Pro" w:hAnsi="Adobe Caslon Pro" w:cs="Arial"/>
          <w:lang w:val="es-ES"/>
        </w:rPr>
        <w:t>. Hoy día</w:t>
      </w:r>
      <w:r w:rsidR="002E678D" w:rsidRPr="009E30D1">
        <w:rPr>
          <w:rFonts w:ascii="Adobe Caslon Pro" w:hAnsi="Adobe Caslon Pro" w:cs="Arial"/>
          <w:lang w:val="es-ES"/>
        </w:rPr>
        <w:t xml:space="preserve"> su papel es primordial </w:t>
      </w:r>
      <w:r w:rsidR="00A30756" w:rsidRPr="009E30D1">
        <w:rPr>
          <w:rFonts w:ascii="Adobe Caslon Pro" w:hAnsi="Adobe Caslon Pro" w:cs="Arial"/>
          <w:lang w:val="es-ES"/>
        </w:rPr>
        <w:t xml:space="preserve">en este tema y en la </w:t>
      </w:r>
      <w:proofErr w:type="spellStart"/>
      <w:r w:rsidR="00A30756" w:rsidRPr="009E30D1">
        <w:rPr>
          <w:rFonts w:ascii="Adobe Caslon Pro" w:hAnsi="Adobe Caslon Pro" w:cs="Arial"/>
          <w:lang w:val="es-ES"/>
        </w:rPr>
        <w:t>transversalización</w:t>
      </w:r>
      <w:proofErr w:type="spellEnd"/>
      <w:r w:rsidR="00A30756" w:rsidRPr="009E30D1">
        <w:rPr>
          <w:rFonts w:ascii="Adobe Caslon Pro" w:hAnsi="Adobe Caslon Pro" w:cs="Arial"/>
          <w:lang w:val="es-ES"/>
        </w:rPr>
        <w:t xml:space="preserve"> de </w:t>
      </w:r>
      <w:r w:rsidR="002E678D" w:rsidRPr="009E30D1">
        <w:rPr>
          <w:rFonts w:ascii="Adobe Caslon Pro" w:hAnsi="Adobe Caslon Pro" w:cs="Arial"/>
          <w:lang w:val="es-ES"/>
        </w:rPr>
        <w:t>la perspectiva de género en las dependencias de los gobiernos estatales</w:t>
      </w:r>
      <w:r w:rsidR="00A30756" w:rsidRPr="009E30D1">
        <w:rPr>
          <w:rFonts w:ascii="Adobe Caslon Pro" w:hAnsi="Adobe Caslon Pro" w:cs="Arial"/>
          <w:lang w:val="es-ES"/>
        </w:rPr>
        <w:t xml:space="preserve"> a fin de que las mujeres sean atendidas con la debida diligencia, con estricto apego a sus derechos, con calidad y calidez en las instituciones públicas de los sectores intervinientes (salud, justicia, educación, etc.)</w:t>
      </w:r>
      <w:r w:rsidR="001C641E" w:rsidRPr="009E30D1">
        <w:rPr>
          <w:rFonts w:ascii="Adobe Caslon Pro" w:hAnsi="Adobe Caslon Pro" w:cs="Arial"/>
          <w:lang w:val="es-ES"/>
        </w:rPr>
        <w:t>.</w:t>
      </w:r>
    </w:p>
    <w:p w:rsidR="003012EB" w:rsidRPr="009E30D1" w:rsidRDefault="00A30756" w:rsidP="00B85C0B">
      <w:pPr>
        <w:spacing w:after="120" w:line="240" w:lineRule="auto"/>
        <w:jc w:val="both"/>
        <w:rPr>
          <w:rFonts w:ascii="Adobe Caslon Pro" w:hAnsi="Adobe Caslon Pro" w:cs="Arial"/>
          <w:lang w:val="es-ES"/>
        </w:rPr>
      </w:pPr>
      <w:r w:rsidRPr="009E30D1">
        <w:rPr>
          <w:rFonts w:ascii="Adobe Caslon Pro" w:hAnsi="Adobe Caslon Pro" w:cs="Arial"/>
          <w:lang w:val="es-ES"/>
        </w:rPr>
        <w:t>L</w:t>
      </w:r>
      <w:r w:rsidR="003012EB" w:rsidRPr="009E30D1">
        <w:rPr>
          <w:rFonts w:ascii="Adobe Caslon Pro" w:hAnsi="Adobe Caslon Pro" w:cs="Arial"/>
          <w:lang w:val="es-ES"/>
        </w:rPr>
        <w:t>a violencia</w:t>
      </w:r>
      <w:r w:rsidRPr="009E30D1">
        <w:rPr>
          <w:rFonts w:ascii="Adobe Caslon Pro" w:hAnsi="Adobe Caslon Pro" w:cs="Arial"/>
          <w:lang w:val="es-ES"/>
        </w:rPr>
        <w:t xml:space="preserve"> contra las mujeres basada en el género</w:t>
      </w:r>
      <w:r w:rsidR="003012EB" w:rsidRPr="009E30D1">
        <w:rPr>
          <w:rFonts w:ascii="Adobe Caslon Pro" w:hAnsi="Adobe Caslon Pro" w:cs="Arial"/>
          <w:lang w:val="es-ES"/>
        </w:rPr>
        <w:t xml:space="preserve"> tiene una complejidad que requiere que los tres niveles de gobierno se involucren; es por ello que resulta imprescindible generar mecanismos de coordinación para verificar su implementación. Para esto, es vital vincular a los diversos sectores y niveles de gobierno involucrados en la gestión de políticas públicas en materia de violencia de género e impulsar el trabajo de las OSC. Esto permitirá articular los esfuerzos en el combate a la violencia, garantizando que la implementación sea efectiva y pueda contribuir a reducir las brechas de desigualdad entre mujeres y hombres (PIPASEVM, 2014).</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La segunda causa de segundo nivel son las </w:t>
      </w:r>
      <w:r w:rsidRPr="009E30D1">
        <w:rPr>
          <w:rFonts w:ascii="Adobe Caslon Pro" w:hAnsi="Adobe Caslon Pro" w:cs="Arial"/>
          <w:b/>
          <w:lang w:val="es-ES"/>
        </w:rPr>
        <w:t xml:space="preserve">limitadas capacidades institucionales de atención </w:t>
      </w:r>
      <w:r w:rsidRPr="009E30D1">
        <w:rPr>
          <w:rFonts w:ascii="Adobe Caslon Pro" w:hAnsi="Adobe Caslon Pro" w:cs="Arial"/>
          <w:lang w:val="es-ES"/>
        </w:rPr>
        <w:t xml:space="preserve">que a su vez </w:t>
      </w:r>
      <w:r w:rsidR="0015249D" w:rsidRPr="009E30D1">
        <w:rPr>
          <w:rFonts w:ascii="Adobe Caslon Pro" w:hAnsi="Adobe Caslon Pro" w:cs="Arial"/>
          <w:lang w:val="es-ES"/>
        </w:rPr>
        <w:t xml:space="preserve">glosa </w:t>
      </w:r>
      <w:r w:rsidRPr="009E30D1">
        <w:rPr>
          <w:rFonts w:ascii="Adobe Caslon Pro" w:hAnsi="Adobe Caslon Pro" w:cs="Arial"/>
          <w:lang w:val="es-ES"/>
        </w:rPr>
        <w:t>tres</w:t>
      </w:r>
      <w:r w:rsidR="0015249D" w:rsidRPr="009E30D1">
        <w:rPr>
          <w:rFonts w:ascii="Adobe Caslon Pro" w:hAnsi="Adobe Caslon Pro" w:cs="Arial"/>
          <w:lang w:val="es-ES"/>
        </w:rPr>
        <w:t xml:space="preserve"> principales</w:t>
      </w:r>
      <w:r w:rsidRPr="009E30D1">
        <w:rPr>
          <w:rFonts w:ascii="Adobe Caslon Pro" w:hAnsi="Adobe Caslon Pro" w:cs="Arial"/>
          <w:lang w:val="es-ES"/>
        </w:rPr>
        <w:t xml:space="preserve"> causas: 1) la deficiente calidad en los servicios especializados, 2) el bajo nivel de formación y profesionalización del funcionariado público en materia de violencia contra las mujeres y 3) la deficiente infraestructura para la prestación de servicios especializados. </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Primero, la </w:t>
      </w:r>
      <w:r w:rsidRPr="009E30D1">
        <w:rPr>
          <w:rFonts w:ascii="Adobe Caslon Pro" w:hAnsi="Adobe Caslon Pro" w:cs="Arial"/>
          <w:b/>
          <w:lang w:val="es-ES"/>
        </w:rPr>
        <w:t xml:space="preserve">deficiente calidad en los servicios especializados </w:t>
      </w:r>
      <w:r w:rsidRPr="009E30D1">
        <w:rPr>
          <w:rFonts w:ascii="Adobe Caslon Pro" w:hAnsi="Adobe Caslon Pro" w:cs="Arial"/>
          <w:lang w:val="es-ES"/>
        </w:rPr>
        <w:t>se relaciona con la satisfacción</w:t>
      </w:r>
      <w:r w:rsidR="00580981" w:rsidRPr="009E30D1">
        <w:rPr>
          <w:rFonts w:ascii="Adobe Caslon Pro" w:hAnsi="Adobe Caslon Pro" w:cs="Arial"/>
          <w:lang w:val="es-ES"/>
        </w:rPr>
        <w:t xml:space="preserve"> de las usuarias respecto</w:t>
      </w:r>
      <w:r w:rsidRPr="009E30D1">
        <w:rPr>
          <w:rFonts w:ascii="Adobe Caslon Pro" w:hAnsi="Adobe Caslon Pro" w:cs="Arial"/>
          <w:lang w:val="es-ES"/>
        </w:rPr>
        <w:t xml:space="preserve"> </w:t>
      </w:r>
      <w:r w:rsidR="00580981" w:rsidRPr="009E30D1">
        <w:rPr>
          <w:rFonts w:ascii="Adobe Caslon Pro" w:hAnsi="Adobe Caslon Pro" w:cs="Arial"/>
          <w:lang w:val="es-ES"/>
        </w:rPr>
        <w:t>a la</w:t>
      </w:r>
      <w:r w:rsidRPr="009E30D1">
        <w:rPr>
          <w:rFonts w:ascii="Adobe Caslon Pro" w:hAnsi="Adobe Caslon Pro" w:cs="Arial"/>
          <w:lang w:val="es-ES"/>
        </w:rPr>
        <w:t xml:space="preserve"> atención </w:t>
      </w:r>
      <w:r w:rsidR="00580981" w:rsidRPr="009E30D1">
        <w:rPr>
          <w:rFonts w:ascii="Adobe Caslon Pro" w:hAnsi="Adobe Caslon Pro" w:cs="Arial"/>
          <w:lang w:val="es-ES"/>
        </w:rPr>
        <w:t xml:space="preserve">recibida </w:t>
      </w:r>
      <w:r w:rsidRPr="009E30D1">
        <w:rPr>
          <w:rFonts w:ascii="Adobe Caslon Pro" w:hAnsi="Adobe Caslon Pro" w:cs="Arial"/>
          <w:lang w:val="es-ES"/>
        </w:rPr>
        <w:t>en los centros especializados para la atención de la violencia. En este sentido, en ninguna entidad se observa que la totalidad de mujeres atendidas tenga la sensación de haber sido bien atendida; por el contrario, cerca de un cuarto de las mujeres atendidas siente que tuvo una mala atención. En particular, estos resultados son aún más graves en las entidades en las que el porcentaje de mujeres violentadas que pid</w:t>
      </w:r>
      <w:r w:rsidR="00D06029" w:rsidRPr="009E30D1">
        <w:rPr>
          <w:rFonts w:ascii="Adobe Caslon Pro" w:hAnsi="Adobe Caslon Pro" w:cs="Arial"/>
          <w:lang w:val="es-ES"/>
        </w:rPr>
        <w:t>ió ayuda fue mayor (ver figura 1</w:t>
      </w:r>
      <w:r w:rsidRPr="009E30D1">
        <w:rPr>
          <w:rFonts w:ascii="Adobe Caslon Pro" w:hAnsi="Adobe Caslon Pro" w:cs="Arial"/>
          <w:lang w:val="es-ES"/>
        </w:rPr>
        <w:t xml:space="preserve">). </w:t>
      </w:r>
    </w:p>
    <w:p w:rsidR="00580981" w:rsidRPr="009E30D1" w:rsidRDefault="00580981"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Las deficiencias en la calidad de los servicios tienen afectaciones negativas serias y en algunos casos graves, toda vez que las mujeres que no se sientan escuchadas y bien atendidas podrían exponer su integridad física o su vida misma al no contar con una alternativa viable para resolver su situación de violencia. Con ello no sólo no se avanza en </w:t>
      </w:r>
      <w:r w:rsidR="00D06029" w:rsidRPr="009E30D1">
        <w:rPr>
          <w:rFonts w:ascii="Adobe Caslon Pro" w:hAnsi="Adobe Caslon Pro" w:cs="Arial"/>
          <w:lang w:val="es-ES"/>
        </w:rPr>
        <w:t>la eliminación de este problema</w:t>
      </w:r>
      <w:r w:rsidRPr="009E30D1">
        <w:rPr>
          <w:rFonts w:ascii="Adobe Caslon Pro" w:hAnsi="Adobe Caslon Pro" w:cs="Arial"/>
          <w:lang w:val="es-ES"/>
        </w:rPr>
        <w:t xml:space="preserve"> sino que lo profundiza al desincentivar la denuncia, la solicitud de ayuda y la consolidación de las instituciones públicas como garantes de los derechos humanos de las mujeres.</w:t>
      </w:r>
    </w:p>
    <w:p w:rsidR="003012EB" w:rsidRPr="009E30D1" w:rsidRDefault="003012EB" w:rsidP="00B85C0B">
      <w:pPr>
        <w:spacing w:after="120" w:line="240" w:lineRule="auto"/>
        <w:jc w:val="both"/>
        <w:rPr>
          <w:rFonts w:ascii="Adobe Caslon Pro" w:hAnsi="Adobe Caslon Pro" w:cs="Arial"/>
          <w:lang w:val="es-ES"/>
        </w:rPr>
      </w:pPr>
    </w:p>
    <w:p w:rsidR="00D12115" w:rsidRPr="009E30D1" w:rsidRDefault="00D12115">
      <w:pPr>
        <w:rPr>
          <w:rFonts w:ascii="Adobe Caslon Pro" w:hAnsi="Adobe Caslon Pro" w:cs="Arial"/>
          <w:b/>
          <w:bCs/>
          <w:color w:val="000000"/>
          <w:lang w:val="es-ES_tradnl"/>
        </w:rPr>
      </w:pPr>
      <w:r w:rsidRPr="009E30D1">
        <w:rPr>
          <w:rFonts w:ascii="Adobe Caslon Pro" w:hAnsi="Adobe Caslon Pro" w:cs="Arial"/>
          <w:b/>
          <w:bCs/>
          <w:color w:val="000000"/>
          <w:lang w:val="es-ES_tradnl"/>
        </w:rPr>
        <w:br w:type="page"/>
      </w:r>
    </w:p>
    <w:p w:rsidR="003012EB" w:rsidRPr="009E30D1" w:rsidRDefault="003012EB" w:rsidP="00B85C0B">
      <w:pPr>
        <w:spacing w:after="120" w:line="240" w:lineRule="auto"/>
        <w:jc w:val="center"/>
        <w:rPr>
          <w:rFonts w:ascii="Adobe Caslon Pro" w:hAnsi="Adobe Caslon Pro" w:cs="Arial"/>
          <w:b/>
          <w:bCs/>
          <w:color w:val="000000"/>
          <w:lang w:val="es-ES_tradnl"/>
        </w:rPr>
      </w:pPr>
      <w:r w:rsidRPr="009E30D1">
        <w:rPr>
          <w:rFonts w:ascii="Adobe Caslon Pro" w:hAnsi="Adobe Caslon Pro" w:cs="Arial"/>
          <w:b/>
          <w:bCs/>
          <w:color w:val="000000"/>
          <w:lang w:val="es-ES_tradnl"/>
        </w:rPr>
        <w:lastRenderedPageBreak/>
        <w:t xml:space="preserve">Figura </w:t>
      </w:r>
      <w:r w:rsidR="00A862B5" w:rsidRPr="009E30D1">
        <w:rPr>
          <w:rFonts w:ascii="Adobe Caslon Pro" w:hAnsi="Adobe Caslon Pro" w:cs="Arial"/>
          <w:b/>
          <w:bCs/>
          <w:color w:val="000000"/>
          <w:lang w:val="es-ES_tradnl"/>
        </w:rPr>
        <w:t>2</w:t>
      </w:r>
      <w:r w:rsidRPr="009E30D1">
        <w:rPr>
          <w:rFonts w:ascii="Adobe Caslon Pro" w:hAnsi="Adobe Caslon Pro" w:cs="Arial"/>
          <w:b/>
          <w:bCs/>
          <w:color w:val="000000"/>
          <w:lang w:val="es-ES_tradnl"/>
        </w:rPr>
        <w:t>. Percepción de la calidad de atención respecto a las mujeres que solicitaron apoyos a alguna institución por entidad federativa</w:t>
      </w:r>
    </w:p>
    <w:p w:rsidR="003012EB" w:rsidRPr="009E30D1" w:rsidRDefault="003012EB" w:rsidP="00B85C0B">
      <w:pPr>
        <w:spacing w:after="120" w:line="240" w:lineRule="auto"/>
        <w:jc w:val="center"/>
        <w:rPr>
          <w:rFonts w:ascii="Adobe Caslon Pro" w:hAnsi="Adobe Caslon Pro" w:cs="Arial"/>
          <w:lang w:val="es-ES_tradnl"/>
        </w:rPr>
      </w:pPr>
      <w:r w:rsidRPr="009E30D1">
        <w:rPr>
          <w:rFonts w:ascii="Adobe Caslon Pro" w:hAnsi="Adobe Caslon Pro" w:cs="Arial"/>
          <w:noProof/>
          <w:lang w:eastAsia="es-MX"/>
        </w:rPr>
        <w:drawing>
          <wp:inline distT="0" distB="0" distL="0" distR="0" wp14:anchorId="091E0D04" wp14:editId="60E603E7">
            <wp:extent cx="3960000" cy="5411203"/>
            <wp:effectExtent l="0" t="1588" r="953" b="952"/>
            <wp:docPr id="42"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60000" cy="5411203"/>
                    </a:xfrm>
                    <a:prstGeom prst="rect">
                      <a:avLst/>
                    </a:prstGeom>
                    <a:noFill/>
                    <a:ln>
                      <a:noFill/>
                    </a:ln>
                  </pic:spPr>
                </pic:pic>
              </a:graphicData>
            </a:graphic>
          </wp:inline>
        </w:drawing>
      </w:r>
    </w:p>
    <w:p w:rsidR="003012EB" w:rsidRPr="009E30D1" w:rsidRDefault="003012EB" w:rsidP="00B85C0B">
      <w:pPr>
        <w:spacing w:after="120" w:line="240" w:lineRule="auto"/>
        <w:ind w:left="426" w:right="51"/>
        <w:jc w:val="center"/>
        <w:rPr>
          <w:rFonts w:ascii="Adobe Caslon Pro" w:hAnsi="Adobe Caslon Pro" w:cs="Arial"/>
          <w:bCs/>
          <w:i/>
          <w:color w:val="000000"/>
          <w:sz w:val="18"/>
          <w:lang w:val="es-ES_tradnl"/>
        </w:rPr>
      </w:pPr>
      <w:r w:rsidRPr="009E30D1">
        <w:rPr>
          <w:rFonts w:ascii="Adobe Caslon Pro" w:hAnsi="Adobe Caslon Pro" w:cs="Arial"/>
          <w:bCs/>
          <w:i/>
          <w:color w:val="000000"/>
          <w:sz w:val="18"/>
          <w:lang w:val="es-ES_tradnl"/>
        </w:rPr>
        <w:t>Fuente: Elaboración propia con datos de la ENDIREH 2011, INEGI.</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_tradnl"/>
        </w:rPr>
        <w:t xml:space="preserve">La segunda causa de segundo nivel es el </w:t>
      </w:r>
      <w:r w:rsidRPr="009E30D1">
        <w:rPr>
          <w:rFonts w:ascii="Adobe Caslon Pro" w:hAnsi="Adobe Caslon Pro" w:cs="Arial"/>
          <w:b/>
          <w:lang w:val="es-ES_tradnl"/>
        </w:rPr>
        <w:t xml:space="preserve">bajo nivel de formación y profesionalización del funcionariado público en materia de violencia contra las mujeres. </w:t>
      </w:r>
      <w:r w:rsidRPr="009E30D1">
        <w:rPr>
          <w:rFonts w:ascii="Adobe Caslon Pro" w:hAnsi="Adobe Caslon Pro" w:cs="Arial"/>
          <w:lang w:val="es-ES"/>
        </w:rPr>
        <w:t>En cuestión de atención, el personal de</w:t>
      </w:r>
      <w:r w:rsidR="00304F85" w:rsidRPr="009E30D1">
        <w:rPr>
          <w:rFonts w:ascii="Adobe Caslon Pro" w:hAnsi="Adobe Caslon Pro" w:cs="Arial"/>
          <w:lang w:val="es-ES"/>
        </w:rPr>
        <w:t>l sector</w:t>
      </w:r>
      <w:r w:rsidRPr="009E30D1">
        <w:rPr>
          <w:rFonts w:ascii="Adobe Caslon Pro" w:hAnsi="Adobe Caslon Pro" w:cs="Arial"/>
          <w:lang w:val="es-ES"/>
        </w:rPr>
        <w:t xml:space="preserve"> salud juega un rol fundamental por ser el primer contacto con las mujeres que viven o han vivido situaciones de violencia y tienen frente la oportunidad única en la prevención, detección oportuna y atención. En este sentido, la escasez de personal </w:t>
      </w:r>
      <w:r w:rsidRPr="009E30D1">
        <w:rPr>
          <w:rFonts w:ascii="Adobe Caslon Pro" w:hAnsi="Adobe Caslon Pro" w:cs="Arial"/>
          <w:lang w:val="es-ES_tradnl"/>
        </w:rPr>
        <w:t xml:space="preserve">con a un perfil profesional adecuado para la atención y el bajo nivel de sensibilización </w:t>
      </w:r>
      <w:r w:rsidR="000B5483" w:rsidRPr="009E30D1">
        <w:rPr>
          <w:rFonts w:ascii="Adobe Caslon Pro" w:hAnsi="Adobe Caslon Pro" w:cs="Arial"/>
          <w:lang w:val="es-ES_tradnl"/>
        </w:rPr>
        <w:t xml:space="preserve">comprometen </w:t>
      </w:r>
      <w:r w:rsidRPr="009E30D1">
        <w:rPr>
          <w:rFonts w:ascii="Adobe Caslon Pro" w:hAnsi="Adobe Caslon Pro" w:cs="Arial"/>
          <w:lang w:val="es-ES_tradnl"/>
        </w:rPr>
        <w:t>la capacidad</w:t>
      </w:r>
      <w:r w:rsidR="000B5483" w:rsidRPr="009E30D1">
        <w:rPr>
          <w:rFonts w:ascii="Adobe Caslon Pro" w:hAnsi="Adobe Caslon Pro" w:cs="Arial"/>
          <w:lang w:val="es-ES_tradnl"/>
        </w:rPr>
        <w:t xml:space="preserve"> institucional</w:t>
      </w:r>
      <w:r w:rsidRPr="009E30D1">
        <w:rPr>
          <w:rFonts w:ascii="Adobe Caslon Pro" w:hAnsi="Adobe Caslon Pro" w:cs="Arial"/>
          <w:lang w:val="es-ES_tradnl"/>
        </w:rPr>
        <w:t xml:space="preserve"> de atención. Para remediar este problema, la OMS (2013) </w:t>
      </w:r>
      <w:r w:rsidRPr="009E30D1">
        <w:rPr>
          <w:rFonts w:ascii="Adobe Caslon Pro" w:hAnsi="Adobe Caslon Pro" w:cs="Arial"/>
          <w:lang w:val="es-ES"/>
        </w:rPr>
        <w:t>ha realizado recomendaciones en las que enfatiza la necesidad urgente de mejorar la atención a las mujeres que han experimentado la violencia. Estas mujeres a menudo buscan atención médica, sin revelar necesariamente la causa de sus lesiones o problemas de salud, pero en muchos casos, los/as trabajadores/as de salud no saben cómo responder. Por ello, entre las recomendaciones se encuentran:</w:t>
      </w:r>
    </w:p>
    <w:p w:rsidR="003012EB" w:rsidRPr="009E30D1" w:rsidRDefault="003012EB" w:rsidP="0082753F">
      <w:pPr>
        <w:pStyle w:val="Prrafodelista1"/>
        <w:numPr>
          <w:ilvl w:val="0"/>
          <w:numId w:val="2"/>
        </w:numPr>
        <w:spacing w:after="120"/>
        <w:jc w:val="both"/>
        <w:rPr>
          <w:rFonts w:ascii="Adobe Caslon Pro" w:hAnsi="Adobe Caslon Pro"/>
          <w:lang w:val="es-ES"/>
        </w:rPr>
      </w:pPr>
      <w:r w:rsidRPr="009E30D1">
        <w:rPr>
          <w:rFonts w:ascii="Adobe Caslon Pro" w:hAnsi="Adobe Caslon Pro"/>
          <w:lang w:val="es-ES"/>
        </w:rPr>
        <w:t>Capacitar a los proveedores de salud sobre cómo preguntar acerca de la violencia.</w:t>
      </w:r>
    </w:p>
    <w:p w:rsidR="003012EB" w:rsidRPr="009E30D1" w:rsidRDefault="003012EB" w:rsidP="0082753F">
      <w:pPr>
        <w:pStyle w:val="Prrafodelista1"/>
        <w:numPr>
          <w:ilvl w:val="0"/>
          <w:numId w:val="2"/>
        </w:numPr>
        <w:spacing w:after="120"/>
        <w:jc w:val="both"/>
        <w:rPr>
          <w:rFonts w:ascii="Adobe Caslon Pro" w:hAnsi="Adobe Caslon Pro"/>
          <w:lang w:val="es-ES"/>
        </w:rPr>
      </w:pPr>
      <w:r w:rsidRPr="009E30D1">
        <w:rPr>
          <w:rFonts w:ascii="Adobe Caslon Pro" w:hAnsi="Adobe Caslon Pro"/>
          <w:lang w:val="es-ES"/>
        </w:rPr>
        <w:t>Llevar a cabo la consulta en un lugar privado.</w:t>
      </w:r>
    </w:p>
    <w:p w:rsidR="003012EB" w:rsidRPr="009E30D1" w:rsidRDefault="003012EB" w:rsidP="0082753F">
      <w:pPr>
        <w:pStyle w:val="Prrafodelista1"/>
        <w:numPr>
          <w:ilvl w:val="0"/>
          <w:numId w:val="2"/>
        </w:numPr>
        <w:spacing w:after="120"/>
        <w:jc w:val="both"/>
        <w:rPr>
          <w:rFonts w:ascii="Adobe Caslon Pro" w:hAnsi="Adobe Caslon Pro"/>
          <w:lang w:val="es-ES"/>
        </w:rPr>
      </w:pPr>
      <w:r w:rsidRPr="009E30D1">
        <w:rPr>
          <w:rFonts w:ascii="Adobe Caslon Pro" w:hAnsi="Adobe Caslon Pro"/>
          <w:lang w:val="es-ES"/>
        </w:rPr>
        <w:lastRenderedPageBreak/>
        <w:t>Garantizar la confidencialidad.</w:t>
      </w:r>
    </w:p>
    <w:p w:rsidR="003012EB" w:rsidRPr="009E30D1" w:rsidRDefault="003012EB" w:rsidP="0082753F">
      <w:pPr>
        <w:pStyle w:val="Prrafodelista1"/>
        <w:numPr>
          <w:ilvl w:val="0"/>
          <w:numId w:val="2"/>
        </w:numPr>
        <w:spacing w:after="120"/>
        <w:jc w:val="both"/>
        <w:rPr>
          <w:rFonts w:ascii="Adobe Caslon Pro" w:hAnsi="Adobe Caslon Pro"/>
          <w:lang w:val="es-ES"/>
        </w:rPr>
      </w:pPr>
      <w:r w:rsidRPr="009E30D1">
        <w:rPr>
          <w:rFonts w:ascii="Adobe Caslon Pro" w:hAnsi="Adobe Caslon Pro"/>
          <w:lang w:val="es-ES"/>
        </w:rPr>
        <w:t>Los centros de salud deberán estar preparados para brindar una respuesta integral para que las mujeres puedan hacer frente a las consecuencias físicas, emocionales y sociales, en caso de abuso sexual.</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Asimismo, en México se cuenta con la norma NOM-046-SSA2-2005 </w:t>
      </w:r>
      <w:r w:rsidR="004D3A0A" w:rsidRPr="009E30D1">
        <w:rPr>
          <w:rFonts w:ascii="Adobe Caslon Pro" w:hAnsi="Adobe Caslon Pro" w:cs="Arial"/>
          <w:lang w:val="es-ES"/>
        </w:rPr>
        <w:t xml:space="preserve">denominada </w:t>
      </w:r>
      <w:r w:rsidRPr="009E30D1">
        <w:rPr>
          <w:rFonts w:ascii="Adobe Caslon Pro" w:hAnsi="Adobe Caslon Pro" w:cs="Arial"/>
          <w:lang w:val="es-ES"/>
        </w:rPr>
        <w:t xml:space="preserve">“Violencia familiar, sexual y contra las mujeres. Criterios para la prevención y atención”, que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w:t>
      </w:r>
      <w:r w:rsidR="004D3A0A" w:rsidRPr="009E30D1">
        <w:rPr>
          <w:rFonts w:ascii="Adobe Caslon Pro" w:hAnsi="Adobe Caslon Pro" w:cs="Arial"/>
          <w:lang w:val="es-ES"/>
        </w:rPr>
        <w:t xml:space="preserve">La cual no siempre es conocida por el personal que se encuentra al frente de los servicios de </w:t>
      </w:r>
      <w:proofErr w:type="gramStart"/>
      <w:r w:rsidR="004D3A0A" w:rsidRPr="009E30D1">
        <w:rPr>
          <w:rFonts w:ascii="Adobe Caslon Pro" w:hAnsi="Adobe Caslon Pro" w:cs="Arial"/>
          <w:lang w:val="es-ES"/>
        </w:rPr>
        <w:t>salud estatales, municipales y regionales</w:t>
      </w:r>
      <w:proofErr w:type="gramEnd"/>
      <w:r w:rsidR="004D3A0A" w:rsidRPr="009E30D1">
        <w:rPr>
          <w:rFonts w:ascii="Adobe Caslon Pro" w:hAnsi="Adobe Caslon Pro" w:cs="Arial"/>
          <w:lang w:val="es-ES"/>
        </w:rPr>
        <w:t>.</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Por otro lado, la limitada preparación del personal del sistema de impartición de justicia, aunado a los altos niveles de complejidad procesal y administrativa de la actual estructura del sistema de procuración e impartición de justicia dificultan las labores de atención</w:t>
      </w:r>
      <w:r w:rsidR="004D3A0A" w:rsidRPr="009E30D1">
        <w:rPr>
          <w:rFonts w:ascii="Adobe Caslon Pro" w:hAnsi="Adobe Caslon Pro" w:cs="Arial"/>
          <w:lang w:val="es-ES"/>
        </w:rPr>
        <w:t xml:space="preserve"> y orientación</w:t>
      </w:r>
      <w:r w:rsidRPr="009E30D1">
        <w:rPr>
          <w:rFonts w:ascii="Adobe Caslon Pro" w:hAnsi="Adobe Caslon Pro" w:cs="Arial"/>
          <w:lang w:val="es-ES"/>
        </w:rPr>
        <w:t xml:space="preserve"> jurídica para las mujeres víctimas de violencia. En este sentido, en promedio, el 36% de la policía preventiva estatal tiene un nivel de estudios máximo de preparatoria y el 35% tiene como grado máximo la carrera técnica-comercial o preparatoria y destacan entidades como Morelos e Hidalgo por tener a más del 70% de la policía preventiva con grado máximo como secundaria (Censo de Gobierno</w:t>
      </w:r>
      <w:r w:rsidRPr="009E30D1">
        <w:rPr>
          <w:rStyle w:val="Refdenotaalpie"/>
          <w:rFonts w:ascii="Adobe Caslon Pro" w:hAnsi="Adobe Caslon Pro"/>
          <w:lang w:val="es-ES"/>
        </w:rPr>
        <w:footnoteReference w:id="17"/>
      </w:r>
      <w:r w:rsidRPr="009E30D1">
        <w:rPr>
          <w:rFonts w:ascii="Adobe Caslon Pro" w:hAnsi="Adobe Caslon Pro" w:cs="Arial"/>
          <w:lang w:val="es-ES"/>
        </w:rPr>
        <w:t>, 2013).</w:t>
      </w:r>
    </w:p>
    <w:p w:rsidR="001D27AD" w:rsidRPr="009E30D1" w:rsidRDefault="001D27AD" w:rsidP="00B85C0B">
      <w:pPr>
        <w:spacing w:after="120" w:line="240" w:lineRule="auto"/>
        <w:jc w:val="both"/>
        <w:rPr>
          <w:rFonts w:ascii="Adobe Caslon Pro" w:hAnsi="Adobe Caslon Pro" w:cs="Arial"/>
          <w:lang w:val="es-ES"/>
        </w:rPr>
      </w:pPr>
      <w:r w:rsidRPr="009E30D1">
        <w:rPr>
          <w:rFonts w:ascii="Adobe Caslon Pro" w:hAnsi="Adobe Caslon Pro" w:cs="Arial"/>
          <w:lang w:val="es-ES"/>
        </w:rPr>
        <w:t>La falta de formación y sensibilización</w:t>
      </w:r>
      <w:r w:rsidR="00E97EDF" w:rsidRPr="009E30D1">
        <w:rPr>
          <w:rFonts w:ascii="Adobe Caslon Pro" w:hAnsi="Adobe Caslon Pro" w:cs="Arial"/>
          <w:lang w:val="es-ES"/>
        </w:rPr>
        <w:t xml:space="preserve"> </w:t>
      </w:r>
      <w:r w:rsidRPr="009E30D1">
        <w:rPr>
          <w:rFonts w:ascii="Adobe Caslon Pro" w:hAnsi="Adobe Caslon Pro" w:cs="Arial"/>
          <w:lang w:val="es-ES"/>
        </w:rPr>
        <w:t xml:space="preserve">del personal de las instancias de seguridad pública </w:t>
      </w:r>
      <w:r w:rsidR="00E97EDF" w:rsidRPr="009E30D1">
        <w:rPr>
          <w:rFonts w:ascii="Adobe Caslon Pro" w:hAnsi="Adobe Caslon Pro" w:cs="Arial"/>
          <w:lang w:val="es-ES"/>
        </w:rPr>
        <w:t xml:space="preserve">en este tema </w:t>
      </w:r>
      <w:r w:rsidR="00972086" w:rsidRPr="009E30D1">
        <w:rPr>
          <w:rFonts w:ascii="Adobe Caslon Pro" w:hAnsi="Adobe Caslon Pro" w:cs="Arial"/>
          <w:lang w:val="es-ES"/>
        </w:rPr>
        <w:t xml:space="preserve">también </w:t>
      </w:r>
      <w:r w:rsidRPr="009E30D1">
        <w:rPr>
          <w:rFonts w:ascii="Adobe Caslon Pro" w:hAnsi="Adobe Caslon Pro" w:cs="Arial"/>
          <w:lang w:val="es-ES"/>
        </w:rPr>
        <w:t xml:space="preserve">afecta negativamente la respuesta pública a este problema, en razón de que al ser en muchas ocasiones </w:t>
      </w:r>
      <w:r w:rsidR="00971137" w:rsidRPr="009E30D1">
        <w:rPr>
          <w:rFonts w:ascii="Adobe Caslon Pro" w:hAnsi="Adobe Caslon Pro" w:cs="Arial"/>
          <w:lang w:val="es-ES"/>
        </w:rPr>
        <w:t>el primer contacto con las mujeres</w:t>
      </w:r>
      <w:r w:rsidRPr="009E30D1">
        <w:rPr>
          <w:rFonts w:ascii="Adobe Caslon Pro" w:hAnsi="Adobe Caslon Pro" w:cs="Arial"/>
          <w:lang w:val="es-ES"/>
        </w:rPr>
        <w:t xml:space="preserve"> </w:t>
      </w:r>
      <w:r w:rsidR="00342921" w:rsidRPr="009E30D1">
        <w:rPr>
          <w:rFonts w:ascii="Adobe Caslon Pro" w:hAnsi="Adobe Caslon Pro" w:cs="Arial"/>
          <w:lang w:val="es-ES"/>
        </w:rPr>
        <w:t xml:space="preserve">se </w:t>
      </w:r>
      <w:r w:rsidR="00972086" w:rsidRPr="009E30D1">
        <w:rPr>
          <w:rFonts w:ascii="Adobe Caslon Pro" w:hAnsi="Adobe Caslon Pro" w:cs="Arial"/>
          <w:lang w:val="es-ES"/>
        </w:rPr>
        <w:t xml:space="preserve">pueden presentar </w:t>
      </w:r>
      <w:r w:rsidRPr="009E30D1">
        <w:rPr>
          <w:rFonts w:ascii="Adobe Caslon Pro" w:hAnsi="Adobe Caslon Pro" w:cs="Arial"/>
          <w:lang w:val="es-ES"/>
        </w:rPr>
        <w:t xml:space="preserve">situaciones de </w:t>
      </w:r>
      <w:proofErr w:type="spellStart"/>
      <w:r w:rsidRPr="009E30D1">
        <w:rPr>
          <w:rFonts w:ascii="Adobe Caslon Pro" w:hAnsi="Adobe Caslon Pro" w:cs="Arial"/>
          <w:lang w:val="es-ES"/>
        </w:rPr>
        <w:t>revictimización</w:t>
      </w:r>
      <w:proofErr w:type="spellEnd"/>
      <w:r w:rsidRPr="009E30D1">
        <w:rPr>
          <w:rFonts w:ascii="Adobe Caslon Pro" w:hAnsi="Adobe Caslon Pro" w:cs="Arial"/>
          <w:lang w:val="es-ES"/>
        </w:rPr>
        <w:t xml:space="preserve">, descalificación de los casos y desestimación de los señalamientos de las víctimas, con lo cual el problema se agrava </w:t>
      </w:r>
      <w:r w:rsidR="00971137" w:rsidRPr="009E30D1">
        <w:rPr>
          <w:rFonts w:ascii="Adobe Caslon Pro" w:hAnsi="Adobe Caslon Pro" w:cs="Arial"/>
          <w:lang w:val="es-ES"/>
        </w:rPr>
        <w:t xml:space="preserve">y en ocasiones deriva en </w:t>
      </w:r>
      <w:r w:rsidRPr="009E30D1">
        <w:rPr>
          <w:rFonts w:ascii="Adobe Caslon Pro" w:hAnsi="Adobe Caslon Pro" w:cs="Arial"/>
          <w:lang w:val="es-ES"/>
        </w:rPr>
        <w:t xml:space="preserve">consecuencias </w:t>
      </w:r>
      <w:r w:rsidR="007634F1" w:rsidRPr="009E30D1">
        <w:rPr>
          <w:rFonts w:ascii="Adobe Caslon Pro" w:hAnsi="Adobe Caslon Pro" w:cs="Arial"/>
          <w:lang w:val="es-ES"/>
        </w:rPr>
        <w:t>graves o</w:t>
      </w:r>
      <w:r w:rsidRPr="009E30D1">
        <w:rPr>
          <w:rFonts w:ascii="Adobe Caslon Pro" w:hAnsi="Adobe Caslon Pro" w:cs="Arial"/>
          <w:lang w:val="es-ES"/>
        </w:rPr>
        <w:t xml:space="preserve"> fatales.</w:t>
      </w:r>
    </w:p>
    <w:p w:rsidR="003012EB" w:rsidRPr="009E30D1" w:rsidRDefault="00362C4C" w:rsidP="00B85C0B">
      <w:pPr>
        <w:spacing w:after="120" w:line="240" w:lineRule="auto"/>
        <w:jc w:val="both"/>
        <w:rPr>
          <w:rFonts w:ascii="Adobe Caslon Pro" w:hAnsi="Adobe Caslon Pro" w:cs="Arial"/>
          <w:lang w:val="es-ES"/>
        </w:rPr>
      </w:pPr>
      <w:r w:rsidRPr="009E30D1">
        <w:rPr>
          <w:rFonts w:ascii="Adobe Caslon Pro" w:hAnsi="Adobe Caslon Pro" w:cs="Arial"/>
          <w:lang w:val="es-ES"/>
        </w:rPr>
        <w:t>Lo mismo sucede en las instancias de procuración de justicia, no obstan</w:t>
      </w:r>
      <w:r w:rsidR="003C06CE" w:rsidRPr="009E30D1">
        <w:rPr>
          <w:rFonts w:ascii="Adobe Caslon Pro" w:hAnsi="Adobe Caslon Pro" w:cs="Arial"/>
          <w:lang w:val="es-ES"/>
        </w:rPr>
        <w:t>te</w:t>
      </w:r>
      <w:r w:rsidRPr="009E30D1">
        <w:rPr>
          <w:rFonts w:ascii="Adobe Caslon Pro" w:hAnsi="Adobe Caslon Pro" w:cs="Arial"/>
          <w:lang w:val="es-ES"/>
        </w:rPr>
        <w:t xml:space="preserve"> que </w:t>
      </w:r>
      <w:r w:rsidR="003012EB" w:rsidRPr="009E30D1">
        <w:rPr>
          <w:rFonts w:ascii="Adobe Caslon Pro" w:hAnsi="Adobe Caslon Pro" w:cs="Arial"/>
          <w:lang w:val="es-ES"/>
        </w:rPr>
        <w:t xml:space="preserve">nuestro país se encuentra en la transición hacia un Sistema de Justicia Penal Acusatorio (SEGOB, 2014), el cual busca su fundamento en el respeto de los derechos tanto de la víctima como del imputado. Este sistema fortalecerá el proceso y el respeto de los derechos humanos, sin embargo, durante dicha transición se continúa operando con el anterior sistema, el cual presenta </w:t>
      </w:r>
      <w:r w:rsidR="004D3A0A" w:rsidRPr="009E30D1">
        <w:rPr>
          <w:rFonts w:ascii="Adobe Caslon Pro" w:hAnsi="Adobe Caslon Pro" w:cs="Arial"/>
          <w:lang w:val="es-ES"/>
        </w:rPr>
        <w:t>serias deficiencias en</w:t>
      </w:r>
      <w:r w:rsidR="003012EB" w:rsidRPr="009E30D1">
        <w:rPr>
          <w:rFonts w:ascii="Adobe Caslon Pro" w:hAnsi="Adobe Caslon Pro" w:cs="Arial"/>
          <w:lang w:val="es-ES"/>
        </w:rPr>
        <w:t xml:space="preserve"> </w:t>
      </w:r>
      <w:r w:rsidR="004D3A0A" w:rsidRPr="009E30D1">
        <w:rPr>
          <w:rFonts w:ascii="Adobe Caslon Pro" w:hAnsi="Adobe Caslon Pro" w:cs="Arial"/>
          <w:lang w:val="es-ES"/>
        </w:rPr>
        <w:t>l</w:t>
      </w:r>
      <w:r w:rsidR="003012EB" w:rsidRPr="009E30D1">
        <w:rPr>
          <w:rFonts w:ascii="Adobe Caslon Pro" w:hAnsi="Adobe Caslon Pro" w:cs="Arial"/>
          <w:lang w:val="es-ES"/>
        </w:rPr>
        <w:t>a procuración e impartición de justicia.</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_tradnl"/>
        </w:rPr>
        <w:lastRenderedPageBreak/>
        <w:t xml:space="preserve">Finalmente, la tercera causa de tercer nivel es la </w:t>
      </w:r>
      <w:r w:rsidRPr="009E30D1">
        <w:rPr>
          <w:rFonts w:ascii="Adobe Caslon Pro" w:hAnsi="Adobe Caslon Pro" w:cs="Arial"/>
          <w:b/>
          <w:lang w:val="es-ES_tradnl"/>
        </w:rPr>
        <w:t xml:space="preserve">deficiente infraestructura para la prestación de servicios especializados </w:t>
      </w:r>
      <w:r w:rsidRPr="009E30D1">
        <w:rPr>
          <w:rFonts w:ascii="Adobe Caslon Pro" w:hAnsi="Adobe Caslon Pro" w:cs="Arial"/>
          <w:lang w:val="es-ES_tradnl"/>
        </w:rPr>
        <w:t>que</w:t>
      </w:r>
      <w:r w:rsidRPr="009E30D1">
        <w:rPr>
          <w:rFonts w:ascii="Adobe Caslon Pro" w:hAnsi="Adobe Caslon Pro" w:cs="Arial"/>
          <w:lang w:val="es-ES"/>
        </w:rPr>
        <w:t xml:space="preserve"> provoca que los servicios sean provistos en espacios </w:t>
      </w:r>
      <w:r w:rsidR="00FE37E0" w:rsidRPr="009E30D1">
        <w:rPr>
          <w:rFonts w:ascii="Adobe Caslon Pro" w:hAnsi="Adobe Caslon Pro" w:cs="Arial"/>
          <w:lang w:val="es-ES"/>
        </w:rPr>
        <w:t>poco adecuados para ello</w:t>
      </w:r>
      <w:r w:rsidRPr="009E30D1">
        <w:rPr>
          <w:rFonts w:ascii="Adobe Caslon Pro" w:hAnsi="Adobe Caslon Pro" w:cs="Arial"/>
          <w:lang w:val="es-ES"/>
        </w:rPr>
        <w:t xml:space="preserve">, sin </w:t>
      </w:r>
      <w:r w:rsidR="00FE37E0" w:rsidRPr="009E30D1">
        <w:rPr>
          <w:rFonts w:ascii="Adobe Caslon Pro" w:hAnsi="Adobe Caslon Pro" w:cs="Arial"/>
          <w:lang w:val="es-ES"/>
        </w:rPr>
        <w:t>medidas de seguridad y confidencialidad además de las serias</w:t>
      </w:r>
      <w:r w:rsidRPr="009E30D1">
        <w:rPr>
          <w:rFonts w:ascii="Adobe Caslon Pro" w:hAnsi="Adobe Caslon Pro" w:cs="Arial"/>
          <w:lang w:val="es-ES"/>
        </w:rPr>
        <w:t xml:space="preserve"> limita</w:t>
      </w:r>
      <w:r w:rsidR="00FE37E0" w:rsidRPr="009E30D1">
        <w:rPr>
          <w:rFonts w:ascii="Adobe Caslon Pro" w:hAnsi="Adobe Caslon Pro" w:cs="Arial"/>
          <w:lang w:val="es-ES"/>
        </w:rPr>
        <w:t xml:space="preserve">ciones en la </w:t>
      </w:r>
      <w:r w:rsidRPr="009E30D1">
        <w:rPr>
          <w:rFonts w:ascii="Adobe Caslon Pro" w:hAnsi="Adobe Caslon Pro" w:cs="Arial"/>
          <w:lang w:val="es-ES"/>
        </w:rPr>
        <w:t xml:space="preserve">cobertura geográfica </w:t>
      </w:r>
      <w:r w:rsidRPr="009E30D1">
        <w:rPr>
          <w:rFonts w:ascii="Adobe Caslon Pro" w:hAnsi="Adobe Caslon Pro" w:cs="Arial"/>
          <w:i/>
          <w:lang w:val="es-ES"/>
        </w:rPr>
        <w:t>(</w:t>
      </w:r>
      <w:r w:rsidRPr="009E30D1">
        <w:rPr>
          <w:rStyle w:val="nfasis"/>
          <w:rFonts w:ascii="Adobe Caslon Pro" w:hAnsi="Adobe Caslon Pro"/>
          <w:i w:val="0"/>
          <w:color w:val="000000"/>
          <w:lang w:val="es-ES"/>
        </w:rPr>
        <w:t>PIPASEVM, 2014)</w:t>
      </w:r>
      <w:r w:rsidRPr="009E30D1">
        <w:rPr>
          <w:rFonts w:ascii="Adobe Caslon Pro" w:hAnsi="Adobe Caslon Pro" w:cs="Arial"/>
          <w:i/>
          <w:lang w:val="es-ES"/>
        </w:rPr>
        <w:t>.</w:t>
      </w:r>
      <w:r w:rsidRPr="009E30D1">
        <w:rPr>
          <w:rFonts w:ascii="Adobe Caslon Pro" w:hAnsi="Adobe Caslon Pro" w:cs="Arial"/>
          <w:lang w:val="es-ES"/>
        </w:rPr>
        <w:t xml:space="preserve"> Estos factores exógenos a la problemática que pretende atender el programa, disminuyen el impacto que se puede tener sobre la atención de la violencia contra las mujeres.</w:t>
      </w:r>
    </w:p>
    <w:p w:rsidR="003012EB" w:rsidRPr="009E30D1" w:rsidRDefault="003012EB" w:rsidP="00B85C0B">
      <w:pPr>
        <w:spacing w:after="120" w:line="240" w:lineRule="auto"/>
        <w:jc w:val="both"/>
        <w:rPr>
          <w:rFonts w:ascii="Adobe Caslon Pro" w:hAnsi="Adobe Caslon Pro" w:cs="Arial"/>
          <w:b/>
          <w:lang w:val="es-ES"/>
        </w:rPr>
      </w:pPr>
      <w:r w:rsidRPr="009E30D1">
        <w:rPr>
          <w:rFonts w:ascii="Adobe Caslon Pro" w:hAnsi="Adobe Caslon Pro" w:cs="Arial"/>
          <w:b/>
          <w:lang w:val="es-ES"/>
        </w:rPr>
        <w:t xml:space="preserve">Causa 4: Bajos niveles de procuración de justicia </w:t>
      </w:r>
    </w:p>
    <w:p w:rsidR="003012EB" w:rsidRPr="009E30D1" w:rsidRDefault="003012EB" w:rsidP="00B85C0B">
      <w:pPr>
        <w:spacing w:after="120" w:line="240" w:lineRule="auto"/>
        <w:jc w:val="both"/>
        <w:rPr>
          <w:rStyle w:val="nfasis"/>
          <w:rFonts w:ascii="Adobe Caslon Pro" w:hAnsi="Adobe Caslon Pro"/>
          <w:i w:val="0"/>
          <w:color w:val="000000"/>
          <w:lang w:val="es-ES"/>
        </w:rPr>
      </w:pPr>
      <w:r w:rsidRPr="009E30D1">
        <w:rPr>
          <w:rStyle w:val="nfasis"/>
          <w:rFonts w:ascii="Adobe Caslon Pro" w:hAnsi="Adobe Caslon Pro"/>
          <w:i w:val="0"/>
          <w:color w:val="000000"/>
          <w:lang w:val="es-ES"/>
        </w:rPr>
        <w:t xml:space="preserve">La última causa del problema es que existen </w:t>
      </w:r>
      <w:r w:rsidRPr="009E30D1">
        <w:rPr>
          <w:rStyle w:val="nfasis"/>
          <w:rFonts w:ascii="Adobe Caslon Pro" w:hAnsi="Adobe Caslon Pro"/>
          <w:b/>
          <w:i w:val="0"/>
          <w:color w:val="000000"/>
          <w:lang w:val="es-ES"/>
        </w:rPr>
        <w:t>bajos niveles de procuración de justicia</w:t>
      </w:r>
      <w:r w:rsidRPr="009E30D1">
        <w:rPr>
          <w:rStyle w:val="nfasis"/>
          <w:rFonts w:ascii="Adobe Caslon Pro" w:hAnsi="Adobe Caslon Pro"/>
          <w:i w:val="0"/>
          <w:color w:val="000000"/>
          <w:lang w:val="es-ES"/>
        </w:rPr>
        <w:t>. En México existen dos leyes que han tenido una vocación transformadora en la tutela de los derechos de las mujeres: la LGIMH, que sienta las bases para garantizar la igualdad formal y sustantiva entre mujeres y hombres, y desarrolla mecanismos institucionales para el cumplimiento de dicho objetivo; y en segundo lugar, la LGAMVLV, ordenamiento que busca erradicar todas las formas de violencia en contra de las mujeres, para lo cual se creó el SNPASEVM y es la base para elaborar el PIPASEVM</w:t>
      </w:r>
      <w:r w:rsidRPr="009E30D1">
        <w:rPr>
          <w:rStyle w:val="Refdenotaalpie"/>
          <w:rFonts w:ascii="Adobe Caslon Pro" w:hAnsi="Adobe Caslon Pro"/>
          <w:i/>
          <w:iCs/>
          <w:color w:val="000000"/>
          <w:lang w:val="es-ES"/>
        </w:rPr>
        <w:footnoteReference w:id="18"/>
      </w:r>
      <w:r w:rsidRPr="009E30D1">
        <w:rPr>
          <w:rStyle w:val="nfasis"/>
          <w:rFonts w:ascii="Adobe Caslon Pro" w:hAnsi="Adobe Caslon Pro"/>
          <w:i w:val="0"/>
          <w:color w:val="000000"/>
          <w:lang w:val="es-ES"/>
        </w:rPr>
        <w:t>.</w:t>
      </w:r>
    </w:p>
    <w:p w:rsidR="003012EB" w:rsidRPr="009E30D1" w:rsidRDefault="003012EB" w:rsidP="00B85C0B">
      <w:pPr>
        <w:spacing w:after="120" w:line="240" w:lineRule="auto"/>
        <w:jc w:val="both"/>
        <w:rPr>
          <w:rFonts w:ascii="Adobe Caslon Pro" w:hAnsi="Adobe Caslon Pro" w:cs="Arial"/>
          <w:i/>
          <w:lang w:val="es-ES"/>
        </w:rPr>
      </w:pPr>
      <w:r w:rsidRPr="009E30D1">
        <w:rPr>
          <w:rStyle w:val="nfasis"/>
          <w:rFonts w:ascii="Adobe Caslon Pro" w:hAnsi="Adobe Caslon Pro"/>
          <w:i w:val="0"/>
          <w:color w:val="000000"/>
          <w:lang w:val="es-ES"/>
        </w:rPr>
        <w:t xml:space="preserve">Ambas leyes parten del reconocimiento de que la existencia de normas no basta, aunque sin duda contribuye para </w:t>
      </w:r>
      <w:r w:rsidR="007634F1" w:rsidRPr="009E30D1">
        <w:rPr>
          <w:rStyle w:val="nfasis"/>
          <w:rFonts w:ascii="Adobe Caslon Pro" w:hAnsi="Adobe Caslon Pro"/>
          <w:i w:val="0"/>
          <w:color w:val="000000"/>
          <w:lang w:val="es-ES"/>
        </w:rPr>
        <w:t xml:space="preserve">sentar las bases y </w:t>
      </w:r>
      <w:r w:rsidRPr="009E30D1">
        <w:rPr>
          <w:rStyle w:val="nfasis"/>
          <w:rFonts w:ascii="Adobe Caslon Pro" w:hAnsi="Adobe Caslon Pro"/>
          <w:i w:val="0"/>
          <w:color w:val="000000"/>
          <w:lang w:val="es-ES"/>
        </w:rPr>
        <w:t>generar una cultura de respeto a los derechos de las mujeres. Sin embargo, l</w:t>
      </w:r>
      <w:r w:rsidRPr="009E30D1">
        <w:rPr>
          <w:rStyle w:val="nfasis"/>
          <w:rFonts w:ascii="Adobe Caslon Pro" w:hAnsi="Adobe Caslon Pro" w:cs="Arial"/>
          <w:i w:val="0"/>
          <w:color w:val="000000"/>
          <w:lang w:val="es-ES"/>
        </w:rPr>
        <w:t>os bajos niveles de procuración de justicia derivados de la violencia contra las mujeres se traducen en percepciones negativas acerca de la eficiencia con la que se ejecutan las leyes pues como se muestra en la ENCUP (2012)</w:t>
      </w:r>
      <w:r w:rsidR="00ED5711" w:rsidRPr="009E30D1">
        <w:rPr>
          <w:rStyle w:val="nfasis"/>
          <w:rFonts w:ascii="Adobe Caslon Pro" w:hAnsi="Adobe Caslon Pro" w:cs="Arial"/>
          <w:i w:val="0"/>
          <w:color w:val="000000"/>
          <w:lang w:val="es-ES"/>
        </w:rPr>
        <w:t>, la mayoría de las personas le</w:t>
      </w:r>
      <w:r w:rsidRPr="009E30D1">
        <w:rPr>
          <w:rStyle w:val="nfasis"/>
          <w:rFonts w:ascii="Adobe Caslon Pro" w:hAnsi="Adobe Caslon Pro" w:cs="Arial"/>
          <w:i w:val="0"/>
          <w:color w:val="000000"/>
          <w:lang w:val="es-ES"/>
        </w:rPr>
        <w:t xml:space="preserve"> tienen poca o nula confianza a los grupos policiacos y al sistema de justicia penal, lo que conlleva a un reducido número de denuncias. Esto se debe principalmente a</w:t>
      </w:r>
      <w:r w:rsidR="00B52185" w:rsidRPr="009E30D1">
        <w:rPr>
          <w:rStyle w:val="nfasis"/>
          <w:rFonts w:ascii="Adobe Caslon Pro" w:hAnsi="Adobe Caslon Pro" w:cs="Arial"/>
          <w:i w:val="0"/>
          <w:color w:val="000000"/>
          <w:lang w:val="es-ES"/>
        </w:rPr>
        <w:t xml:space="preserve"> </w:t>
      </w:r>
      <w:r w:rsidRPr="009E30D1">
        <w:rPr>
          <w:rStyle w:val="nfasis"/>
          <w:rFonts w:ascii="Adobe Caslon Pro" w:hAnsi="Adobe Caslon Pro" w:cs="Arial"/>
          <w:i w:val="0"/>
          <w:color w:val="000000"/>
          <w:lang w:val="es-ES"/>
        </w:rPr>
        <w:t>1) la impunidad en el sistema y 2) la baja articulación de la oferta institucional.</w:t>
      </w:r>
      <w:r w:rsidRPr="009E30D1">
        <w:rPr>
          <w:rStyle w:val="nfasis"/>
          <w:rFonts w:ascii="Adobe Caslon Pro" w:hAnsi="Adobe Caslon Pro" w:cs="Arial"/>
          <w:b/>
          <w:i w:val="0"/>
          <w:color w:val="000000"/>
          <w:lang w:val="es-ES"/>
        </w:rPr>
        <w:t xml:space="preserve"> </w:t>
      </w:r>
    </w:p>
    <w:p w:rsidR="003012EB" w:rsidRPr="009E30D1" w:rsidRDefault="003012EB" w:rsidP="00B85C0B">
      <w:pPr>
        <w:spacing w:after="120" w:line="240" w:lineRule="auto"/>
        <w:jc w:val="both"/>
        <w:rPr>
          <w:rFonts w:ascii="Adobe Caslon Pro" w:hAnsi="Adobe Caslon Pro" w:cs="Arial"/>
          <w:lang w:val="es-ES"/>
        </w:rPr>
      </w:pPr>
      <w:r w:rsidRPr="009E30D1">
        <w:rPr>
          <w:rFonts w:ascii="Adobe Caslon Pro" w:hAnsi="Adobe Caslon Pro" w:cs="Arial"/>
          <w:lang w:val="es-ES"/>
        </w:rPr>
        <w:t xml:space="preserve">Para entender el componente de </w:t>
      </w:r>
      <w:r w:rsidRPr="009E30D1">
        <w:rPr>
          <w:rFonts w:ascii="Adobe Caslon Pro" w:hAnsi="Adobe Caslon Pro" w:cs="Arial"/>
          <w:b/>
          <w:lang w:val="es-ES"/>
        </w:rPr>
        <w:t>impunidad en el sistema de impartición de justicia</w:t>
      </w:r>
      <w:r w:rsidRPr="009E30D1">
        <w:rPr>
          <w:rFonts w:ascii="Adobe Caslon Pro" w:hAnsi="Adobe Caslon Pro" w:cs="Arial"/>
          <w:lang w:val="es-ES"/>
        </w:rPr>
        <w:t xml:space="preserve">, en México, 58.4% de las mujeres mayores de 15 años han sufrido algún incidente de violencia; 52.6% han sido humilladas, encerradas, amenazadas con correrlas de casa, quitarles a sus hijas e hijos o matarlas (violencia emocional); 22.9% han recibido la prohibición de trabajar o estudiar, o les han quitado dinero o bienes (violencia económica); 16.7% han sido golpeadas, amarradas, pateadas o agredidas por su pareja con algún arma (violencia física); 24.7% han sido tocadas o manoseadas sin su consentimiento, les han hecho insinuaciones o propuestas para tener relaciones sexuales a cambio de algo, las han castigado por haberse negado a propuestas de índole sexual y/o las han obligado a tener </w:t>
      </w:r>
      <w:r w:rsidRPr="009E30D1">
        <w:rPr>
          <w:rFonts w:ascii="Adobe Caslon Pro" w:hAnsi="Adobe Caslon Pro" w:cs="Arial"/>
          <w:lang w:val="es-ES"/>
        </w:rPr>
        <w:lastRenderedPageBreak/>
        <w:t>relaciones sexuales sin que lo deseen. De estas últimas más de 500 mil mujeres (1.3%) han sido forzadas a tener relaciones sexuales, y de éstas, alrededor de 75 mil sufrieron una violación en el último año; sin embargo, por ese delito cada año se inician sólo 15 mil averiguaciones y únicamente se concluyen 5 mil juicios en los tribunales superiores de justicia (ENDIREH, 2011). Del mismo modo, del millón 600 mil delitos (cifra que considera todos los delitos y no únicamente los referentes a violencia contra las mujeres) que se denuncian sólo el 23% tiene una investigación concluida y únicamente el 15% se consigan ante un juez, debido a la ineficiente integración de las averiguaciones previas (Z</w:t>
      </w:r>
      <w:r w:rsidR="00ED5711" w:rsidRPr="009E30D1">
        <w:rPr>
          <w:rFonts w:ascii="Adobe Caslon Pro" w:hAnsi="Adobe Caslon Pro" w:cs="Arial"/>
          <w:lang w:val="es-ES"/>
        </w:rPr>
        <w:t>epeda</w:t>
      </w:r>
      <w:r w:rsidRPr="009E30D1">
        <w:rPr>
          <w:rFonts w:ascii="Adobe Caslon Pro" w:hAnsi="Adobe Caslon Pro" w:cs="Arial"/>
          <w:lang w:val="es-ES"/>
        </w:rPr>
        <w:t xml:space="preserve">, 2002). </w:t>
      </w:r>
    </w:p>
    <w:p w:rsidR="003012EB" w:rsidRPr="009E30D1" w:rsidRDefault="003012EB" w:rsidP="00B85C0B">
      <w:pPr>
        <w:spacing w:after="120" w:line="240" w:lineRule="auto"/>
        <w:jc w:val="both"/>
        <w:rPr>
          <w:rFonts w:ascii="Adobe Caslon Pro" w:hAnsi="Adobe Caslon Pro" w:cs="Arial"/>
          <w:lang w:val="es-ES"/>
        </w:rPr>
      </w:pPr>
      <w:r w:rsidRPr="009E30D1">
        <w:rPr>
          <w:rStyle w:val="nfasis"/>
          <w:rFonts w:ascii="Adobe Caslon Pro" w:hAnsi="Adobe Caslon Pro" w:cs="Arial"/>
          <w:i w:val="0"/>
          <w:lang w:val="es-ES"/>
        </w:rPr>
        <w:t xml:space="preserve">La impunidad que caracteriza </w:t>
      </w:r>
      <w:r w:rsidR="00C758C9" w:rsidRPr="009E30D1">
        <w:rPr>
          <w:rStyle w:val="nfasis"/>
          <w:rFonts w:ascii="Adobe Caslon Pro" w:hAnsi="Adobe Caslon Pro" w:cs="Arial"/>
          <w:i w:val="0"/>
          <w:lang w:val="es-ES"/>
        </w:rPr>
        <w:t>a</w:t>
      </w:r>
      <w:r w:rsidRPr="009E30D1">
        <w:rPr>
          <w:rStyle w:val="nfasis"/>
          <w:rFonts w:ascii="Adobe Caslon Pro" w:hAnsi="Adobe Caslon Pro" w:cs="Arial"/>
          <w:i w:val="0"/>
          <w:lang w:val="es-ES"/>
        </w:rPr>
        <w:t xml:space="preserve">l sistema judicial mexicano se debe a los </w:t>
      </w:r>
      <w:r w:rsidRPr="009E30D1">
        <w:rPr>
          <w:rStyle w:val="nfasis"/>
          <w:rFonts w:ascii="Adobe Caslon Pro" w:hAnsi="Adobe Caslon Pro" w:cs="Arial"/>
          <w:b/>
          <w:i w:val="0"/>
          <w:lang w:val="es-ES"/>
        </w:rPr>
        <w:t>deficientes sistemas de procuración e impartición de justicia.</w:t>
      </w:r>
      <w:r w:rsidRPr="009E30D1">
        <w:rPr>
          <w:rStyle w:val="nfasis"/>
          <w:rFonts w:ascii="Adobe Caslon Pro" w:hAnsi="Adobe Caslon Pro" w:cs="Arial"/>
          <w:i w:val="0"/>
          <w:lang w:val="es-ES"/>
        </w:rPr>
        <w:t xml:space="preserve"> </w:t>
      </w:r>
      <w:r w:rsidRPr="009E30D1">
        <w:rPr>
          <w:rFonts w:ascii="Adobe Caslon Pro" w:hAnsi="Adobe Caslon Pro" w:cs="Arial"/>
          <w:lang w:val="es-ES"/>
        </w:rPr>
        <w:t xml:space="preserve">Para erradicar este problema es necesario que en México se cuente con personal que persiga con eficacia y </w:t>
      </w:r>
      <w:r w:rsidR="00FE37E0" w:rsidRPr="009E30D1">
        <w:rPr>
          <w:rFonts w:ascii="Adobe Caslon Pro" w:hAnsi="Adobe Caslon Pro" w:cs="Arial"/>
          <w:lang w:val="es-ES"/>
        </w:rPr>
        <w:t xml:space="preserve">en estricto apego </w:t>
      </w:r>
      <w:r w:rsidRPr="009E30D1">
        <w:rPr>
          <w:rFonts w:ascii="Adobe Caslon Pro" w:hAnsi="Adobe Caslon Pro" w:cs="Arial"/>
          <w:lang w:val="es-ES"/>
        </w:rPr>
        <w:t xml:space="preserve">a la ley a las personas que delincan, que sea capaz de realizar averiguaciones bien fundamentadas que permitan </w:t>
      </w:r>
      <w:r w:rsidR="00FE37E0" w:rsidRPr="009E30D1">
        <w:rPr>
          <w:rFonts w:ascii="Adobe Caslon Pro" w:hAnsi="Adobe Caslon Pro" w:cs="Arial"/>
          <w:lang w:val="es-ES"/>
        </w:rPr>
        <w:t>procesar debidamente</w:t>
      </w:r>
      <w:r w:rsidRPr="009E30D1">
        <w:rPr>
          <w:rFonts w:ascii="Adobe Caslon Pro" w:hAnsi="Adobe Caslon Pro" w:cs="Arial"/>
          <w:lang w:val="es-ES"/>
        </w:rPr>
        <w:t xml:space="preserve"> a los presuntos delincuentes. No obstante, la </w:t>
      </w:r>
      <w:r w:rsidR="001C641E" w:rsidRPr="009E30D1">
        <w:rPr>
          <w:rFonts w:ascii="Adobe Caslon Pro" w:hAnsi="Adobe Caslon Pro" w:cs="Arial"/>
          <w:lang w:val="es-ES"/>
        </w:rPr>
        <w:t xml:space="preserve">falta de sanciones y la emisión de sentencias ambiguas o endebles </w:t>
      </w:r>
      <w:proofErr w:type="gramStart"/>
      <w:r w:rsidRPr="009E30D1">
        <w:rPr>
          <w:rFonts w:ascii="Adobe Caslon Pro" w:hAnsi="Adobe Caslon Pro" w:cs="Arial"/>
          <w:lang w:val="es-ES"/>
        </w:rPr>
        <w:t>hace</w:t>
      </w:r>
      <w:proofErr w:type="gramEnd"/>
      <w:r w:rsidRPr="009E30D1">
        <w:rPr>
          <w:rFonts w:ascii="Adobe Caslon Pro" w:hAnsi="Adobe Caslon Pro" w:cs="Arial"/>
          <w:lang w:val="es-ES"/>
        </w:rPr>
        <w:t xml:space="preserve"> que el sistema pierda credibilidad y que existe impunidad. Además, existe un bajo nivel de operatividad y efectividad del sistema, derivada de la inadecuada interacción de los distintos eslabones que lo componen.</w:t>
      </w:r>
      <w:r w:rsidR="00FE37E0" w:rsidRPr="009E30D1">
        <w:rPr>
          <w:rFonts w:ascii="Adobe Caslon Pro" w:hAnsi="Adobe Caslon Pro" w:cs="Arial"/>
          <w:lang w:val="es-ES"/>
        </w:rPr>
        <w:t xml:space="preserve"> Como muestra de lo anterior</w:t>
      </w:r>
      <w:r w:rsidRPr="009E30D1">
        <w:rPr>
          <w:rFonts w:ascii="Adobe Caslon Pro" w:hAnsi="Adobe Caslon Pro" w:cs="Arial"/>
          <w:lang w:val="es-ES"/>
        </w:rPr>
        <w:t>, Guillermo Zepeda (2002) señala que en el año 2000, en promedio, cada agente del ministerio público recibió 279 casos que se sumaron a los casos pendientes que ya tenían (</w:t>
      </w:r>
      <w:r w:rsidR="00FE37E0" w:rsidRPr="009E30D1">
        <w:rPr>
          <w:rFonts w:ascii="Adobe Caslon Pro" w:hAnsi="Adobe Caslon Pro" w:cs="Arial"/>
          <w:lang w:val="es-ES"/>
        </w:rPr>
        <w:t xml:space="preserve">en </w:t>
      </w:r>
      <w:r w:rsidRPr="009E30D1">
        <w:rPr>
          <w:rFonts w:ascii="Adobe Caslon Pro" w:hAnsi="Adobe Caslon Pro" w:cs="Arial"/>
          <w:lang w:val="es-ES"/>
        </w:rPr>
        <w:t>Yucatán cada agente recibió 2,000 expedientes). Con tal cantidad de casos nuevos e investigaciones pendientes, la eficiencia y eficacia con la que se podrían resolver los casos se ve afectada. Estas múltiples deficiencias del sistema de justicia se traducen en niveles elevados de impunidad.</w:t>
      </w:r>
    </w:p>
    <w:p w:rsidR="006B47C9" w:rsidRPr="009E30D1" w:rsidRDefault="003012EB" w:rsidP="00B85C0B">
      <w:pPr>
        <w:spacing w:after="120" w:line="240" w:lineRule="auto"/>
        <w:jc w:val="both"/>
        <w:rPr>
          <w:rFonts w:ascii="Adobe Caslon Pro" w:hAnsi="Adobe Caslon Pro" w:cs="Arial"/>
          <w:lang w:val="es-ES_tradnl"/>
        </w:rPr>
      </w:pPr>
      <w:r w:rsidRPr="009E30D1">
        <w:rPr>
          <w:rStyle w:val="nfasis"/>
          <w:rFonts w:ascii="Adobe Caslon Pro" w:hAnsi="Adobe Caslon Pro" w:cs="Arial"/>
          <w:i w:val="0"/>
          <w:lang w:val="es-ES"/>
        </w:rPr>
        <w:t xml:space="preserve">Por otro lado, </w:t>
      </w:r>
      <w:r w:rsidR="00E53C1E" w:rsidRPr="009E30D1">
        <w:rPr>
          <w:rStyle w:val="nfasis"/>
          <w:rFonts w:ascii="Adobe Caslon Pro" w:hAnsi="Adobe Caslon Pro" w:cs="Arial"/>
          <w:i w:val="0"/>
          <w:lang w:val="es-ES"/>
        </w:rPr>
        <w:t xml:space="preserve">se tiene </w:t>
      </w:r>
      <w:r w:rsidRPr="009E30D1">
        <w:rPr>
          <w:rStyle w:val="nfasis"/>
          <w:rFonts w:ascii="Adobe Caslon Pro" w:hAnsi="Adobe Caslon Pro" w:cs="Arial"/>
          <w:i w:val="0"/>
          <w:lang w:val="es-ES"/>
        </w:rPr>
        <w:t xml:space="preserve">la </w:t>
      </w:r>
      <w:r w:rsidRPr="009E30D1">
        <w:rPr>
          <w:rStyle w:val="nfasis"/>
          <w:rFonts w:ascii="Adobe Caslon Pro" w:hAnsi="Adobe Caslon Pro" w:cs="Arial"/>
          <w:b/>
          <w:i w:val="0"/>
          <w:lang w:val="es-ES"/>
        </w:rPr>
        <w:t>baja articulación de la oferta institucional</w:t>
      </w:r>
      <w:r w:rsidRPr="009E30D1">
        <w:rPr>
          <w:rStyle w:val="nfasis"/>
          <w:rFonts w:ascii="Adobe Caslon Pro" w:hAnsi="Adobe Caslon Pro" w:cs="Arial"/>
          <w:i w:val="0"/>
          <w:lang w:val="es-ES"/>
        </w:rPr>
        <w:t xml:space="preserve"> </w:t>
      </w:r>
      <w:r w:rsidR="00E53C1E" w:rsidRPr="009E30D1">
        <w:rPr>
          <w:rStyle w:val="nfasis"/>
          <w:rFonts w:ascii="Adobe Caslon Pro" w:hAnsi="Adobe Caslon Pro" w:cs="Arial"/>
          <w:i w:val="0"/>
          <w:lang w:val="es-ES"/>
        </w:rPr>
        <w:t>para las mujeres que se encuentran en situación de violencia</w:t>
      </w:r>
      <w:r w:rsidR="00854176" w:rsidRPr="009E30D1">
        <w:rPr>
          <w:rStyle w:val="nfasis"/>
          <w:rFonts w:ascii="Adobe Caslon Pro" w:hAnsi="Adobe Caslon Pro" w:cs="Arial"/>
          <w:i w:val="0"/>
          <w:lang w:val="es-ES"/>
        </w:rPr>
        <w:t>; al respecto</w:t>
      </w:r>
      <w:r w:rsidR="00E53C1E" w:rsidRPr="009E30D1">
        <w:rPr>
          <w:rStyle w:val="nfasis"/>
          <w:rFonts w:ascii="Adobe Caslon Pro" w:hAnsi="Adobe Caslon Pro" w:cs="Arial"/>
          <w:i w:val="0"/>
          <w:lang w:val="es-ES"/>
        </w:rPr>
        <w:t xml:space="preserve"> el PIPASEVM señala </w:t>
      </w:r>
      <w:r w:rsidR="00854176" w:rsidRPr="009E30D1">
        <w:rPr>
          <w:rStyle w:val="nfasis"/>
          <w:rFonts w:ascii="Adobe Caslon Pro" w:hAnsi="Adobe Caslon Pro" w:cs="Arial"/>
          <w:i w:val="0"/>
          <w:lang w:val="es-ES"/>
        </w:rPr>
        <w:t xml:space="preserve">que una de las principales problemáticas que se enfrenta es </w:t>
      </w:r>
      <w:r w:rsidR="00E53C1E" w:rsidRPr="009E30D1">
        <w:rPr>
          <w:rStyle w:val="nfasis"/>
          <w:rFonts w:ascii="Adobe Caslon Pro" w:hAnsi="Adobe Caslon Pro" w:cs="Arial"/>
          <w:i w:val="0"/>
          <w:lang w:val="es-ES"/>
        </w:rPr>
        <w:t xml:space="preserve">la </w:t>
      </w:r>
      <w:r w:rsidR="00854176" w:rsidRPr="009E30D1">
        <w:rPr>
          <w:rStyle w:val="nfasis"/>
          <w:rFonts w:ascii="Adobe Caslon Pro" w:hAnsi="Adobe Caslon Pro" w:cs="Arial"/>
          <w:i w:val="0"/>
          <w:lang w:val="es-ES"/>
        </w:rPr>
        <w:t>des</w:t>
      </w:r>
      <w:r w:rsidR="00E53C1E" w:rsidRPr="009E30D1">
        <w:rPr>
          <w:rStyle w:val="nfasis"/>
          <w:rFonts w:ascii="Adobe Caslon Pro" w:hAnsi="Adobe Caslon Pro" w:cs="Arial"/>
          <w:i w:val="0"/>
          <w:lang w:val="es-ES"/>
        </w:rPr>
        <w:t xml:space="preserve">coordinación de las diferentes instancias que coadyuvan en el abordaje de este problema, </w:t>
      </w:r>
      <w:r w:rsidR="006B47C9" w:rsidRPr="009E30D1">
        <w:rPr>
          <w:rStyle w:val="nfasis"/>
          <w:rFonts w:ascii="Adobe Caslon Pro" w:hAnsi="Adobe Caslon Pro" w:cs="Arial"/>
          <w:i w:val="0"/>
          <w:lang w:val="es-ES"/>
        </w:rPr>
        <w:t>es así</w:t>
      </w:r>
      <w:r w:rsidR="00E53C1E" w:rsidRPr="009E30D1">
        <w:rPr>
          <w:rStyle w:val="nfasis"/>
          <w:rFonts w:ascii="Adobe Caslon Pro" w:hAnsi="Adobe Caslon Pro" w:cs="Arial"/>
          <w:i w:val="0"/>
          <w:lang w:val="es-ES"/>
        </w:rPr>
        <w:t xml:space="preserve"> que</w:t>
      </w:r>
      <w:r w:rsidR="006B47C9" w:rsidRPr="009E30D1">
        <w:rPr>
          <w:rStyle w:val="nfasis"/>
          <w:rFonts w:ascii="Adobe Caslon Pro" w:hAnsi="Adobe Caslon Pro" w:cs="Arial"/>
          <w:i w:val="0"/>
          <w:lang w:val="es-ES"/>
        </w:rPr>
        <w:t xml:space="preserve"> se tienen como </w:t>
      </w:r>
      <w:r w:rsidR="00E53C1E" w:rsidRPr="009E30D1">
        <w:rPr>
          <w:rStyle w:val="nfasis"/>
          <w:rFonts w:ascii="Adobe Caslon Pro" w:hAnsi="Adobe Caslon Pro" w:cs="Arial"/>
          <w:i w:val="0"/>
          <w:lang w:val="es-ES"/>
        </w:rPr>
        <w:t>constante</w:t>
      </w:r>
      <w:r w:rsidR="006B47C9" w:rsidRPr="009E30D1">
        <w:rPr>
          <w:rStyle w:val="nfasis"/>
          <w:rFonts w:ascii="Adobe Caslon Pro" w:hAnsi="Adobe Caslon Pro" w:cs="Arial"/>
          <w:i w:val="0"/>
          <w:lang w:val="es-ES"/>
        </w:rPr>
        <w:t>s</w:t>
      </w:r>
      <w:r w:rsidR="00E53C1E" w:rsidRPr="009E30D1">
        <w:rPr>
          <w:rStyle w:val="nfasis"/>
          <w:rFonts w:ascii="Adobe Caslon Pro" w:hAnsi="Adobe Caslon Pro" w:cs="Arial"/>
          <w:i w:val="0"/>
          <w:lang w:val="es-ES"/>
        </w:rPr>
        <w:t xml:space="preserve"> los </w:t>
      </w:r>
      <w:r w:rsidRPr="009E30D1">
        <w:rPr>
          <w:rFonts w:ascii="Adobe Caslon Pro" w:hAnsi="Adobe Caslon Pro" w:cs="Arial"/>
          <w:lang w:val="es-ES_tradnl"/>
        </w:rPr>
        <w:t>esfuerzos</w:t>
      </w:r>
      <w:r w:rsidR="00DF3E6F" w:rsidRPr="009E30D1">
        <w:rPr>
          <w:rFonts w:ascii="Adobe Caslon Pro" w:hAnsi="Adobe Caslon Pro" w:cs="Arial"/>
          <w:lang w:val="es-ES_tradnl"/>
        </w:rPr>
        <w:t xml:space="preserve"> institucionales</w:t>
      </w:r>
      <w:r w:rsidRPr="009E30D1">
        <w:rPr>
          <w:rFonts w:ascii="Adobe Caslon Pro" w:hAnsi="Adobe Caslon Pro" w:cs="Arial"/>
          <w:lang w:val="es-ES_tradnl"/>
        </w:rPr>
        <w:t xml:space="preserve"> aislados y </w:t>
      </w:r>
      <w:r w:rsidR="00854176" w:rsidRPr="009E30D1">
        <w:rPr>
          <w:rFonts w:ascii="Adobe Caslon Pro" w:hAnsi="Adobe Caslon Pro" w:cs="Arial"/>
          <w:lang w:val="es-ES_tradnl"/>
        </w:rPr>
        <w:t xml:space="preserve">muy </w:t>
      </w:r>
      <w:r w:rsidR="00E53C1E" w:rsidRPr="009E30D1">
        <w:rPr>
          <w:rFonts w:ascii="Adobe Caslon Pro" w:hAnsi="Adobe Caslon Pro" w:cs="Arial"/>
          <w:lang w:val="es-ES_tradnl"/>
        </w:rPr>
        <w:t>pocas</w:t>
      </w:r>
      <w:r w:rsidRPr="009E30D1">
        <w:rPr>
          <w:rFonts w:ascii="Adobe Caslon Pro" w:hAnsi="Adobe Caslon Pro" w:cs="Arial"/>
          <w:lang w:val="es-ES_tradnl"/>
        </w:rPr>
        <w:t xml:space="preserve"> sinergias </w:t>
      </w:r>
      <w:r w:rsidR="006B47C9" w:rsidRPr="009E30D1">
        <w:rPr>
          <w:rFonts w:ascii="Adobe Caslon Pro" w:hAnsi="Adobe Caslon Pro" w:cs="Arial"/>
          <w:lang w:val="es-ES_tradnl"/>
        </w:rPr>
        <w:t xml:space="preserve">para </w:t>
      </w:r>
      <w:r w:rsidR="00E53C1E" w:rsidRPr="009E30D1">
        <w:rPr>
          <w:rFonts w:ascii="Adobe Caslon Pro" w:hAnsi="Adobe Caslon Pro" w:cs="Arial"/>
          <w:lang w:val="es-ES_tradnl"/>
        </w:rPr>
        <w:t xml:space="preserve">complementar recursos y potenciar los servicios. </w:t>
      </w:r>
      <w:r w:rsidRPr="009E30D1">
        <w:rPr>
          <w:rFonts w:ascii="Adobe Caslon Pro" w:hAnsi="Adobe Caslon Pro" w:cs="Arial"/>
          <w:lang w:val="es-ES_tradnl"/>
        </w:rPr>
        <w:t>E</w:t>
      </w:r>
      <w:r w:rsidR="00E53C1E" w:rsidRPr="009E30D1">
        <w:rPr>
          <w:rFonts w:ascii="Adobe Caslon Pro" w:hAnsi="Adobe Caslon Pro" w:cs="Arial"/>
          <w:lang w:val="es-ES_tradnl"/>
        </w:rPr>
        <w:t>n gran medida la falta de articulación se debe a que las tareas de planeación-programación se basan en</w:t>
      </w:r>
      <w:r w:rsidR="0014504B" w:rsidRPr="009E30D1">
        <w:rPr>
          <w:rFonts w:ascii="Adobe Caslon Pro" w:hAnsi="Adobe Caslon Pro" w:cs="Arial"/>
          <w:lang w:val="es-ES_tradnl"/>
        </w:rPr>
        <w:t xml:space="preserve"> </w:t>
      </w:r>
      <w:r w:rsidRPr="009E30D1">
        <w:rPr>
          <w:rFonts w:ascii="Adobe Caslon Pro" w:hAnsi="Adobe Caslon Pro" w:cs="Arial"/>
          <w:b/>
          <w:lang w:val="es-ES_tradnl"/>
        </w:rPr>
        <w:t>marcos normativos estatales e institucionales desarmonizados y</w:t>
      </w:r>
      <w:r w:rsidRPr="009E30D1">
        <w:rPr>
          <w:rFonts w:ascii="Adobe Caslon Pro" w:hAnsi="Adobe Caslon Pro" w:cs="Arial"/>
          <w:lang w:val="es-ES_tradnl"/>
        </w:rPr>
        <w:t xml:space="preserve"> </w:t>
      </w:r>
      <w:r w:rsidRPr="009E30D1">
        <w:rPr>
          <w:rFonts w:ascii="Adobe Caslon Pro" w:hAnsi="Adobe Caslon Pro" w:cs="Arial"/>
          <w:b/>
          <w:lang w:val="es-ES_tradnl"/>
        </w:rPr>
        <w:t>desarticulados</w:t>
      </w:r>
      <w:r w:rsidR="00854176" w:rsidRPr="009E30D1">
        <w:rPr>
          <w:rFonts w:ascii="Adobe Caslon Pro" w:hAnsi="Adobe Caslon Pro" w:cs="Arial"/>
          <w:b/>
          <w:lang w:val="es-ES_tradnl"/>
        </w:rPr>
        <w:t xml:space="preserve">, </w:t>
      </w:r>
      <w:r w:rsidR="006B47C9" w:rsidRPr="009E30D1">
        <w:rPr>
          <w:rFonts w:ascii="Adobe Caslon Pro" w:hAnsi="Adobe Caslon Pro" w:cs="Arial"/>
          <w:lang w:val="es-ES_tradnl"/>
        </w:rPr>
        <w:t>la dinámica misma de los avances continuos en materia de derechos humanos conlleva a que los marcos normativos locales</w:t>
      </w:r>
      <w:r w:rsidR="00DF3E6F" w:rsidRPr="009E30D1">
        <w:rPr>
          <w:rFonts w:ascii="Adobe Caslon Pro" w:hAnsi="Adobe Caslon Pro" w:cs="Arial"/>
          <w:lang w:val="es-ES_tradnl"/>
        </w:rPr>
        <w:t xml:space="preserve"> deben someterse a un </w:t>
      </w:r>
      <w:r w:rsidR="006B47C9" w:rsidRPr="009E30D1">
        <w:rPr>
          <w:rFonts w:ascii="Adobe Caslon Pro" w:hAnsi="Adobe Caslon Pro" w:cs="Arial"/>
          <w:lang w:val="es-ES_tradnl"/>
        </w:rPr>
        <w:t xml:space="preserve">proceso </w:t>
      </w:r>
      <w:r w:rsidR="00DF3E6F" w:rsidRPr="009E30D1">
        <w:rPr>
          <w:rFonts w:ascii="Adobe Caslon Pro" w:hAnsi="Adobe Caslon Pro" w:cs="Arial"/>
          <w:lang w:val="es-ES_tradnl"/>
        </w:rPr>
        <w:t xml:space="preserve">permanente </w:t>
      </w:r>
      <w:r w:rsidR="006B47C9" w:rsidRPr="009E30D1">
        <w:rPr>
          <w:rFonts w:ascii="Adobe Caslon Pro" w:hAnsi="Adobe Caslon Pro" w:cs="Arial"/>
          <w:lang w:val="es-ES_tradnl"/>
        </w:rPr>
        <w:t>de revisión y adecuación para dar cabida a las responsabilidades y compromisos institucionales que resultan necesarios para avanzar en la igualdad sustantiva entre mujeres y hombres.</w:t>
      </w:r>
    </w:p>
    <w:p w:rsidR="00DF3E6F" w:rsidRPr="009E30D1" w:rsidRDefault="006B47C9"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lastRenderedPageBreak/>
        <w:t>Muestra de lo anterior puede ejemplificarse</w:t>
      </w:r>
      <w:r w:rsidR="00181626" w:rsidRPr="009E30D1">
        <w:rPr>
          <w:rFonts w:ascii="Adobe Caslon Pro" w:hAnsi="Adobe Caslon Pro" w:cs="Arial"/>
          <w:lang w:val="es-ES_tradnl"/>
        </w:rPr>
        <w:t xml:space="preserve"> </w:t>
      </w:r>
      <w:r w:rsidRPr="009E30D1">
        <w:rPr>
          <w:rFonts w:ascii="Adobe Caslon Pro" w:hAnsi="Adobe Caslon Pro" w:cs="Arial"/>
          <w:lang w:val="es-ES_tradnl"/>
        </w:rPr>
        <w:t>con las leyes estatales de acceso de las mujeres a una vida libre de violencia, las cuales derivan una serie de mecanismos que en cada entidad federativa deben ser aterrizados y por ende el marco normativo local debe ser ajustado para dar cabida a las prescripciones que puntualmente contribuirían a la construcción de una red institucional promotora y garante de los derechos de humanos de las mujeres, particularmente el de una vida libre de violencia (</w:t>
      </w:r>
      <w:r w:rsidR="00181626" w:rsidRPr="009E30D1">
        <w:rPr>
          <w:rFonts w:ascii="Adobe Caslon Pro" w:hAnsi="Adobe Caslon Pro" w:cs="Arial"/>
          <w:lang w:val="es-ES_tradnl"/>
        </w:rPr>
        <w:t xml:space="preserve">modificación de las leyes orgánicas para dar </w:t>
      </w:r>
      <w:r w:rsidR="00D06029" w:rsidRPr="009E30D1">
        <w:rPr>
          <w:rFonts w:ascii="Adobe Caslon Pro" w:hAnsi="Adobe Caslon Pro" w:cs="Arial"/>
          <w:lang w:val="es-ES_tradnl"/>
        </w:rPr>
        <w:t>paso</w:t>
      </w:r>
      <w:r w:rsidR="00181626" w:rsidRPr="009E30D1">
        <w:rPr>
          <w:rFonts w:ascii="Adobe Caslon Pro" w:hAnsi="Adobe Caslon Pro" w:cs="Arial"/>
          <w:lang w:val="es-ES_tradnl"/>
        </w:rPr>
        <w:t xml:space="preserve"> a la participación de las dependencias, la </w:t>
      </w:r>
      <w:r w:rsidRPr="009E30D1">
        <w:rPr>
          <w:rFonts w:ascii="Adobe Caslon Pro" w:hAnsi="Adobe Caslon Pro" w:cs="Arial"/>
          <w:lang w:val="es-ES_tradnl"/>
        </w:rPr>
        <w:t xml:space="preserve">tipificación del </w:t>
      </w:r>
      <w:proofErr w:type="spellStart"/>
      <w:r w:rsidRPr="009E30D1">
        <w:rPr>
          <w:rFonts w:ascii="Adobe Caslon Pro" w:hAnsi="Adobe Caslon Pro" w:cs="Arial"/>
          <w:lang w:val="es-ES_tradnl"/>
        </w:rPr>
        <w:t>feminicidio</w:t>
      </w:r>
      <w:proofErr w:type="spellEnd"/>
      <w:r w:rsidRPr="009E30D1">
        <w:rPr>
          <w:rFonts w:ascii="Adobe Caslon Pro" w:hAnsi="Adobe Caslon Pro" w:cs="Arial"/>
          <w:lang w:val="es-ES_tradnl"/>
        </w:rPr>
        <w:t xml:space="preserve"> y de los tipos de violencia que se ejerce contra las mujeres, entre otros aspectos).</w:t>
      </w:r>
    </w:p>
    <w:p w:rsidR="006B47C9" w:rsidRPr="009E30D1" w:rsidRDefault="00DF3E6F"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Tanto el marco normativo internacional como la literatura especializada han reiterado el carácter multifactorial y multidimensional de la violencia basada en el género, luego entonces se ha enfatizado la necesidad de que el abordaje de este problema suceda desde diferentes frentes institucionales, en caso contrario las acciones podrían quedar como unidades operativas aisladas sin perspectiva de incidencia social.</w:t>
      </w:r>
    </w:p>
    <w:p w:rsidR="00934B91" w:rsidRPr="009E30D1" w:rsidRDefault="00934B91"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A nivel general y local, la presencia de marcos normativos desarmonizados y desarticulados</w:t>
      </w:r>
      <w:r w:rsidR="00D06029" w:rsidRPr="009E30D1">
        <w:rPr>
          <w:rFonts w:ascii="Adobe Caslon Pro" w:hAnsi="Adobe Caslon Pro" w:cs="Arial"/>
          <w:lang w:val="es-ES_tradnl"/>
        </w:rPr>
        <w:t>,</w:t>
      </w:r>
      <w:r w:rsidRPr="009E30D1">
        <w:rPr>
          <w:rFonts w:ascii="Adobe Caslon Pro" w:hAnsi="Adobe Caslon Pro" w:cs="Arial"/>
          <w:lang w:val="es-ES_tradnl"/>
        </w:rPr>
        <w:t xml:space="preserve"> </w:t>
      </w:r>
      <w:r w:rsidR="003012EB" w:rsidRPr="009E30D1">
        <w:rPr>
          <w:rFonts w:ascii="Adobe Caslon Pro" w:hAnsi="Adobe Caslon Pro" w:cs="Arial"/>
          <w:lang w:val="es-ES_tradnl"/>
        </w:rPr>
        <w:t>e no permite que las diversas instituciones normen su actuación</w:t>
      </w:r>
      <w:r w:rsidRPr="009E30D1">
        <w:rPr>
          <w:rFonts w:ascii="Adobe Caslon Pro" w:hAnsi="Adobe Caslon Pro" w:cs="Arial"/>
          <w:lang w:val="es-ES_tradnl"/>
        </w:rPr>
        <w:t xml:space="preserve"> conforme a las prescripciones internacionales y a los compromisos que en la materia ha suscrito el Estado Mexicano</w:t>
      </w:r>
      <w:r w:rsidR="003012EB" w:rsidRPr="009E30D1">
        <w:rPr>
          <w:rFonts w:ascii="Adobe Caslon Pro" w:hAnsi="Adobe Caslon Pro" w:cs="Arial"/>
          <w:lang w:val="es-ES_tradnl"/>
        </w:rPr>
        <w:t xml:space="preserve"> y tampoco permiten la obtención de mayores recursos económicos para la ampliación de la oferta institucional.</w:t>
      </w:r>
    </w:p>
    <w:p w:rsidR="003012EB" w:rsidRPr="009E30D1" w:rsidRDefault="00934B91"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 xml:space="preserve">Ante esta situación, algunas administraciones estatales han realizado esfuerzos significativos para impulsar </w:t>
      </w:r>
      <w:r w:rsidR="003012EB" w:rsidRPr="009E30D1">
        <w:rPr>
          <w:rFonts w:ascii="Adobe Caslon Pro" w:hAnsi="Adobe Caslon Pro" w:cs="Arial"/>
          <w:lang w:val="es-ES_tradnl"/>
        </w:rPr>
        <w:t xml:space="preserve">la corresponsabilidad en cuanto a la </w:t>
      </w:r>
      <w:r w:rsidR="00D06029" w:rsidRPr="009E30D1">
        <w:rPr>
          <w:rFonts w:ascii="Adobe Caslon Pro" w:hAnsi="Adobe Caslon Pro" w:cs="Arial"/>
          <w:lang w:val="es-ES_tradnl"/>
        </w:rPr>
        <w:t xml:space="preserve">prevención y la </w:t>
      </w:r>
      <w:r w:rsidR="003012EB" w:rsidRPr="009E30D1">
        <w:rPr>
          <w:rFonts w:ascii="Adobe Caslon Pro" w:hAnsi="Adobe Caslon Pro" w:cs="Arial"/>
          <w:lang w:val="es-ES_tradnl"/>
        </w:rPr>
        <w:t>atención de la violencia contra las mujeres,</w:t>
      </w:r>
      <w:r w:rsidRPr="009E30D1">
        <w:rPr>
          <w:rFonts w:ascii="Adobe Caslon Pro" w:hAnsi="Adobe Caslon Pro" w:cs="Arial"/>
          <w:lang w:val="es-ES_tradnl"/>
        </w:rPr>
        <w:t xml:space="preserve"> cuyos componentes se pueden </w:t>
      </w:r>
      <w:r w:rsidR="003012EB" w:rsidRPr="009E30D1">
        <w:rPr>
          <w:rFonts w:ascii="Adobe Caslon Pro" w:hAnsi="Adobe Caslon Pro" w:cs="Arial"/>
          <w:lang w:val="es-ES_tradnl"/>
        </w:rPr>
        <w:t>visualizar a través de la dimensión de “corresponsabilidad institucional” del Índice de Fortalecimiento Institucional elaborado por el PAIMEF.</w:t>
      </w:r>
    </w:p>
    <w:p w:rsidR="00B85C0B" w:rsidRPr="009E30D1" w:rsidRDefault="00B85C0B">
      <w:pPr>
        <w:rPr>
          <w:rFonts w:ascii="Adobe Caslon Pro" w:hAnsi="Adobe Caslon Pro" w:cs="Arial"/>
          <w:lang w:val="es-ES_tradnl"/>
        </w:rPr>
      </w:pPr>
      <w:r w:rsidRPr="009E30D1">
        <w:rPr>
          <w:rFonts w:ascii="Adobe Caslon Pro" w:hAnsi="Adobe Caslon Pro" w:cs="Arial"/>
          <w:lang w:val="es-ES_tradnl"/>
        </w:rPr>
        <w:br w:type="page"/>
      </w:r>
    </w:p>
    <w:p w:rsidR="003012EB" w:rsidRPr="009E30D1" w:rsidRDefault="003012EB" w:rsidP="00B85C0B">
      <w:pPr>
        <w:spacing w:after="120" w:line="240" w:lineRule="auto"/>
        <w:jc w:val="both"/>
        <w:rPr>
          <w:rFonts w:ascii="Adobe Caslon Pro" w:hAnsi="Adobe Caslon Pro" w:cs="Arial"/>
          <w:lang w:val="es-ES_tradnl"/>
        </w:rPr>
      </w:pPr>
    </w:p>
    <w:p w:rsidR="003012EB" w:rsidRPr="009E30D1" w:rsidRDefault="0028589A" w:rsidP="00B85C0B">
      <w:pPr>
        <w:spacing w:after="120" w:line="240" w:lineRule="auto"/>
        <w:jc w:val="center"/>
        <w:rPr>
          <w:rFonts w:ascii="Adobe Caslon Pro" w:hAnsi="Adobe Caslon Pro" w:cs="Arial"/>
          <w:b/>
          <w:color w:val="000000"/>
          <w:lang w:val="es-ES"/>
        </w:rPr>
      </w:pPr>
      <w:r w:rsidRPr="009E30D1">
        <w:rPr>
          <w:rFonts w:ascii="Adobe Caslon Pro" w:hAnsi="Adobe Caslon Pro" w:cs="Arial"/>
          <w:b/>
          <w:lang w:val="es-ES"/>
        </w:rPr>
        <w:t>Cuadro 8</w:t>
      </w:r>
      <w:r w:rsidR="003012EB" w:rsidRPr="009E30D1">
        <w:rPr>
          <w:rFonts w:ascii="Adobe Caslon Pro" w:hAnsi="Adobe Caslon Pro" w:cs="Arial"/>
          <w:b/>
          <w:lang w:val="es-ES"/>
        </w:rPr>
        <w:t>. Redes de atención a la violencia contra las mujeres</w:t>
      </w:r>
    </w:p>
    <w:tbl>
      <w:tblPr>
        <w:tblW w:w="0" w:type="auto"/>
        <w:jc w:val="center"/>
        <w:tblLayout w:type="fixed"/>
        <w:tblCellMar>
          <w:left w:w="70" w:type="dxa"/>
          <w:right w:w="70" w:type="dxa"/>
        </w:tblCellMar>
        <w:tblLook w:val="0000" w:firstRow="0" w:lastRow="0" w:firstColumn="0" w:lastColumn="0" w:noHBand="0" w:noVBand="0"/>
      </w:tblPr>
      <w:tblGrid>
        <w:gridCol w:w="1630"/>
        <w:gridCol w:w="2189"/>
        <w:gridCol w:w="5040"/>
      </w:tblGrid>
      <w:tr w:rsidR="003012EB" w:rsidRPr="009E30D1" w:rsidTr="00FC430B">
        <w:trPr>
          <w:trHeight w:val="1020"/>
          <w:jc w:val="center"/>
        </w:trPr>
        <w:tc>
          <w:tcPr>
            <w:tcW w:w="1630" w:type="dxa"/>
            <w:vMerge w:val="restart"/>
            <w:tcBorders>
              <w:top w:val="single" w:sz="4" w:space="0" w:color="000000"/>
              <w:left w:val="single" w:sz="4" w:space="0" w:color="000000"/>
              <w:bottom w:val="single" w:sz="4" w:space="0" w:color="000000"/>
            </w:tcBorders>
            <w:shd w:val="clear" w:color="auto" w:fill="BFBFBF"/>
            <w:vAlign w:val="center"/>
          </w:tcPr>
          <w:p w:rsidR="003012EB" w:rsidRPr="009E30D1" w:rsidRDefault="003012EB" w:rsidP="00B85C0B">
            <w:pPr>
              <w:spacing w:after="120" w:line="240" w:lineRule="auto"/>
              <w:jc w:val="center"/>
              <w:rPr>
                <w:rFonts w:ascii="Adobe Caslon Pro" w:hAnsi="Adobe Caslon Pro" w:cs="Arial"/>
                <w:color w:val="000000"/>
                <w:sz w:val="18"/>
                <w:szCs w:val="18"/>
                <w:lang w:val="es-ES"/>
              </w:rPr>
            </w:pPr>
            <w:r w:rsidRPr="009E30D1">
              <w:rPr>
                <w:rFonts w:ascii="Adobe Caslon Pro" w:hAnsi="Adobe Caslon Pro" w:cs="Arial"/>
                <w:color w:val="000000"/>
                <w:sz w:val="18"/>
                <w:szCs w:val="18"/>
                <w:lang w:val="es-ES"/>
              </w:rPr>
              <w:t>Corresponsabilidad institucional</w:t>
            </w:r>
          </w:p>
        </w:tc>
        <w:tc>
          <w:tcPr>
            <w:tcW w:w="2189" w:type="dxa"/>
            <w:tcBorders>
              <w:top w:val="single" w:sz="4" w:space="0" w:color="000000"/>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jc w:val="center"/>
              <w:rPr>
                <w:rFonts w:ascii="Adobe Caslon Pro" w:hAnsi="Adobe Caslon Pro" w:cs="Arial"/>
                <w:color w:val="000000"/>
                <w:sz w:val="18"/>
                <w:szCs w:val="18"/>
                <w:lang w:val="es-ES"/>
              </w:rPr>
            </w:pPr>
            <w:r w:rsidRPr="009E30D1">
              <w:rPr>
                <w:rFonts w:ascii="Adobe Caslon Pro" w:hAnsi="Adobe Caslon Pro" w:cs="Arial"/>
                <w:color w:val="000000"/>
                <w:sz w:val="18"/>
                <w:szCs w:val="18"/>
                <w:lang w:val="es-ES"/>
              </w:rPr>
              <w:t>Mezcla de recursos del PAIMEF y estatales</w:t>
            </w:r>
          </w:p>
        </w:tc>
        <w:tc>
          <w:tcPr>
            <w:tcW w:w="5040" w:type="dxa"/>
            <w:tcBorders>
              <w:top w:val="single" w:sz="4" w:space="0" w:color="000000"/>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jc w:val="both"/>
              <w:rPr>
                <w:rFonts w:ascii="Adobe Caslon Pro" w:hAnsi="Adobe Caslon Pro"/>
                <w:sz w:val="18"/>
                <w:szCs w:val="18"/>
              </w:rPr>
            </w:pPr>
            <w:r w:rsidRPr="009E30D1">
              <w:rPr>
                <w:rFonts w:ascii="Adobe Caslon Pro" w:hAnsi="Adobe Caslon Pro" w:cs="Arial"/>
                <w:color w:val="000000"/>
                <w:sz w:val="18"/>
                <w:szCs w:val="18"/>
                <w:lang w:val="es-ES"/>
              </w:rPr>
              <w:t>* Proporción del presupuesto anual total de la IMEF que, de origen estatal, está destinado a prevenir y atender la violencia contra las mujeres respecto al recurso PAIMEF</w:t>
            </w:r>
          </w:p>
        </w:tc>
      </w:tr>
      <w:tr w:rsidR="003012EB" w:rsidRPr="009E30D1" w:rsidTr="00FC430B">
        <w:trPr>
          <w:trHeight w:val="765"/>
          <w:jc w:val="center"/>
        </w:trPr>
        <w:tc>
          <w:tcPr>
            <w:tcW w:w="1630" w:type="dxa"/>
            <w:vMerge/>
            <w:tcBorders>
              <w:top w:val="single" w:sz="4" w:space="0" w:color="000000"/>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2189" w:type="dxa"/>
            <w:vMerge w:val="restart"/>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jc w:val="center"/>
              <w:rPr>
                <w:rFonts w:ascii="Adobe Caslon Pro" w:hAnsi="Adobe Caslon Pro" w:cs="Arial"/>
                <w:color w:val="000000"/>
                <w:sz w:val="18"/>
                <w:szCs w:val="18"/>
                <w:lang w:val="es-ES"/>
              </w:rPr>
            </w:pPr>
            <w:r w:rsidRPr="009E30D1">
              <w:rPr>
                <w:rFonts w:ascii="Adobe Caslon Pro" w:hAnsi="Adobe Caslon Pro" w:cs="Arial"/>
                <w:color w:val="000000"/>
                <w:sz w:val="18"/>
                <w:szCs w:val="18"/>
                <w:lang w:val="es-ES"/>
              </w:rPr>
              <w:t>Participación de otras Instancias para prevenir y atender la problemática en materia de violencia contra las mujeres</w:t>
            </w:r>
          </w:p>
        </w:tc>
        <w:tc>
          <w:tcPr>
            <w:tcW w:w="5040" w:type="dxa"/>
            <w:tcBorders>
              <w:right w:val="single" w:sz="4" w:space="0" w:color="000000"/>
            </w:tcBorders>
            <w:shd w:val="clear" w:color="auto" w:fill="FFFFFF"/>
            <w:vAlign w:val="center"/>
          </w:tcPr>
          <w:p w:rsidR="003012EB" w:rsidRPr="009E30D1" w:rsidRDefault="003012EB" w:rsidP="00B85C0B">
            <w:pPr>
              <w:spacing w:after="120" w:line="240" w:lineRule="auto"/>
              <w:jc w:val="both"/>
              <w:rPr>
                <w:rFonts w:ascii="Adobe Caslon Pro" w:hAnsi="Adobe Caslon Pro"/>
                <w:sz w:val="18"/>
                <w:szCs w:val="18"/>
              </w:rPr>
            </w:pPr>
            <w:r w:rsidRPr="009E30D1">
              <w:rPr>
                <w:rFonts w:ascii="Adobe Caslon Pro" w:hAnsi="Adobe Caslon Pro" w:cs="Arial"/>
                <w:color w:val="000000"/>
                <w:sz w:val="18"/>
                <w:szCs w:val="18"/>
                <w:lang w:val="es-ES"/>
              </w:rPr>
              <w:t>* Considerar si está en funciones el Sistema Estatal para prevenir, atender, sancionar y erradicar la violencia contra las mujeres</w:t>
            </w:r>
          </w:p>
        </w:tc>
      </w:tr>
      <w:tr w:rsidR="003012EB" w:rsidRPr="009E30D1" w:rsidTr="00FC430B">
        <w:trPr>
          <w:trHeight w:val="765"/>
          <w:jc w:val="center"/>
        </w:trPr>
        <w:tc>
          <w:tcPr>
            <w:tcW w:w="1630" w:type="dxa"/>
            <w:vMerge/>
            <w:tcBorders>
              <w:top w:val="single" w:sz="4" w:space="0" w:color="000000"/>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2189"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5040" w:type="dxa"/>
            <w:tcBorders>
              <w:right w:val="single" w:sz="4" w:space="0" w:color="000000"/>
            </w:tcBorders>
            <w:shd w:val="clear" w:color="auto" w:fill="FFFFFF"/>
            <w:vAlign w:val="center"/>
          </w:tcPr>
          <w:p w:rsidR="003012EB" w:rsidRPr="009E30D1" w:rsidRDefault="003012EB" w:rsidP="00B85C0B">
            <w:pPr>
              <w:spacing w:after="120" w:line="240" w:lineRule="auto"/>
              <w:jc w:val="both"/>
              <w:rPr>
                <w:rFonts w:ascii="Adobe Caslon Pro" w:hAnsi="Adobe Caslon Pro"/>
                <w:sz w:val="18"/>
                <w:szCs w:val="18"/>
              </w:rPr>
            </w:pPr>
            <w:r w:rsidRPr="009E30D1">
              <w:rPr>
                <w:rFonts w:ascii="Adobe Caslon Pro" w:hAnsi="Adobe Caslon Pro" w:cs="Arial"/>
                <w:color w:val="000000"/>
                <w:sz w:val="18"/>
                <w:szCs w:val="18"/>
                <w:lang w:val="es-ES"/>
              </w:rPr>
              <w:t>* Se cuenta con el Reglamento del Sistema Estatal para prevenir, atender, sancionar y erradicar la violencia contra las mujeres</w:t>
            </w:r>
          </w:p>
        </w:tc>
      </w:tr>
      <w:tr w:rsidR="003012EB" w:rsidRPr="009E30D1" w:rsidTr="00FC430B">
        <w:trPr>
          <w:trHeight w:val="510"/>
          <w:jc w:val="center"/>
        </w:trPr>
        <w:tc>
          <w:tcPr>
            <w:tcW w:w="1630" w:type="dxa"/>
            <w:vMerge/>
            <w:tcBorders>
              <w:top w:val="single" w:sz="4" w:space="0" w:color="000000"/>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2189"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5040" w:type="dxa"/>
            <w:tcBorders>
              <w:right w:val="single" w:sz="4" w:space="0" w:color="000000"/>
            </w:tcBorders>
            <w:shd w:val="clear" w:color="auto" w:fill="FFFFFF"/>
            <w:vAlign w:val="center"/>
          </w:tcPr>
          <w:p w:rsidR="003012EB" w:rsidRPr="009E30D1" w:rsidRDefault="003012EB" w:rsidP="00B85C0B">
            <w:pPr>
              <w:spacing w:after="120" w:line="240" w:lineRule="auto"/>
              <w:jc w:val="both"/>
              <w:rPr>
                <w:rFonts w:ascii="Adobe Caslon Pro" w:hAnsi="Adobe Caslon Pro"/>
                <w:sz w:val="18"/>
                <w:szCs w:val="18"/>
              </w:rPr>
            </w:pPr>
            <w:r w:rsidRPr="009E30D1">
              <w:rPr>
                <w:rFonts w:ascii="Adobe Caslon Pro" w:hAnsi="Adobe Caslon Pro" w:cs="Arial"/>
                <w:color w:val="000000"/>
                <w:sz w:val="18"/>
                <w:szCs w:val="18"/>
                <w:lang w:val="es-ES"/>
              </w:rPr>
              <w:t>* La IMEF tiene la Secretaría Técnica —o Ejecutiva— del Sistema Estatal</w:t>
            </w:r>
          </w:p>
        </w:tc>
      </w:tr>
      <w:tr w:rsidR="003012EB" w:rsidRPr="009E30D1" w:rsidTr="00FC430B">
        <w:trPr>
          <w:trHeight w:val="765"/>
          <w:jc w:val="center"/>
        </w:trPr>
        <w:tc>
          <w:tcPr>
            <w:tcW w:w="1630" w:type="dxa"/>
            <w:vMerge/>
            <w:tcBorders>
              <w:top w:val="single" w:sz="4" w:space="0" w:color="000000"/>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2189"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5040"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jc w:val="both"/>
              <w:rPr>
                <w:rFonts w:ascii="Adobe Caslon Pro" w:hAnsi="Adobe Caslon Pro"/>
                <w:sz w:val="18"/>
                <w:szCs w:val="18"/>
              </w:rPr>
            </w:pPr>
            <w:r w:rsidRPr="009E30D1">
              <w:rPr>
                <w:rFonts w:ascii="Adobe Caslon Pro" w:hAnsi="Adobe Caslon Pro" w:cs="Arial"/>
                <w:color w:val="000000"/>
                <w:sz w:val="18"/>
                <w:szCs w:val="18"/>
                <w:lang w:val="es-ES"/>
              </w:rPr>
              <w:t>* La IMEF ha implementado acciones en el marco del Sistema Estatal para la prevención y atención de la violencia contra las mujeres</w:t>
            </w:r>
          </w:p>
        </w:tc>
      </w:tr>
      <w:tr w:rsidR="003012EB" w:rsidRPr="009E30D1" w:rsidTr="00FC430B">
        <w:trPr>
          <w:trHeight w:val="765"/>
          <w:jc w:val="center"/>
        </w:trPr>
        <w:tc>
          <w:tcPr>
            <w:tcW w:w="1630" w:type="dxa"/>
            <w:vMerge/>
            <w:tcBorders>
              <w:top w:val="single" w:sz="4" w:space="0" w:color="000000"/>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8"/>
                <w:szCs w:val="18"/>
              </w:rPr>
            </w:pPr>
          </w:p>
        </w:tc>
        <w:tc>
          <w:tcPr>
            <w:tcW w:w="2189" w:type="dxa"/>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jc w:val="center"/>
              <w:rPr>
                <w:rFonts w:ascii="Adobe Caslon Pro" w:hAnsi="Adobe Caslon Pro" w:cs="Arial"/>
                <w:color w:val="000000"/>
                <w:sz w:val="18"/>
                <w:szCs w:val="18"/>
                <w:lang w:val="es-ES"/>
              </w:rPr>
            </w:pPr>
            <w:r w:rsidRPr="009E30D1">
              <w:rPr>
                <w:rFonts w:ascii="Adobe Caslon Pro" w:hAnsi="Adobe Caslon Pro" w:cs="Arial"/>
                <w:color w:val="000000"/>
                <w:sz w:val="18"/>
                <w:szCs w:val="18"/>
                <w:lang w:val="es-ES"/>
              </w:rPr>
              <w:t>Desarrollo de protocolos interinstitucionales de atención</w:t>
            </w:r>
          </w:p>
        </w:tc>
        <w:tc>
          <w:tcPr>
            <w:tcW w:w="5040" w:type="dxa"/>
            <w:tcBorders>
              <w:bottom w:val="single" w:sz="4" w:space="0" w:color="000000"/>
              <w:right w:val="single" w:sz="4" w:space="0" w:color="000000"/>
            </w:tcBorders>
            <w:shd w:val="clear" w:color="auto" w:fill="FFFFFF"/>
            <w:vAlign w:val="center"/>
          </w:tcPr>
          <w:p w:rsidR="003012EB" w:rsidRPr="009E30D1" w:rsidRDefault="003012EB" w:rsidP="00B85C0B">
            <w:pPr>
              <w:spacing w:after="120" w:line="240" w:lineRule="auto"/>
              <w:jc w:val="both"/>
              <w:rPr>
                <w:rFonts w:ascii="Adobe Caslon Pro" w:hAnsi="Adobe Caslon Pro"/>
                <w:sz w:val="18"/>
                <w:szCs w:val="18"/>
              </w:rPr>
            </w:pPr>
            <w:r w:rsidRPr="009E30D1">
              <w:rPr>
                <w:rFonts w:ascii="Adobe Caslon Pro" w:hAnsi="Adobe Caslon Pro" w:cs="Arial"/>
                <w:color w:val="000000"/>
                <w:sz w:val="18"/>
                <w:szCs w:val="18"/>
                <w:lang w:val="es-ES"/>
              </w:rPr>
              <w:t>* Considerar si se cuenta o no con protocolos de actuación entre las IMEF y las instancias estatales de procuración de justicia</w:t>
            </w:r>
          </w:p>
        </w:tc>
      </w:tr>
    </w:tbl>
    <w:p w:rsidR="003012EB" w:rsidRPr="009E30D1" w:rsidRDefault="003012EB" w:rsidP="00B85C0B">
      <w:pPr>
        <w:spacing w:after="120" w:line="240" w:lineRule="auto"/>
        <w:ind w:right="51"/>
        <w:jc w:val="center"/>
        <w:rPr>
          <w:rFonts w:ascii="Adobe Caslon Pro" w:hAnsi="Adobe Caslon Pro" w:cs="Arial"/>
          <w:i/>
          <w:sz w:val="18"/>
          <w:lang w:val="es-ES"/>
        </w:rPr>
      </w:pPr>
      <w:r w:rsidRPr="009E30D1">
        <w:rPr>
          <w:rFonts w:ascii="Adobe Caslon Pro" w:hAnsi="Adobe Caslon Pro" w:cs="Arial"/>
          <w:bCs/>
          <w:i/>
          <w:color w:val="000000"/>
          <w:sz w:val="18"/>
          <w:lang w:val="es-ES"/>
        </w:rPr>
        <w:t xml:space="preserve">Fuente: </w:t>
      </w:r>
      <w:r w:rsidRPr="009E30D1">
        <w:rPr>
          <w:rFonts w:ascii="Adobe Caslon Pro" w:hAnsi="Adobe Caslon Pro" w:cs="Arial"/>
          <w:i/>
          <w:sz w:val="18"/>
          <w:lang w:val="es-ES"/>
        </w:rPr>
        <w:t>Índice de Fortalecimiento Institucional elaborado por el PAIMEF.</w:t>
      </w:r>
    </w:p>
    <w:p w:rsidR="003012EB" w:rsidRPr="009E30D1" w:rsidRDefault="003012EB" w:rsidP="00B85C0B">
      <w:pPr>
        <w:spacing w:after="120" w:line="240" w:lineRule="auto"/>
        <w:ind w:right="51"/>
        <w:jc w:val="center"/>
        <w:rPr>
          <w:rFonts w:ascii="Adobe Caslon Pro" w:hAnsi="Adobe Caslon Pro" w:cs="Arial"/>
          <w:i/>
          <w:sz w:val="18"/>
          <w:lang w:val="es-ES"/>
        </w:rPr>
      </w:pPr>
    </w:p>
    <w:p w:rsidR="004B266F" w:rsidRPr="009E30D1" w:rsidRDefault="003012EB" w:rsidP="00DA6768">
      <w:pPr>
        <w:spacing w:after="120" w:line="240" w:lineRule="auto"/>
        <w:jc w:val="both"/>
        <w:rPr>
          <w:rStyle w:val="nfasis"/>
          <w:rFonts w:ascii="Adobe Caslon Pro" w:hAnsi="Adobe Caslon Pro" w:cs="Arial"/>
          <w:i w:val="0"/>
          <w:lang w:val="es-ES"/>
        </w:rPr>
      </w:pPr>
      <w:r w:rsidRPr="009E30D1">
        <w:rPr>
          <w:rStyle w:val="nfasis"/>
          <w:rFonts w:ascii="Adobe Caslon Pro" w:hAnsi="Adobe Caslon Pro" w:cs="Arial"/>
          <w:i w:val="0"/>
          <w:lang w:val="es-ES"/>
        </w:rPr>
        <w:t xml:space="preserve">Normativamente, se ha logrado un avance importante. Las primeras acciones que realizó el Estado </w:t>
      </w:r>
      <w:r w:rsidR="006973AF" w:rsidRPr="009E30D1">
        <w:rPr>
          <w:rStyle w:val="nfasis"/>
          <w:rFonts w:ascii="Adobe Caslon Pro" w:hAnsi="Adobe Caslon Pro" w:cs="Arial"/>
          <w:i w:val="0"/>
          <w:lang w:val="es-ES"/>
        </w:rPr>
        <w:t>M</w:t>
      </w:r>
      <w:r w:rsidRPr="009E30D1">
        <w:rPr>
          <w:rStyle w:val="nfasis"/>
          <w:rFonts w:ascii="Adobe Caslon Pro" w:hAnsi="Adobe Caslon Pro" w:cs="Arial"/>
          <w:i w:val="0"/>
          <w:lang w:val="es-ES"/>
        </w:rPr>
        <w:t xml:space="preserve">exicano para impulsar el tema de la violencia de género fueron reformas legislativas y la tipificación de los delitos sexuales, </w:t>
      </w:r>
      <w:r w:rsidR="006973AF" w:rsidRPr="009E30D1">
        <w:rPr>
          <w:rStyle w:val="nfasis"/>
          <w:rFonts w:ascii="Adobe Caslon Pro" w:hAnsi="Adobe Caslon Pro" w:cs="Arial"/>
          <w:i w:val="0"/>
          <w:lang w:val="es-ES"/>
        </w:rPr>
        <w:t xml:space="preserve">muestra de ello es </w:t>
      </w:r>
      <w:r w:rsidRPr="009E30D1">
        <w:rPr>
          <w:rStyle w:val="nfasis"/>
          <w:rFonts w:ascii="Adobe Caslon Pro" w:hAnsi="Adobe Caslon Pro" w:cs="Arial"/>
          <w:i w:val="0"/>
          <w:lang w:val="es-ES"/>
        </w:rPr>
        <w:t xml:space="preserve">la apertura de centros de atención a víctimas de violencia sexual en Colima y el Distrito Federal. En julio de </w:t>
      </w:r>
      <w:r w:rsidR="00EF326D" w:rsidRPr="009E30D1">
        <w:rPr>
          <w:rStyle w:val="nfasis"/>
          <w:rFonts w:ascii="Adobe Caslon Pro" w:hAnsi="Adobe Caslon Pro" w:cs="Arial"/>
          <w:i w:val="0"/>
          <w:lang w:val="es-ES"/>
        </w:rPr>
        <w:t>1996 se decretó la primera LAPVI</w:t>
      </w:r>
      <w:r w:rsidRPr="009E30D1">
        <w:rPr>
          <w:rStyle w:val="nfasis"/>
          <w:rFonts w:ascii="Adobe Caslon Pro" w:hAnsi="Adobe Caslon Pro" w:cs="Arial"/>
          <w:i w:val="0"/>
          <w:lang w:val="es-ES"/>
        </w:rPr>
        <w:t xml:space="preserve">. Posteriormente se publicó en 1997 el decreto que reforma, adiciona y deroga diversas disposiciones de los códigos civil, penal y de procedimientos en materia común para el Distrito Federal y para toda la República en materia federal. </w:t>
      </w:r>
      <w:r w:rsidR="004B266F" w:rsidRPr="009E30D1">
        <w:rPr>
          <w:rStyle w:val="nfasis"/>
          <w:rFonts w:ascii="Adobe Caslon Pro" w:hAnsi="Adobe Caslon Pro" w:cs="Arial"/>
          <w:i w:val="0"/>
          <w:lang w:val="es-ES"/>
        </w:rPr>
        <w:t>Las reformas incorporaron el derecho de todos los miembros de la familia a que se respete su integridad física y emocional. Además se tipificó como delito las acciones de violencia familiar, sancionando a quien atente contra la integridad de cualquier miembro de la familia, independientemente de su género y edad. A partir de estas reformas, en todas las entidades federativas se empezaron a crear leyes y/o disposiciones que sancionan y buscan prevenir la violencia contra las mujeres en el seno familiar.</w:t>
      </w:r>
    </w:p>
    <w:p w:rsidR="004B266F" w:rsidRPr="009E30D1" w:rsidRDefault="004B266F" w:rsidP="004B266F">
      <w:pPr>
        <w:spacing w:after="120" w:line="240" w:lineRule="auto"/>
        <w:jc w:val="both"/>
        <w:rPr>
          <w:rStyle w:val="nfasis"/>
          <w:rFonts w:ascii="Adobe Caslon Pro" w:hAnsi="Adobe Caslon Pro" w:cs="Arial"/>
          <w:i w:val="0"/>
          <w:lang w:val="es-ES"/>
        </w:rPr>
      </w:pPr>
      <w:r w:rsidRPr="009E30D1">
        <w:rPr>
          <w:rStyle w:val="nfasis"/>
          <w:rFonts w:ascii="Adobe Caslon Pro" w:hAnsi="Adobe Caslon Pro" w:cs="Arial"/>
          <w:i w:val="0"/>
          <w:lang w:val="es-ES"/>
        </w:rPr>
        <w:t xml:space="preserve">Estos primeros cambios legislativos facilitaron la adopción de mecanismos procesales más ágiles y rápidos para resolver los conflictos, decretar medidas precautorias de protección a las víctimas y </w:t>
      </w:r>
      <w:r w:rsidRPr="009E30D1">
        <w:rPr>
          <w:rStyle w:val="nfasis"/>
          <w:rFonts w:ascii="Adobe Caslon Pro" w:hAnsi="Adobe Caslon Pro" w:cs="Arial"/>
          <w:i w:val="0"/>
          <w:lang w:val="es-ES"/>
        </w:rPr>
        <w:lastRenderedPageBreak/>
        <w:t>disolver el vínculo matrimonial cuando existiese una decisión fundada en la presencia de la hasta entonces denominada violencia familiar (González, G., 2005). De igual manera, en 1999 se formularon en el país programas nacionales de atención y prevención de la violencia en la familia, emitiéndose la Norma Oficial Mexicana de Salud (NOM-190-SSA1-1999), como parte de las acciones precursoras para el desarrollo de políticas públicas en la materia.</w:t>
      </w:r>
    </w:p>
    <w:p w:rsidR="004B266F" w:rsidRPr="009E30D1" w:rsidRDefault="004B266F" w:rsidP="004B266F">
      <w:pPr>
        <w:spacing w:after="120" w:line="240" w:lineRule="auto"/>
        <w:jc w:val="both"/>
        <w:rPr>
          <w:rStyle w:val="nfasis"/>
          <w:rFonts w:ascii="Adobe Caslon Pro" w:hAnsi="Adobe Caslon Pro" w:cs="Arial"/>
          <w:i w:val="0"/>
          <w:lang w:val="es-ES"/>
        </w:rPr>
      </w:pPr>
      <w:r w:rsidRPr="009E30D1">
        <w:rPr>
          <w:rStyle w:val="nfasis"/>
          <w:rFonts w:ascii="Adobe Caslon Pro" w:hAnsi="Adobe Caslon Pro" w:cs="Arial"/>
          <w:i w:val="0"/>
          <w:lang w:val="es-ES"/>
        </w:rPr>
        <w:t>En 2001 se expidió la Ley del Instituto Nacional de las Mujeres (INMUJERES) , que entre sus atribuciones tiene la de 1) impulsar la incorporación de la perspectiva de género en la planeación nacional del desarrollo, la programación y presupuesto de egresos de la federación, 2) estimular la incorporación de la perspectiva de género en las políticas públicas, en la elaboración de programas sectoriales o, en su caso, institucionales específicos, así como en las acciones de las dependencias y entidades de la Administración Pública Federal, 3) proponer, en el marco del PND, el Programa Nacional para la Igualdad de Oportunidades y no Discriminación contra las Mujeres, y 4) evaluar periódica y sistemáticamente la ejecución del mismo.</w:t>
      </w:r>
    </w:p>
    <w:p w:rsidR="004B266F" w:rsidRPr="009E30D1" w:rsidRDefault="004B266F" w:rsidP="004B266F">
      <w:pPr>
        <w:spacing w:after="120" w:line="240" w:lineRule="auto"/>
        <w:jc w:val="both"/>
        <w:rPr>
          <w:rStyle w:val="nfasis"/>
          <w:rFonts w:ascii="Adobe Caslon Pro" w:hAnsi="Adobe Caslon Pro" w:cs="Arial"/>
          <w:i w:val="0"/>
          <w:lang w:val="es-ES"/>
        </w:rPr>
      </w:pPr>
      <w:r w:rsidRPr="009E30D1">
        <w:rPr>
          <w:rStyle w:val="nfasis"/>
          <w:rFonts w:ascii="Adobe Caslon Pro" w:hAnsi="Adobe Caslon Pro" w:cs="Arial"/>
          <w:i w:val="0"/>
          <w:lang w:val="es-ES"/>
        </w:rPr>
        <w:t>En 2007 se promulgó la</w:t>
      </w:r>
      <w:r w:rsidR="0014504B" w:rsidRPr="009E30D1">
        <w:rPr>
          <w:rStyle w:val="nfasis"/>
          <w:rFonts w:ascii="Adobe Caslon Pro" w:hAnsi="Adobe Caslon Pro" w:cs="Arial"/>
          <w:i w:val="0"/>
          <w:lang w:val="es-ES"/>
        </w:rPr>
        <w:t xml:space="preserve"> </w:t>
      </w:r>
      <w:r w:rsidRPr="009E30D1">
        <w:rPr>
          <w:rStyle w:val="nfasis"/>
          <w:rFonts w:ascii="Adobe Caslon Pro" w:hAnsi="Adobe Caslon Pro" w:cs="Arial"/>
          <w:i w:val="0"/>
          <w:lang w:val="es-ES"/>
        </w:rPr>
        <w:t>LGAMVLV, que obliga al Estado a intervenir de forma directa para evitar cualquier tipo de agresión contra mujeres y niñas; fue entonces que, por primera vez se establecieron disposiciones como la alerta de género y se reconoció jurídicamente la violencia contra las mujeres. En junio de 2011 se reformó el artículo 1.° de la Constitución Política de los Estados Unidos Mexicanos, con la finalidad de 1) establecer que todas las personas gocen de los derechos humanos reconocidos por la Constitución y los tratados internacionales de los que el Estado Mexicano es y sea parte, así como de las garantías para su protección, cuyo ejercicio no podrá restringirse ni suspenderse, salvo en los casos y bajo las condiciones que esta Constitución establece, así como de 2) prohibir toda discriminación motivada por origen étnico o nacional, género, edad, discapacidades, condición social, condiciones de salud, religión, opiniones, preferencias sexuales, estado civil o cualquier otra que atente contra la dignidad humana y tenga por objeto anular o menoscabar los derechos y las libertades de las personas. Asimismo, el artículo 4</w:t>
      </w:r>
      <w:proofErr w:type="gramStart"/>
      <w:r w:rsidRPr="009E30D1">
        <w:rPr>
          <w:rStyle w:val="nfasis"/>
          <w:rFonts w:ascii="Adobe Caslon Pro" w:hAnsi="Adobe Caslon Pro" w:cs="Arial"/>
          <w:i w:val="0"/>
          <w:lang w:val="es-ES"/>
        </w:rPr>
        <w:t>.°</w:t>
      </w:r>
      <w:proofErr w:type="gramEnd"/>
      <w:r w:rsidRPr="009E30D1">
        <w:rPr>
          <w:rStyle w:val="nfasis"/>
          <w:rFonts w:ascii="Adobe Caslon Pro" w:hAnsi="Adobe Caslon Pro" w:cs="Arial"/>
          <w:i w:val="0"/>
          <w:lang w:val="es-ES"/>
        </w:rPr>
        <w:t xml:space="preserve"> constitucional dispone que los hombres y las mujeres son iguales ante la Ley.</w:t>
      </w:r>
    </w:p>
    <w:p w:rsidR="003012EB" w:rsidRPr="009E30D1" w:rsidRDefault="003012EB" w:rsidP="00B85C0B">
      <w:pPr>
        <w:tabs>
          <w:tab w:val="left" w:pos="2835"/>
        </w:tabs>
        <w:spacing w:after="120" w:line="240" w:lineRule="auto"/>
        <w:jc w:val="both"/>
        <w:rPr>
          <w:rStyle w:val="nfasis"/>
          <w:rFonts w:ascii="Adobe Caslon Pro" w:hAnsi="Adobe Caslon Pro" w:cs="Arial"/>
          <w:i w:val="0"/>
          <w:lang w:val="es-ES"/>
        </w:rPr>
      </w:pPr>
      <w:r w:rsidRPr="009E30D1">
        <w:rPr>
          <w:rStyle w:val="nfasis"/>
          <w:rFonts w:ascii="Adobe Caslon Pro" w:hAnsi="Adobe Caslon Pro" w:cs="Arial"/>
          <w:i w:val="0"/>
          <w:lang w:val="es-ES"/>
        </w:rPr>
        <w:t xml:space="preserve">Como se puede apreciar, a nivel nacional se han presentado avances en la materia, sin embargo, aún se aplican </w:t>
      </w:r>
      <w:r w:rsidRPr="009E30D1">
        <w:rPr>
          <w:rStyle w:val="nfasis"/>
          <w:rFonts w:ascii="Adobe Caslon Pro" w:hAnsi="Adobe Caslon Pro"/>
          <w:i w:val="0"/>
          <w:iCs w:val="0"/>
        </w:rPr>
        <w:t>tratamientos diferenciados que constituyen un impedimento para garantizar un equitativo acceso a la justicia</w:t>
      </w:r>
      <w:r w:rsidR="006973AF" w:rsidRPr="009E30D1">
        <w:rPr>
          <w:rStyle w:val="nfasis"/>
          <w:rFonts w:ascii="Adobe Caslon Pro" w:hAnsi="Adobe Caslon Pro"/>
          <w:i w:val="0"/>
          <w:iCs w:val="0"/>
        </w:rPr>
        <w:t xml:space="preserve"> a nivel nacional</w:t>
      </w:r>
      <w:r w:rsidRPr="009E30D1">
        <w:rPr>
          <w:rStyle w:val="nfasis"/>
          <w:rFonts w:ascii="Adobe Caslon Pro" w:hAnsi="Adobe Caslon Pro"/>
          <w:i w:val="0"/>
          <w:iCs w:val="0"/>
        </w:rPr>
        <w:t xml:space="preserve">, principalmente cuando las legislaciones de las entidades federativas del país siguen contemplando disposiciones que atentan </w:t>
      </w:r>
      <w:r w:rsidRPr="009E30D1">
        <w:rPr>
          <w:rStyle w:val="nfasis"/>
          <w:rFonts w:ascii="Adobe Caslon Pro" w:hAnsi="Adobe Caslon Pro" w:cs="Arial"/>
          <w:i w:val="0"/>
          <w:lang w:val="es-ES"/>
        </w:rPr>
        <w:t xml:space="preserve">contra el derecho de las mujeres a </w:t>
      </w:r>
      <w:r w:rsidR="006973AF" w:rsidRPr="009E30D1">
        <w:rPr>
          <w:rStyle w:val="nfasis"/>
          <w:rFonts w:ascii="Adobe Caslon Pro" w:hAnsi="Adobe Caslon Pro" w:cs="Arial"/>
          <w:i w:val="0"/>
          <w:lang w:val="es-ES"/>
        </w:rPr>
        <w:t>una vida libre de violencia</w:t>
      </w:r>
      <w:r w:rsidRPr="009E30D1">
        <w:rPr>
          <w:rStyle w:val="nfasis"/>
          <w:rFonts w:ascii="Adobe Caslon Pro" w:hAnsi="Adobe Caslon Pro" w:cs="Arial"/>
          <w:i w:val="0"/>
          <w:lang w:val="es-ES"/>
        </w:rPr>
        <w:t xml:space="preserve">. </w:t>
      </w:r>
    </w:p>
    <w:p w:rsidR="003012EB" w:rsidRPr="009E30D1" w:rsidRDefault="003012EB" w:rsidP="00B85C0B">
      <w:pPr>
        <w:tabs>
          <w:tab w:val="left" w:pos="2835"/>
        </w:tabs>
        <w:spacing w:after="120" w:line="240" w:lineRule="auto"/>
        <w:jc w:val="both"/>
        <w:rPr>
          <w:rStyle w:val="nfasis"/>
          <w:rFonts w:ascii="Adobe Caslon Pro" w:hAnsi="Adobe Caslon Pro"/>
          <w:i w:val="0"/>
          <w:iCs w:val="0"/>
          <w:lang w:val="es-ES"/>
        </w:rPr>
      </w:pPr>
    </w:p>
    <w:p w:rsidR="003012EB" w:rsidRPr="009E30D1" w:rsidRDefault="003012EB" w:rsidP="00B85C0B">
      <w:pPr>
        <w:spacing w:after="120" w:line="240" w:lineRule="auto"/>
        <w:jc w:val="center"/>
        <w:rPr>
          <w:rFonts w:ascii="Adobe Caslon Pro" w:hAnsi="Adobe Caslon Pro" w:cs="Arial"/>
          <w:b/>
          <w:color w:val="000000"/>
          <w:lang w:val="es-ES"/>
        </w:rPr>
      </w:pPr>
      <w:r w:rsidRPr="009E30D1">
        <w:rPr>
          <w:rFonts w:ascii="Adobe Caslon Pro" w:hAnsi="Adobe Caslon Pro" w:cs="Arial"/>
          <w:b/>
          <w:lang w:val="es-ES"/>
        </w:rPr>
        <w:lastRenderedPageBreak/>
        <w:t>Cuadro 9. Armonización legislativa en materia de violencia contra las mujeres en las entidades federativas</w:t>
      </w:r>
    </w:p>
    <w:tbl>
      <w:tblPr>
        <w:tblW w:w="9339" w:type="dxa"/>
        <w:jc w:val="center"/>
        <w:tblInd w:w="70" w:type="dxa"/>
        <w:tblLayout w:type="fixed"/>
        <w:tblCellMar>
          <w:left w:w="70" w:type="dxa"/>
          <w:right w:w="70" w:type="dxa"/>
        </w:tblCellMar>
        <w:tblLook w:val="0000" w:firstRow="0" w:lastRow="0" w:firstColumn="0" w:lastColumn="0" w:noHBand="0" w:noVBand="0"/>
      </w:tblPr>
      <w:tblGrid>
        <w:gridCol w:w="1992"/>
        <w:gridCol w:w="1555"/>
        <w:gridCol w:w="988"/>
        <w:gridCol w:w="269"/>
        <w:gridCol w:w="4519"/>
        <w:gridCol w:w="16"/>
      </w:tblGrid>
      <w:tr w:rsidR="003012EB" w:rsidRPr="009E30D1" w:rsidTr="00FC430B">
        <w:trPr>
          <w:gridAfter w:val="1"/>
          <w:wAfter w:w="16" w:type="dxa"/>
          <w:trHeight w:val="314"/>
          <w:tblHeader/>
          <w:jc w:val="center"/>
        </w:trPr>
        <w:tc>
          <w:tcPr>
            <w:tcW w:w="354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Legislación</w:t>
            </w:r>
          </w:p>
        </w:tc>
        <w:tc>
          <w:tcPr>
            <w:tcW w:w="1257" w:type="dxa"/>
            <w:gridSpan w:val="2"/>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Cuentan</w:t>
            </w:r>
          </w:p>
        </w:tc>
        <w:tc>
          <w:tcPr>
            <w:tcW w:w="4520" w:type="dxa"/>
            <w:tcBorders>
              <w:top w:val="single" w:sz="4" w:space="0" w:color="000000"/>
              <w:bottom w:val="single" w:sz="4" w:space="0" w:color="000000"/>
              <w:right w:val="single" w:sz="4" w:space="0" w:color="000000"/>
            </w:tcBorders>
            <w:shd w:val="clear" w:color="auto" w:fill="BFBFBF"/>
            <w:vAlign w:val="center"/>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Carecen</w:t>
            </w:r>
          </w:p>
        </w:tc>
      </w:tr>
      <w:tr w:rsidR="003012EB" w:rsidRPr="009E30D1" w:rsidTr="00FC430B">
        <w:trPr>
          <w:trHeight w:val="93"/>
          <w:tblHeader/>
          <w:jc w:val="center"/>
        </w:trPr>
        <w:tc>
          <w:tcPr>
            <w:tcW w:w="1992" w:type="dxa"/>
            <w:vMerge w:val="restart"/>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Acceso de las mujeres a una vida libre de violencia</w:t>
            </w:r>
          </w:p>
        </w:tc>
        <w:tc>
          <w:tcPr>
            <w:tcW w:w="1555" w:type="dxa"/>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Ley</w:t>
            </w:r>
          </w:p>
        </w:tc>
        <w:tc>
          <w:tcPr>
            <w:tcW w:w="988" w:type="dxa"/>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32</w:t>
            </w: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w:t>
            </w:r>
          </w:p>
        </w:tc>
      </w:tr>
      <w:tr w:rsidR="003012EB" w:rsidRPr="009E30D1" w:rsidTr="00FC430B">
        <w:trPr>
          <w:trHeight w:val="146"/>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Reglamento de la Ley</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30</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2</w:t>
            </w:r>
          </w:p>
        </w:tc>
      </w:tr>
      <w:tr w:rsidR="003012EB" w:rsidRPr="009E30D1" w:rsidTr="00FC430B">
        <w:trPr>
          <w:trHeight w:val="37"/>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Campeche y Tamaulipas</w:t>
            </w:r>
          </w:p>
        </w:tc>
      </w:tr>
      <w:tr w:rsidR="003012EB" w:rsidRPr="009E30D1" w:rsidTr="00FC430B">
        <w:trPr>
          <w:trHeight w:val="125"/>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Sistema o Consejo</w:t>
            </w:r>
          </w:p>
        </w:tc>
        <w:tc>
          <w:tcPr>
            <w:tcW w:w="988" w:type="dxa"/>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32</w:t>
            </w: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w:t>
            </w:r>
          </w:p>
        </w:tc>
      </w:tr>
      <w:tr w:rsidR="003012EB" w:rsidRPr="009E30D1" w:rsidTr="00FC430B">
        <w:trPr>
          <w:trHeight w:val="146"/>
          <w:tblHeader/>
          <w:jc w:val="center"/>
        </w:trPr>
        <w:tc>
          <w:tcPr>
            <w:tcW w:w="1992" w:type="dxa"/>
            <w:vMerge w:val="restart"/>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Igualdad</w:t>
            </w: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Ley</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30</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2</w:t>
            </w:r>
          </w:p>
        </w:tc>
      </w:tr>
      <w:tr w:rsidR="003012EB" w:rsidRPr="009E30D1" w:rsidTr="00FC430B">
        <w:trPr>
          <w:trHeight w:val="37"/>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xml:space="preserve">Baja California y Tabasco </w:t>
            </w:r>
          </w:p>
        </w:tc>
      </w:tr>
      <w:tr w:rsidR="003012EB" w:rsidRPr="009E30D1" w:rsidTr="00FC430B">
        <w:trPr>
          <w:trHeight w:val="43"/>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Reglamento de la Ley</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7</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25</w:t>
            </w:r>
          </w:p>
        </w:tc>
      </w:tr>
      <w:tr w:rsidR="003012EB" w:rsidRPr="009E30D1" w:rsidTr="00FC430B">
        <w:trPr>
          <w:trHeight w:val="679"/>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xml:space="preserve">Chihuahua, Sonora, Coahuila, Oaxaca, Tamaulipas, Jalisco, Zacatecas, Baja California Sur, Chiapas, Veracruz, Baja California, Nuevo León, Guerrero, San Luis Potosí, Campeche, Sinaloa, Yucatán, Guanajuato, Tabasco, México, Hidalgo, Colima, Aguascalientes, Tlaxcala y Distrito Federal </w:t>
            </w:r>
          </w:p>
        </w:tc>
      </w:tr>
      <w:tr w:rsidR="003012EB" w:rsidRPr="009E30D1" w:rsidTr="00FC430B">
        <w:trPr>
          <w:trHeight w:val="37"/>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Sistema o Consejo</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17</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15</w:t>
            </w:r>
          </w:p>
        </w:tc>
      </w:tr>
      <w:tr w:rsidR="003012EB" w:rsidRPr="009E30D1" w:rsidTr="00FC430B">
        <w:trPr>
          <w:trHeight w:val="194"/>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xml:space="preserve">Chihuahua, Coahuila, Durango, Tamaulipas, Baja California, Guerrero, Michoacán, Campeche, Yucatán, Guanajuato, Tabasco, Colima, Aguascalientes, Morelos y Tlaxcala </w:t>
            </w:r>
          </w:p>
        </w:tc>
      </w:tr>
      <w:tr w:rsidR="003012EB" w:rsidRPr="009E30D1" w:rsidTr="00FC430B">
        <w:trPr>
          <w:trHeight w:val="37"/>
          <w:tblHeader/>
          <w:jc w:val="center"/>
        </w:trPr>
        <w:tc>
          <w:tcPr>
            <w:tcW w:w="1992" w:type="dxa"/>
            <w:vMerge w:val="restart"/>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Trata</w:t>
            </w: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Ley</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24</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8</w:t>
            </w:r>
          </w:p>
        </w:tc>
      </w:tr>
      <w:tr w:rsidR="003012EB" w:rsidRPr="009E30D1" w:rsidTr="00FC430B">
        <w:trPr>
          <w:trHeight w:val="194"/>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xml:space="preserve">Chihuahua, Zacatecas, Baja California Sur, Campeche, Guanajuato, México, Aguascalientes y Morelos </w:t>
            </w:r>
          </w:p>
        </w:tc>
      </w:tr>
      <w:tr w:rsidR="003012EB" w:rsidRPr="009E30D1" w:rsidTr="00FC430B">
        <w:trPr>
          <w:trHeight w:val="43"/>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Reglamento de la Ley</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6</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26</w:t>
            </w:r>
          </w:p>
        </w:tc>
      </w:tr>
      <w:tr w:rsidR="003012EB" w:rsidRPr="009E30D1" w:rsidTr="00FC430B">
        <w:trPr>
          <w:trHeight w:val="511"/>
          <w:tblHeader/>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xml:space="preserve">Chihuahua, Sonora, Coahuila, Durango, Oaxaca, Tamaulipas, Jalisco, Zacatecas, Baja California Sur, Veracruz, Baja California, Nuevo León, Guerrero, Michoacán, Campeche, Sinaloa, Quintana Roo, Guanajuato, Nayarit, Tabasco, México, Hidalgo, Querétaro, Colima, Aguascalientes y Morelos </w:t>
            </w:r>
          </w:p>
        </w:tc>
      </w:tr>
      <w:tr w:rsidR="003012EB" w:rsidRPr="009E30D1" w:rsidTr="00FC430B">
        <w:trPr>
          <w:trHeight w:val="37"/>
          <w:jc w:val="center"/>
        </w:trPr>
        <w:tc>
          <w:tcPr>
            <w:tcW w:w="1992" w:type="dxa"/>
            <w:vMerge w:val="restart"/>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Discriminación</w:t>
            </w: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Ley</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21</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11</w:t>
            </w:r>
          </w:p>
        </w:tc>
      </w:tr>
      <w:tr w:rsidR="003012EB" w:rsidRPr="009E30D1" w:rsidTr="00FC430B">
        <w:trPr>
          <w:trHeight w:val="101"/>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xml:space="preserve">Sonora, Oaxaca, Jalisco, Veracruz, Nuevo León, Sinaloa, Puebla, Guanajuato, Tabasco, Morelos y Tlaxcala </w:t>
            </w:r>
          </w:p>
        </w:tc>
      </w:tr>
      <w:tr w:rsidR="003012EB" w:rsidRPr="009E30D1" w:rsidTr="00FC430B">
        <w:trPr>
          <w:trHeight w:val="64"/>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Reglamento de la Ley</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30</w:t>
            </w:r>
          </w:p>
        </w:tc>
      </w:tr>
      <w:tr w:rsidR="003012EB" w:rsidRPr="009E30D1" w:rsidTr="00FC430B">
        <w:trPr>
          <w:trHeight w:val="200"/>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Sonora, Coahuila, Durango, Oaxaca, Tamaulipas, Jalisco, Baja California Sur, Chiapas, Veracruz, Baja California, Nuevo León, Guerrero, San Luis Potosí, Michoacán, Campeche, Sinaloa, Quintana Roo, Yucatán, Puebla, Guanajuato, Nayarit, Tabasco, México, Hidalgo, Querétaro, Colima, Aguascalientes, Morelos, Tlaxcala y Distrito Federal</w:t>
            </w:r>
          </w:p>
        </w:tc>
      </w:tr>
      <w:tr w:rsidR="003012EB" w:rsidRPr="009E30D1" w:rsidTr="00FC430B">
        <w:trPr>
          <w:trHeight w:val="77"/>
          <w:jc w:val="center"/>
        </w:trPr>
        <w:tc>
          <w:tcPr>
            <w:tcW w:w="1992" w:type="dxa"/>
            <w:vMerge w:val="restart"/>
            <w:tcBorders>
              <w:left w:val="single" w:sz="4" w:space="0" w:color="000000"/>
              <w:bottom w:val="single" w:sz="4" w:space="0" w:color="000000"/>
            </w:tcBorders>
            <w:shd w:val="clear" w:color="auto" w:fill="FFFFFF"/>
            <w:vAlign w:val="center"/>
          </w:tcPr>
          <w:p w:rsidR="003012EB" w:rsidRPr="009E30D1" w:rsidRDefault="003012EB" w:rsidP="00B85C0B">
            <w:pPr>
              <w:spacing w:after="120" w:line="240" w:lineRule="auto"/>
              <w:rPr>
                <w:rFonts w:ascii="Adobe Caslon Pro" w:hAnsi="Adobe Caslon Pro" w:cs="Arial"/>
                <w:color w:val="000000"/>
                <w:sz w:val="16"/>
                <w:szCs w:val="16"/>
                <w:lang w:val="es-ES"/>
              </w:rPr>
            </w:pPr>
            <w:proofErr w:type="spellStart"/>
            <w:r w:rsidRPr="009E30D1">
              <w:rPr>
                <w:rFonts w:ascii="Adobe Caslon Pro" w:hAnsi="Adobe Caslon Pro" w:cs="Arial"/>
                <w:color w:val="000000"/>
                <w:sz w:val="16"/>
                <w:szCs w:val="16"/>
                <w:lang w:val="es-ES"/>
              </w:rPr>
              <w:lastRenderedPageBreak/>
              <w:t>Feminicidio</w:t>
            </w:r>
            <w:proofErr w:type="spellEnd"/>
          </w:p>
        </w:tc>
        <w:tc>
          <w:tcPr>
            <w:tcW w:w="1555"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Tipificación</w:t>
            </w:r>
          </w:p>
        </w:tc>
        <w:tc>
          <w:tcPr>
            <w:tcW w:w="988" w:type="dxa"/>
            <w:vMerge w:val="restart"/>
            <w:tcBorders>
              <w:bottom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cs="Arial"/>
                <w:color w:val="000000"/>
                <w:sz w:val="16"/>
                <w:szCs w:val="16"/>
                <w:lang w:val="es-ES"/>
              </w:rPr>
            </w:pPr>
            <w:r w:rsidRPr="009E30D1">
              <w:rPr>
                <w:rFonts w:ascii="Adobe Caslon Pro" w:hAnsi="Adobe Caslon Pro" w:cs="Arial"/>
                <w:color w:val="000000"/>
                <w:sz w:val="16"/>
                <w:szCs w:val="16"/>
                <w:lang w:val="es-ES"/>
              </w:rPr>
              <w:t>29</w:t>
            </w:r>
          </w:p>
        </w:tc>
        <w:tc>
          <w:tcPr>
            <w:tcW w:w="4804" w:type="dxa"/>
            <w:gridSpan w:val="3"/>
            <w:tcBorders>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3</w:t>
            </w:r>
          </w:p>
        </w:tc>
      </w:tr>
      <w:tr w:rsidR="003012EB" w:rsidRPr="009E30D1" w:rsidTr="00FC430B">
        <w:trPr>
          <w:trHeight w:val="71"/>
          <w:jc w:val="center"/>
        </w:trPr>
        <w:tc>
          <w:tcPr>
            <w:tcW w:w="1992" w:type="dxa"/>
            <w:vMerge/>
            <w:tcBorders>
              <w:left w:val="single" w:sz="4" w:space="0" w:color="000000"/>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1555"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988" w:type="dxa"/>
            <w:vMerge/>
            <w:tcBorders>
              <w:bottom w:val="single" w:sz="4" w:space="0" w:color="000000"/>
            </w:tcBorders>
            <w:shd w:val="clear" w:color="auto" w:fill="auto"/>
            <w:vAlign w:val="center"/>
          </w:tcPr>
          <w:p w:rsidR="003012EB" w:rsidRPr="009E30D1" w:rsidRDefault="003012EB" w:rsidP="00B85C0B">
            <w:pPr>
              <w:spacing w:after="120" w:line="240" w:lineRule="auto"/>
              <w:rPr>
                <w:rFonts w:ascii="Adobe Caslon Pro" w:hAnsi="Adobe Caslon Pro" w:cs="Arial"/>
                <w:color w:val="000000"/>
                <w:sz w:val="16"/>
                <w:szCs w:val="16"/>
              </w:rPr>
            </w:pPr>
          </w:p>
        </w:tc>
        <w:tc>
          <w:tcPr>
            <w:tcW w:w="4804" w:type="dxa"/>
            <w:gridSpan w:val="3"/>
            <w:tcBorders>
              <w:bottom w:val="single" w:sz="4" w:space="0" w:color="000000"/>
              <w:right w:val="single" w:sz="4" w:space="0" w:color="000000"/>
            </w:tcBorders>
            <w:shd w:val="clear" w:color="auto" w:fill="FFFFFF"/>
          </w:tcPr>
          <w:p w:rsidR="003012EB" w:rsidRPr="009E30D1" w:rsidRDefault="003012EB" w:rsidP="00B85C0B">
            <w:pPr>
              <w:spacing w:after="120" w:line="240" w:lineRule="auto"/>
              <w:jc w:val="center"/>
              <w:rPr>
                <w:rFonts w:ascii="Adobe Caslon Pro" w:hAnsi="Adobe Caslon Pro"/>
                <w:sz w:val="16"/>
                <w:szCs w:val="16"/>
              </w:rPr>
            </w:pPr>
            <w:r w:rsidRPr="009E30D1">
              <w:rPr>
                <w:rFonts w:ascii="Adobe Caslon Pro" w:hAnsi="Adobe Caslon Pro" w:cs="Arial"/>
                <w:color w:val="000000"/>
                <w:sz w:val="16"/>
                <w:szCs w:val="16"/>
                <w:lang w:val="es-ES"/>
              </w:rPr>
              <w:t xml:space="preserve"> Chihuahua, Baja California Sur y Michoacán </w:t>
            </w:r>
          </w:p>
        </w:tc>
      </w:tr>
    </w:tbl>
    <w:p w:rsidR="003012EB" w:rsidRPr="009E30D1" w:rsidRDefault="003012EB" w:rsidP="00B85C0B">
      <w:pPr>
        <w:spacing w:after="120"/>
        <w:rPr>
          <w:rFonts w:ascii="Adobe Caslon Pro" w:hAnsi="Adobe Caslon Pro"/>
          <w:b/>
          <w:i/>
          <w:sz w:val="18"/>
          <w:lang w:val="es-ES"/>
        </w:rPr>
      </w:pPr>
      <w:r w:rsidRPr="009E30D1">
        <w:rPr>
          <w:rFonts w:ascii="Adobe Caslon Pro" w:hAnsi="Adobe Caslon Pro"/>
          <w:i/>
          <w:sz w:val="18"/>
          <w:lang w:val="es-ES"/>
        </w:rPr>
        <w:t>Fuente: Informe de Resultados julio-septiembre 2013, INMUJERES.</w:t>
      </w:r>
    </w:p>
    <w:p w:rsidR="003012EB" w:rsidRPr="009E30D1" w:rsidRDefault="003012EB" w:rsidP="00B85C0B">
      <w:pPr>
        <w:pStyle w:val="Ttulo2"/>
        <w:spacing w:before="0" w:after="120"/>
        <w:rPr>
          <w:rFonts w:cs="Arial"/>
          <w:i/>
          <w:color w:val="000000"/>
          <w:sz w:val="18"/>
          <w:szCs w:val="18"/>
          <w:lang w:val="es-ES"/>
        </w:rPr>
      </w:pPr>
    </w:p>
    <w:p w:rsidR="003012EB" w:rsidRPr="009E30D1" w:rsidRDefault="003012EB" w:rsidP="00B85C0B">
      <w:pPr>
        <w:spacing w:after="120"/>
        <w:rPr>
          <w:rFonts w:ascii="Adobe Caslon Pro" w:eastAsiaTheme="majorEastAsia" w:hAnsi="Adobe Caslon Pro" w:cs="Arial"/>
          <w:b/>
          <w:bCs/>
          <w:i/>
          <w:color w:val="000000"/>
          <w:sz w:val="18"/>
          <w:szCs w:val="18"/>
          <w:lang w:val="es-ES"/>
        </w:rPr>
      </w:pPr>
      <w:r w:rsidRPr="009E30D1">
        <w:rPr>
          <w:rFonts w:cs="Arial"/>
          <w:i/>
          <w:color w:val="000000"/>
          <w:sz w:val="18"/>
          <w:szCs w:val="18"/>
          <w:lang w:val="es-ES"/>
        </w:rPr>
        <w:br w:type="page"/>
      </w:r>
    </w:p>
    <w:p w:rsidR="00664A26" w:rsidRPr="009E30D1" w:rsidRDefault="00664A26" w:rsidP="00B85C0B">
      <w:pPr>
        <w:pStyle w:val="Ttulo3"/>
        <w:spacing w:before="0" w:after="120"/>
      </w:pPr>
      <w:bookmarkStart w:id="14" w:name="_Toc391883376"/>
      <w:r w:rsidRPr="009E30D1">
        <w:lastRenderedPageBreak/>
        <w:t>Análisis de los efectos del problema</w:t>
      </w:r>
      <w:bookmarkEnd w:id="14"/>
      <w:r w:rsidRPr="009E30D1">
        <w:tab/>
      </w:r>
    </w:p>
    <w:p w:rsidR="00A26311" w:rsidRPr="009E30D1" w:rsidRDefault="00A26311" w:rsidP="00B85C0B">
      <w:pPr>
        <w:spacing w:after="120" w:line="240" w:lineRule="auto"/>
        <w:jc w:val="both"/>
        <w:rPr>
          <w:rFonts w:ascii="Adobe Caslon Pro" w:hAnsi="Adobe Caslon Pro"/>
          <w:lang w:val="es-ES_tradnl"/>
        </w:rPr>
      </w:pPr>
      <w:r w:rsidRPr="009E30D1">
        <w:rPr>
          <w:rFonts w:ascii="Adobe Caslon Pro" w:hAnsi="Adobe Caslon Pro"/>
          <w:lang w:val="es-ES_tradnl"/>
        </w:rPr>
        <w:t>Los dos principales efectos producidos por los “Altos Niveles de violencia contra las mujeres”</w:t>
      </w:r>
      <w:r w:rsidR="00CF5E50" w:rsidRPr="009E30D1">
        <w:rPr>
          <w:rFonts w:ascii="Adobe Caslon Pro" w:hAnsi="Adobe Caslon Pro"/>
          <w:lang w:val="es-ES_tradnl"/>
        </w:rPr>
        <w:t xml:space="preserve"> son: 1) </w:t>
      </w:r>
      <w:r w:rsidRPr="009E30D1">
        <w:rPr>
          <w:rFonts w:ascii="Adobe Caslon Pro" w:hAnsi="Adobe Caslon Pro"/>
          <w:lang w:val="es-ES_tradnl"/>
        </w:rPr>
        <w:t>Mayor prevalencia de daños a la salud por violencia contra de las mujeres y</w:t>
      </w:r>
      <w:r w:rsidR="00D835B6" w:rsidRPr="009E30D1">
        <w:rPr>
          <w:rFonts w:ascii="Adobe Caslon Pro" w:hAnsi="Adobe Caslon Pro"/>
          <w:lang w:val="es-ES_tradnl"/>
        </w:rPr>
        <w:t xml:space="preserve"> </w:t>
      </w:r>
      <w:r w:rsidR="00CF5E50" w:rsidRPr="009E30D1">
        <w:rPr>
          <w:rFonts w:ascii="Adobe Caslon Pro" w:hAnsi="Adobe Caslon Pro"/>
          <w:lang w:val="es-ES_tradnl"/>
        </w:rPr>
        <w:t>2) Exclusión social de las mujeres</w:t>
      </w:r>
      <w:r w:rsidRPr="009E30D1">
        <w:rPr>
          <w:rFonts w:ascii="Adobe Caslon Pro" w:hAnsi="Adobe Caslon Pro"/>
          <w:lang w:val="es-ES_tradnl"/>
        </w:rPr>
        <w:t>.</w:t>
      </w:r>
    </w:p>
    <w:p w:rsidR="00C92E2B" w:rsidRPr="009E30D1" w:rsidRDefault="007609AD" w:rsidP="00B85C0B">
      <w:pPr>
        <w:spacing w:after="120" w:line="240" w:lineRule="auto"/>
        <w:jc w:val="both"/>
        <w:rPr>
          <w:rFonts w:ascii="Adobe Caslon Pro" w:hAnsi="Adobe Caslon Pro" w:cs="Arial"/>
          <w:b/>
          <w:lang w:val="es-ES"/>
        </w:rPr>
      </w:pPr>
      <w:r w:rsidRPr="009E30D1">
        <w:rPr>
          <w:rFonts w:ascii="Adobe Caslon Pro" w:hAnsi="Adobe Caslon Pro" w:cs="Arial"/>
          <w:b/>
          <w:lang w:val="es-ES"/>
        </w:rPr>
        <w:t>Efecto 1: Mayor prevalencia de daños</w:t>
      </w:r>
      <w:r w:rsidR="00B52185" w:rsidRPr="009E30D1">
        <w:rPr>
          <w:rFonts w:ascii="Adobe Caslon Pro" w:hAnsi="Adobe Caslon Pro" w:cs="Arial"/>
          <w:b/>
          <w:lang w:val="es-ES"/>
        </w:rPr>
        <w:t xml:space="preserve"> a </w:t>
      </w:r>
      <w:r w:rsidR="00A26311" w:rsidRPr="009E30D1">
        <w:rPr>
          <w:rFonts w:ascii="Adobe Caslon Pro" w:hAnsi="Adobe Caslon Pro" w:cs="Arial"/>
          <w:b/>
          <w:lang w:val="es-ES"/>
        </w:rPr>
        <w:t xml:space="preserve">la salud </w:t>
      </w:r>
      <w:r w:rsidR="00C92E2B" w:rsidRPr="009E30D1">
        <w:rPr>
          <w:rFonts w:ascii="Adobe Caslon Pro" w:hAnsi="Adobe Caslon Pro" w:cs="Arial"/>
          <w:b/>
          <w:lang w:val="es-ES"/>
        </w:rPr>
        <w:t xml:space="preserve">por violencia </w:t>
      </w:r>
      <w:r w:rsidR="00B52185" w:rsidRPr="009E30D1">
        <w:rPr>
          <w:rFonts w:ascii="Adobe Caslon Pro" w:hAnsi="Adobe Caslon Pro" w:cs="Arial"/>
          <w:b/>
          <w:lang w:val="es-ES"/>
        </w:rPr>
        <w:t>c</w:t>
      </w:r>
      <w:r w:rsidR="00C92E2B" w:rsidRPr="009E30D1">
        <w:rPr>
          <w:rFonts w:ascii="Adobe Caslon Pro" w:hAnsi="Adobe Caslon Pro" w:cs="Arial"/>
          <w:b/>
          <w:lang w:val="es-ES"/>
        </w:rPr>
        <w:t>ontra</w:t>
      </w:r>
      <w:r w:rsidR="00B52185" w:rsidRPr="009E30D1">
        <w:rPr>
          <w:rFonts w:ascii="Adobe Caslon Pro" w:hAnsi="Adobe Caslon Pro" w:cs="Arial"/>
          <w:b/>
          <w:lang w:val="es-ES"/>
        </w:rPr>
        <w:t xml:space="preserve"> las</w:t>
      </w:r>
      <w:r w:rsidR="00C92E2B" w:rsidRPr="009E30D1">
        <w:rPr>
          <w:rFonts w:ascii="Adobe Caslon Pro" w:hAnsi="Adobe Caslon Pro" w:cs="Arial"/>
          <w:b/>
          <w:lang w:val="es-ES"/>
        </w:rPr>
        <w:t xml:space="preserve"> mujeres</w:t>
      </w:r>
    </w:p>
    <w:p w:rsidR="00A26311" w:rsidRPr="009E30D1" w:rsidRDefault="00C92E2B" w:rsidP="00B85C0B">
      <w:pPr>
        <w:spacing w:after="120" w:line="240" w:lineRule="auto"/>
        <w:jc w:val="both"/>
        <w:rPr>
          <w:rFonts w:ascii="Adobe Caslon Pro" w:hAnsi="Adobe Caslon Pro" w:cs="Arial"/>
          <w:b/>
          <w:lang w:val="es-ES"/>
        </w:rPr>
      </w:pPr>
      <w:r w:rsidRPr="009E30D1">
        <w:rPr>
          <w:rFonts w:ascii="Adobe Caslon Pro" w:hAnsi="Adobe Caslon Pro" w:cs="Arial"/>
          <w:lang w:val="es-ES"/>
        </w:rPr>
        <w:t>El primer efecto observado en el árbol de problemas es la mayor prevalencia de daños a</w:t>
      </w:r>
      <w:r w:rsidR="00B52185" w:rsidRPr="009E30D1">
        <w:rPr>
          <w:rFonts w:ascii="Adobe Caslon Pro" w:hAnsi="Adobe Caslon Pro" w:cs="Arial"/>
          <w:lang w:val="es-ES"/>
        </w:rPr>
        <w:t xml:space="preserve"> la</w:t>
      </w:r>
      <w:r w:rsidRPr="009E30D1">
        <w:rPr>
          <w:rFonts w:ascii="Adobe Caslon Pro" w:hAnsi="Adobe Caslon Pro" w:cs="Arial"/>
          <w:lang w:val="es-ES"/>
        </w:rPr>
        <w:t xml:space="preserve"> salud, derivados de la violencia contra las mujeres. </w:t>
      </w:r>
      <w:r w:rsidR="00A26311" w:rsidRPr="009E30D1">
        <w:rPr>
          <w:rFonts w:ascii="Adobe Caslon Pro" w:hAnsi="Adobe Caslon Pro"/>
          <w:lang w:val="es-ES_tradnl"/>
        </w:rPr>
        <w:t xml:space="preserve">Entre los </w:t>
      </w:r>
      <w:r w:rsidR="00A26311" w:rsidRPr="009E30D1">
        <w:rPr>
          <w:rFonts w:ascii="Adobe Caslon Pro" w:hAnsi="Adobe Caslon Pro"/>
          <w:b/>
          <w:lang w:val="es-ES_tradnl"/>
        </w:rPr>
        <w:t>daños a la salud ocasionados por la violencia contra las mujeres</w:t>
      </w:r>
      <w:r w:rsidR="00A26311" w:rsidRPr="009E30D1">
        <w:rPr>
          <w:rFonts w:ascii="Adobe Caslon Pro" w:hAnsi="Adobe Caslon Pro"/>
          <w:lang w:val="es-ES_tradnl"/>
        </w:rPr>
        <w:t xml:space="preserve"> se encuentran perjuicios a la integridad física tales como moretones, cefaleas (dolores de cabeza), lumbalgias (dolor de espalda), dolores abdominales, fibromialgia (dolores musculares y fatiga), trastornos gastrointestinales, traumatismos graves (algunos incluso llegan a producir limitaciones de la movilidad). Entre los psicológicos y emocionales se pueden señalar el sufrimiento emocional, la depresión, el trastorno de estrés postraumático, el insomnio, los trastornos alimentarios</w:t>
      </w:r>
      <w:r w:rsidR="006F0B4B" w:rsidRPr="009E30D1">
        <w:rPr>
          <w:rFonts w:ascii="Adobe Caslon Pro" w:hAnsi="Adobe Caslon Pro"/>
          <w:lang w:val="es-ES_tradnl"/>
        </w:rPr>
        <w:t>, entre muchos otros</w:t>
      </w:r>
      <w:r w:rsidR="00A26311" w:rsidRPr="009E30D1">
        <w:rPr>
          <w:rFonts w:ascii="Adobe Caslon Pro" w:hAnsi="Adobe Caslon Pro"/>
          <w:lang w:val="es-ES_tradnl"/>
        </w:rPr>
        <w:t>. Si la violencia sucede durante el embarazo, puede ocasionar desde problemas ginecológicos hasta aborto espontáneo o inducido, muerte prenatal, parto prematuro, bajo peso al nacer, entre otr</w:t>
      </w:r>
      <w:r w:rsidR="006F0B4B" w:rsidRPr="009E30D1">
        <w:rPr>
          <w:rFonts w:ascii="Adobe Caslon Pro" w:hAnsi="Adobe Caslon Pro"/>
          <w:lang w:val="es-ES_tradnl"/>
        </w:rPr>
        <w:t>a</w:t>
      </w:r>
      <w:r w:rsidR="00A26311" w:rsidRPr="009E30D1">
        <w:rPr>
          <w:rFonts w:ascii="Adobe Caslon Pro" w:hAnsi="Adobe Caslon Pro"/>
          <w:lang w:val="es-ES_tradnl"/>
        </w:rPr>
        <w:t>s</w:t>
      </w:r>
      <w:r w:rsidR="006F0B4B" w:rsidRPr="009E30D1">
        <w:rPr>
          <w:rFonts w:ascii="Adobe Caslon Pro" w:hAnsi="Adobe Caslon Pro"/>
          <w:lang w:val="es-ES_tradnl"/>
        </w:rPr>
        <w:t xml:space="preserve"> consecuencias</w:t>
      </w:r>
      <w:r w:rsidR="00A26311" w:rsidRPr="009E30D1">
        <w:rPr>
          <w:rFonts w:ascii="Adobe Caslon Pro" w:hAnsi="Adobe Caslon Pro"/>
          <w:lang w:val="es-ES_tradnl"/>
        </w:rPr>
        <w:t xml:space="preserve">. </w:t>
      </w:r>
    </w:p>
    <w:p w:rsidR="00A26311" w:rsidRPr="009E30D1" w:rsidRDefault="00A26311" w:rsidP="00B85C0B">
      <w:pPr>
        <w:spacing w:after="120" w:line="240" w:lineRule="auto"/>
        <w:jc w:val="both"/>
        <w:rPr>
          <w:rFonts w:ascii="Adobe Caslon Pro" w:hAnsi="Adobe Caslon Pro"/>
          <w:lang w:val="es-ES_tradnl"/>
        </w:rPr>
      </w:pPr>
      <w:r w:rsidRPr="009E30D1">
        <w:rPr>
          <w:rFonts w:ascii="Adobe Caslon Pro" w:hAnsi="Adobe Caslon Pro"/>
          <w:lang w:val="es-ES_tradnl"/>
        </w:rPr>
        <w:t>Como s</w:t>
      </w:r>
      <w:r w:rsidR="00525BF1" w:rsidRPr="009E30D1">
        <w:rPr>
          <w:rFonts w:ascii="Adobe Caslon Pro" w:hAnsi="Adobe Caslon Pro"/>
          <w:lang w:val="es-ES_tradnl"/>
        </w:rPr>
        <w:t>e puede observar en el cuadro 10</w:t>
      </w:r>
      <w:r w:rsidRPr="009E30D1">
        <w:rPr>
          <w:rFonts w:ascii="Adobe Caslon Pro" w:hAnsi="Adobe Caslon Pro"/>
          <w:lang w:val="es-ES_tradnl"/>
        </w:rPr>
        <w:t>, en 2011 el 84.2% de las mujeres que habían sufrido violencia a manos de su última pareja</w:t>
      </w:r>
      <w:r w:rsidR="00CF5E50" w:rsidRPr="009E30D1">
        <w:rPr>
          <w:rFonts w:ascii="Adobe Caslon Pro" w:hAnsi="Adobe Caslon Pro"/>
          <w:lang w:val="es-ES_tradnl"/>
        </w:rPr>
        <w:t xml:space="preserve"> </w:t>
      </w:r>
      <w:r w:rsidRPr="009E30D1">
        <w:rPr>
          <w:rFonts w:ascii="Adobe Caslon Pro" w:hAnsi="Adobe Caslon Pro"/>
          <w:lang w:val="es-ES_tradnl"/>
        </w:rPr>
        <w:t>mencionan que como resultado de dicha agresión presentaron moretones o hinchazón en alguna parte del cuerpo, 15.3% presentaron hemorragias o sangrado, 12.3% tuvo desmayos y 12.1% necesitó hospitalización u operación.</w:t>
      </w:r>
    </w:p>
    <w:p w:rsidR="00A26311" w:rsidRPr="009E30D1" w:rsidRDefault="0028589A" w:rsidP="00D12115">
      <w:pPr>
        <w:spacing w:after="0" w:line="240" w:lineRule="auto"/>
        <w:contextualSpacing/>
        <w:jc w:val="center"/>
        <w:rPr>
          <w:rFonts w:ascii="Adobe Caslon Pro" w:hAnsi="Adobe Caslon Pro"/>
          <w:b/>
          <w:lang w:val="es-ES_tradnl"/>
        </w:rPr>
      </w:pPr>
      <w:r w:rsidRPr="009E30D1">
        <w:rPr>
          <w:rFonts w:ascii="Adobe Caslon Pro" w:hAnsi="Adobe Caslon Pro"/>
          <w:b/>
          <w:lang w:val="es-ES_tradnl"/>
        </w:rPr>
        <w:t>Cuadro 10</w:t>
      </w:r>
      <w:r w:rsidR="00A26311" w:rsidRPr="009E30D1">
        <w:rPr>
          <w:rFonts w:ascii="Adobe Caslon Pro" w:hAnsi="Adobe Caslon Pro"/>
          <w:b/>
          <w:lang w:val="es-ES_tradnl"/>
        </w:rPr>
        <w:t>. Mujeres con daños físicos o</w:t>
      </w:r>
      <w:r w:rsidR="00CF5E50" w:rsidRPr="009E30D1">
        <w:rPr>
          <w:rFonts w:ascii="Adobe Caslon Pro" w:hAnsi="Adobe Caslon Pro"/>
          <w:b/>
          <w:lang w:val="es-ES_tradnl"/>
        </w:rPr>
        <w:t>casionados por su última pareja</w:t>
      </w:r>
    </w:p>
    <w:tbl>
      <w:tblPr>
        <w:tblW w:w="8340" w:type="dxa"/>
        <w:jc w:val="center"/>
        <w:tblInd w:w="55" w:type="dxa"/>
        <w:tblCellMar>
          <w:left w:w="70" w:type="dxa"/>
          <w:right w:w="70" w:type="dxa"/>
        </w:tblCellMar>
        <w:tblLook w:val="04A0" w:firstRow="1" w:lastRow="0" w:firstColumn="1" w:lastColumn="0" w:noHBand="0" w:noVBand="1"/>
      </w:tblPr>
      <w:tblGrid>
        <w:gridCol w:w="3828"/>
        <w:gridCol w:w="1380"/>
        <w:gridCol w:w="1340"/>
        <w:gridCol w:w="940"/>
        <w:gridCol w:w="852"/>
      </w:tblGrid>
      <w:tr w:rsidR="00A26311" w:rsidRPr="009E30D1" w:rsidTr="00957973">
        <w:trPr>
          <w:trHeight w:val="645"/>
          <w:jc w:val="center"/>
        </w:trPr>
        <w:tc>
          <w:tcPr>
            <w:tcW w:w="3828" w:type="dxa"/>
            <w:vMerge w:val="restart"/>
            <w:tcBorders>
              <w:top w:val="single" w:sz="4" w:space="0" w:color="auto"/>
              <w:left w:val="single" w:sz="4" w:space="0" w:color="auto"/>
              <w:right w:val="nil"/>
            </w:tcBorders>
            <w:shd w:val="clear" w:color="000000" w:fill="BFBFBF"/>
            <w:vAlign w:val="center"/>
            <w:hideMark/>
          </w:tcPr>
          <w:p w:rsidR="00A26311" w:rsidRPr="009E30D1" w:rsidRDefault="00A26311" w:rsidP="00D12115">
            <w:pPr>
              <w:spacing w:after="0" w:line="240" w:lineRule="auto"/>
              <w:contextualSpacing/>
              <w:jc w:val="both"/>
              <w:rPr>
                <w:rFonts w:ascii="Adobe Caslon Pro" w:hAnsi="Adobe Caslon Pro"/>
                <w:b/>
                <w:sz w:val="18"/>
                <w:szCs w:val="18"/>
              </w:rPr>
            </w:pPr>
            <w:proofErr w:type="gramStart"/>
            <w:r w:rsidRPr="009E30D1">
              <w:rPr>
                <w:rFonts w:ascii="Adobe Caslon Pro" w:hAnsi="Adobe Caslon Pro"/>
                <w:b/>
                <w:sz w:val="18"/>
                <w:szCs w:val="18"/>
                <w:lang w:val="es-ES_tradnl"/>
              </w:rPr>
              <w:t>¿</w:t>
            </w:r>
            <w:proofErr w:type="gramEnd"/>
            <w:r w:rsidRPr="009E30D1">
              <w:rPr>
                <w:rFonts w:ascii="Adobe Caslon Pro" w:hAnsi="Adobe Caslon Pro"/>
                <w:b/>
                <w:sz w:val="18"/>
                <w:szCs w:val="18"/>
                <w:lang w:val="es-ES_tradnl"/>
              </w:rPr>
              <w:t>Debido a los problemas o agresiones con su (ex)esposo o (ex) pareja…</w:t>
            </w:r>
          </w:p>
        </w:tc>
        <w:tc>
          <w:tcPr>
            <w:tcW w:w="13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26311" w:rsidRPr="009E30D1" w:rsidRDefault="00A26311" w:rsidP="00D12115">
            <w:pPr>
              <w:spacing w:after="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Casadas</w:t>
            </w:r>
          </w:p>
        </w:tc>
        <w:tc>
          <w:tcPr>
            <w:tcW w:w="1340" w:type="dxa"/>
            <w:tcBorders>
              <w:top w:val="single" w:sz="4" w:space="0" w:color="auto"/>
              <w:left w:val="nil"/>
              <w:bottom w:val="single" w:sz="4" w:space="0" w:color="auto"/>
              <w:right w:val="single" w:sz="4" w:space="0" w:color="auto"/>
            </w:tcBorders>
            <w:shd w:val="clear" w:color="000000" w:fill="BFBFBF"/>
            <w:vAlign w:val="center"/>
            <w:hideMark/>
          </w:tcPr>
          <w:p w:rsidR="00A26311" w:rsidRPr="009E30D1" w:rsidRDefault="00A26311" w:rsidP="00D12115">
            <w:pPr>
              <w:spacing w:after="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Alguna vez unidas</w:t>
            </w:r>
          </w:p>
        </w:tc>
        <w:tc>
          <w:tcPr>
            <w:tcW w:w="940" w:type="dxa"/>
            <w:tcBorders>
              <w:top w:val="single" w:sz="4" w:space="0" w:color="auto"/>
              <w:left w:val="nil"/>
              <w:bottom w:val="single" w:sz="4" w:space="0" w:color="auto"/>
              <w:right w:val="single" w:sz="4" w:space="0" w:color="auto"/>
            </w:tcBorders>
            <w:shd w:val="clear" w:color="000000" w:fill="BFBFBF"/>
            <w:vAlign w:val="center"/>
            <w:hideMark/>
          </w:tcPr>
          <w:p w:rsidR="00A26311" w:rsidRPr="009E30D1" w:rsidRDefault="00A26311" w:rsidP="00D12115">
            <w:pPr>
              <w:spacing w:after="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Solteras</w:t>
            </w:r>
          </w:p>
        </w:tc>
        <w:tc>
          <w:tcPr>
            <w:tcW w:w="852" w:type="dxa"/>
            <w:tcBorders>
              <w:top w:val="single" w:sz="4" w:space="0" w:color="auto"/>
              <w:left w:val="nil"/>
              <w:bottom w:val="single" w:sz="4" w:space="0" w:color="auto"/>
              <w:right w:val="single" w:sz="4" w:space="0" w:color="auto"/>
            </w:tcBorders>
            <w:shd w:val="clear" w:color="000000" w:fill="BFBFBF"/>
            <w:vAlign w:val="center"/>
            <w:hideMark/>
          </w:tcPr>
          <w:p w:rsidR="00A26311" w:rsidRPr="009E30D1" w:rsidRDefault="00A26311" w:rsidP="00D12115">
            <w:pPr>
              <w:spacing w:after="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Mujeres</w:t>
            </w:r>
          </w:p>
        </w:tc>
      </w:tr>
      <w:tr w:rsidR="00A26311" w:rsidRPr="009E30D1" w:rsidTr="00957973">
        <w:trPr>
          <w:trHeight w:val="77"/>
          <w:jc w:val="center"/>
        </w:trPr>
        <w:tc>
          <w:tcPr>
            <w:tcW w:w="3828" w:type="dxa"/>
            <w:vMerge/>
            <w:tcBorders>
              <w:left w:val="single" w:sz="4" w:space="0" w:color="auto"/>
              <w:bottom w:val="single" w:sz="4" w:space="0" w:color="auto"/>
              <w:right w:val="nil"/>
            </w:tcBorders>
            <w:shd w:val="clear" w:color="000000" w:fill="BFBFBF"/>
            <w:vAlign w:val="center"/>
          </w:tcPr>
          <w:p w:rsidR="00A26311" w:rsidRPr="009E30D1" w:rsidRDefault="00A26311" w:rsidP="00D12115">
            <w:pPr>
              <w:spacing w:after="0" w:line="240" w:lineRule="auto"/>
              <w:contextualSpacing/>
              <w:jc w:val="both"/>
              <w:rPr>
                <w:rFonts w:ascii="Adobe Caslon Pro" w:hAnsi="Adobe Caslon Pro"/>
                <w:b/>
                <w:sz w:val="18"/>
                <w:szCs w:val="18"/>
                <w:lang w:val="es-ES_tradnl"/>
              </w:rPr>
            </w:pPr>
          </w:p>
        </w:tc>
        <w:tc>
          <w:tcPr>
            <w:tcW w:w="4512" w:type="dxa"/>
            <w:gridSpan w:val="4"/>
            <w:tcBorders>
              <w:top w:val="single" w:sz="4" w:space="0" w:color="auto"/>
              <w:left w:val="single" w:sz="4" w:space="0" w:color="auto"/>
              <w:bottom w:val="single" w:sz="4" w:space="0" w:color="auto"/>
              <w:right w:val="single" w:sz="4" w:space="0" w:color="auto"/>
            </w:tcBorders>
            <w:shd w:val="clear" w:color="000000" w:fill="BFBFBF"/>
            <w:vAlign w:val="center"/>
          </w:tcPr>
          <w:p w:rsidR="00A26311" w:rsidRPr="009E30D1" w:rsidRDefault="00A26311" w:rsidP="00D12115">
            <w:pPr>
              <w:spacing w:after="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(Millones de mujeres)</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Total de mujeres con secuelas físicas</w:t>
            </w:r>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b/>
                <w:bCs/>
                <w:sz w:val="18"/>
                <w:szCs w:val="18"/>
              </w:rPr>
            </w:pPr>
            <w:r w:rsidRPr="009E30D1">
              <w:rPr>
                <w:rFonts w:ascii="Adobe Caslon Pro" w:hAnsi="Adobe Caslon Pro"/>
                <w:b/>
                <w:bCs/>
                <w:sz w:val="18"/>
                <w:szCs w:val="18"/>
                <w:lang w:val="es-ES_tradnl"/>
              </w:rPr>
              <w:t>1.5</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b/>
                <w:bCs/>
                <w:sz w:val="18"/>
                <w:szCs w:val="18"/>
              </w:rPr>
            </w:pPr>
            <w:r w:rsidRPr="009E30D1">
              <w:rPr>
                <w:rFonts w:ascii="Adobe Caslon Pro" w:hAnsi="Adobe Caslon Pro"/>
                <w:b/>
                <w:bCs/>
                <w:sz w:val="18"/>
                <w:szCs w:val="18"/>
                <w:lang w:val="es-ES_tradnl"/>
              </w:rPr>
              <w:t>1.8</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b/>
                <w:bCs/>
                <w:sz w:val="18"/>
                <w:szCs w:val="18"/>
              </w:rPr>
            </w:pPr>
            <w:r w:rsidRPr="009E30D1">
              <w:rPr>
                <w:rFonts w:ascii="Adobe Caslon Pro" w:hAnsi="Adobe Caslon Pro"/>
                <w:b/>
                <w:bCs/>
                <w:sz w:val="18"/>
                <w:szCs w:val="18"/>
                <w:lang w:val="es-ES_tradnl"/>
              </w:rPr>
              <w:t>0. 1</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b/>
                <w:bCs/>
                <w:sz w:val="18"/>
                <w:szCs w:val="18"/>
              </w:rPr>
            </w:pPr>
            <w:r w:rsidRPr="009E30D1">
              <w:rPr>
                <w:rFonts w:ascii="Adobe Caslon Pro" w:hAnsi="Adobe Caslon Pro"/>
                <w:b/>
                <w:bCs/>
                <w:sz w:val="18"/>
                <w:szCs w:val="18"/>
                <w:lang w:val="es-ES_tradnl"/>
              </w:rPr>
              <w:t>3.4</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b/>
                <w:bCs/>
                <w:sz w:val="18"/>
                <w:szCs w:val="18"/>
              </w:rPr>
            </w:pPr>
            <w:r w:rsidRPr="009E30D1">
              <w:rPr>
                <w:rFonts w:ascii="Adobe Caslon Pro" w:hAnsi="Adobe Caslon Pro"/>
                <w:b/>
                <w:bCs/>
                <w:sz w:val="18"/>
                <w:szCs w:val="18"/>
              </w:rPr>
              <w:t> </w:t>
            </w:r>
          </w:p>
        </w:tc>
        <w:tc>
          <w:tcPr>
            <w:tcW w:w="451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b/>
                <w:sz w:val="18"/>
                <w:szCs w:val="18"/>
              </w:rPr>
            </w:pPr>
            <w:r w:rsidRPr="009E30D1">
              <w:rPr>
                <w:rFonts w:ascii="Adobe Caslon Pro" w:hAnsi="Adobe Caslon Pro"/>
                <w:b/>
                <w:sz w:val="18"/>
                <w:szCs w:val="18"/>
              </w:rPr>
              <w:t>Porcentaje</w:t>
            </w:r>
          </w:p>
        </w:tc>
      </w:tr>
      <w:tr w:rsidR="00A26311" w:rsidRPr="009E30D1" w:rsidTr="00957973">
        <w:trPr>
          <w:trHeight w:val="51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que hospitalizarse u operarse</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10.6</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13.6</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8.5</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12.1</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moretones o hinchazón</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84.7</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84.2</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77.1</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84.2</w:t>
            </w:r>
          </w:p>
        </w:tc>
      </w:tr>
      <w:tr w:rsidR="00A26311" w:rsidRPr="009E30D1" w:rsidTr="00957973">
        <w:trPr>
          <w:trHeight w:val="51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cortadas, quemaduras o pérdida de dientes</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9.4</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12.3</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7.4</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10.9</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hemorragias o sangrados</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12.5</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18.1</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6.3</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15.3</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fracturas</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6.8</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8.8</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3.9</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7.7</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un aborto o parto prematuro</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7.9</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11.8</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12.2</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10.1</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ardor o sangrado vaginal</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7.7</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10.8</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14.2</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9.6</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usted tuvo desmayos</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9.9</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14.4</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10.4</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12.3</w:t>
            </w:r>
          </w:p>
        </w:tc>
      </w:tr>
      <w:tr w:rsidR="00A26311" w:rsidRPr="009E30D1" w:rsidTr="00957973">
        <w:trPr>
          <w:trHeight w:val="51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lastRenderedPageBreak/>
              <w:t>… no puede mover alguna parte de su cuerpo</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8.3</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12.8</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6.1</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10.6</w:t>
            </w:r>
          </w:p>
        </w:tc>
      </w:tr>
      <w:tr w:rsidR="00A26311" w:rsidRPr="009E30D1" w:rsidTr="00957973">
        <w:trPr>
          <w:trHeight w:val="300"/>
          <w:jc w:val="center"/>
        </w:trPr>
        <w:tc>
          <w:tcPr>
            <w:tcW w:w="3828" w:type="dxa"/>
            <w:tcBorders>
              <w:top w:val="nil"/>
              <w:left w:val="single" w:sz="4" w:space="0" w:color="auto"/>
              <w:bottom w:val="nil"/>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resultó lesionado un familiar</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3.0</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6.0</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4.9</w:t>
            </w:r>
          </w:p>
        </w:tc>
        <w:tc>
          <w:tcPr>
            <w:tcW w:w="852" w:type="dxa"/>
            <w:tcBorders>
              <w:top w:val="nil"/>
              <w:left w:val="nil"/>
              <w:bottom w:val="nil"/>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4.6</w:t>
            </w:r>
          </w:p>
        </w:tc>
      </w:tr>
      <w:tr w:rsidR="00A26311" w:rsidRPr="009E30D1" w:rsidTr="00957973">
        <w:trPr>
          <w:trHeight w:val="300"/>
          <w:jc w:val="center"/>
        </w:trPr>
        <w:tc>
          <w:tcPr>
            <w:tcW w:w="3828" w:type="dxa"/>
            <w:tcBorders>
              <w:top w:val="nil"/>
              <w:left w:val="single" w:sz="4" w:space="0" w:color="auto"/>
              <w:bottom w:val="single" w:sz="4" w:space="0" w:color="auto"/>
              <w:right w:val="nil"/>
            </w:tcBorders>
            <w:shd w:val="clear" w:color="auto" w:fill="auto"/>
            <w:vAlign w:val="center"/>
            <w:hideMark/>
          </w:tcPr>
          <w:p w:rsidR="00A26311" w:rsidRPr="009E30D1" w:rsidRDefault="00A26311" w:rsidP="00D12115">
            <w:pPr>
              <w:spacing w:after="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falleció algún integrante del hogar</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0.8</w:t>
            </w:r>
          </w:p>
        </w:tc>
        <w:tc>
          <w:tcPr>
            <w:tcW w:w="1340"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0.8</w:t>
            </w:r>
          </w:p>
        </w:tc>
        <w:tc>
          <w:tcPr>
            <w:tcW w:w="940"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0.0</w:t>
            </w:r>
          </w:p>
        </w:tc>
        <w:tc>
          <w:tcPr>
            <w:tcW w:w="852"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D12115">
            <w:pPr>
              <w:spacing w:after="0" w:line="240" w:lineRule="auto"/>
              <w:contextualSpacing/>
              <w:jc w:val="center"/>
              <w:rPr>
                <w:rFonts w:ascii="Adobe Caslon Pro" w:hAnsi="Adobe Caslon Pro"/>
                <w:sz w:val="18"/>
                <w:szCs w:val="18"/>
              </w:rPr>
            </w:pPr>
            <w:r w:rsidRPr="009E30D1">
              <w:rPr>
                <w:rFonts w:ascii="Adobe Caslon Pro" w:hAnsi="Adobe Caslon Pro"/>
                <w:sz w:val="18"/>
                <w:szCs w:val="18"/>
              </w:rPr>
              <w:t>0.8</w:t>
            </w:r>
          </w:p>
        </w:tc>
      </w:tr>
    </w:tbl>
    <w:p w:rsidR="00A26311" w:rsidRPr="009E30D1" w:rsidRDefault="00A26311" w:rsidP="00D12115">
      <w:pPr>
        <w:spacing w:after="0" w:line="240" w:lineRule="auto"/>
        <w:contextualSpacing/>
        <w:jc w:val="center"/>
        <w:rPr>
          <w:rFonts w:ascii="Adobe Caslon Pro" w:hAnsi="Adobe Caslon Pro"/>
          <w:bCs/>
          <w:i/>
          <w:sz w:val="18"/>
          <w:szCs w:val="18"/>
          <w:lang w:val="es-ES_tradnl"/>
        </w:rPr>
      </w:pPr>
      <w:r w:rsidRPr="009E30D1">
        <w:rPr>
          <w:rFonts w:ascii="Adobe Caslon Pro" w:hAnsi="Adobe Caslon Pro"/>
          <w:bCs/>
          <w:i/>
          <w:sz w:val="18"/>
          <w:szCs w:val="18"/>
          <w:lang w:val="es-ES_tradnl"/>
        </w:rPr>
        <w:t>Fuente: Elaboración propia, con datos de la ENDIREH 2011, INEGI.</w:t>
      </w:r>
    </w:p>
    <w:p w:rsidR="00A26311" w:rsidRPr="009E30D1" w:rsidRDefault="00A26311" w:rsidP="00D12115">
      <w:pPr>
        <w:spacing w:after="0" w:line="240" w:lineRule="auto"/>
        <w:contextualSpacing/>
        <w:jc w:val="center"/>
        <w:rPr>
          <w:rFonts w:ascii="Adobe Caslon Pro" w:hAnsi="Adobe Caslon Pro"/>
          <w:bCs/>
          <w:i/>
          <w:sz w:val="18"/>
          <w:szCs w:val="18"/>
          <w:lang w:val="es-ES_tradnl"/>
        </w:rPr>
      </w:pPr>
      <w:r w:rsidRPr="009E30D1">
        <w:rPr>
          <w:rFonts w:ascii="Adobe Caslon Pro" w:hAnsi="Adobe Caslon Pro"/>
          <w:bCs/>
          <w:i/>
          <w:sz w:val="18"/>
          <w:szCs w:val="18"/>
          <w:lang w:val="es-ES_tradnl"/>
        </w:rPr>
        <w:t>Nota: los porcentajes no suman 100%, debido a que las mujeres pudieron presentar más de una secuela física.</w:t>
      </w:r>
    </w:p>
    <w:p w:rsidR="00B85C0B" w:rsidRPr="009E30D1" w:rsidRDefault="00B85C0B" w:rsidP="00B85C0B">
      <w:pPr>
        <w:spacing w:after="120" w:line="240" w:lineRule="auto"/>
        <w:contextualSpacing/>
        <w:jc w:val="center"/>
        <w:rPr>
          <w:rFonts w:ascii="Adobe Caslon Pro" w:hAnsi="Adobe Caslon Pro"/>
          <w:bCs/>
          <w:i/>
          <w:sz w:val="18"/>
          <w:szCs w:val="18"/>
          <w:lang w:val="es-ES_tradnl"/>
        </w:rPr>
      </w:pPr>
    </w:p>
    <w:p w:rsidR="00A26311" w:rsidRPr="009E30D1" w:rsidRDefault="00525BF1" w:rsidP="00B85C0B">
      <w:pPr>
        <w:spacing w:after="120" w:line="240" w:lineRule="auto"/>
        <w:jc w:val="both"/>
        <w:rPr>
          <w:rFonts w:ascii="Adobe Caslon Pro" w:hAnsi="Adobe Caslon Pro"/>
          <w:lang w:val="es-ES_tradnl"/>
        </w:rPr>
      </w:pPr>
      <w:r w:rsidRPr="009E30D1">
        <w:rPr>
          <w:rFonts w:ascii="Adobe Caslon Pro" w:hAnsi="Adobe Caslon Pro"/>
          <w:lang w:val="es-ES_tradnl"/>
        </w:rPr>
        <w:t>En el cuadro 11</w:t>
      </w:r>
      <w:r w:rsidR="00A26311" w:rsidRPr="009E30D1">
        <w:rPr>
          <w:rFonts w:ascii="Adobe Caslon Pro" w:hAnsi="Adobe Caslon Pro"/>
          <w:lang w:val="es-ES_tradnl"/>
        </w:rPr>
        <w:t xml:space="preserve"> se observa que en 2011, 45.1% de las mujeres con problemas con su (ex) esposo o (ex) pareja mencionan que éstos les ocasionaron tristeza, aflicción o depresión; 27.7%, problemas nerviosos; 25.6%, angustia o miedo; y 21.2%, pérdida o aumento del apetito.</w:t>
      </w:r>
      <w:r w:rsidR="00D12115" w:rsidRPr="009E30D1">
        <w:rPr>
          <w:rFonts w:ascii="Adobe Caslon Pro" w:hAnsi="Adobe Caslon Pro"/>
          <w:lang w:val="es-ES_tradnl"/>
        </w:rPr>
        <w:br w:type="page"/>
      </w:r>
    </w:p>
    <w:p w:rsidR="00A26311" w:rsidRPr="009E30D1" w:rsidRDefault="00C92E2B" w:rsidP="00B85C0B">
      <w:pPr>
        <w:spacing w:after="120" w:line="240" w:lineRule="auto"/>
        <w:contextualSpacing/>
        <w:jc w:val="center"/>
        <w:rPr>
          <w:rFonts w:ascii="Adobe Caslon Pro" w:hAnsi="Adobe Caslon Pro"/>
          <w:b/>
          <w:lang w:val="es-ES_tradnl"/>
        </w:rPr>
      </w:pPr>
      <w:r w:rsidRPr="009E30D1">
        <w:rPr>
          <w:rFonts w:ascii="Adobe Caslon Pro" w:hAnsi="Adobe Caslon Pro"/>
          <w:b/>
          <w:lang w:val="es-ES_tradnl"/>
        </w:rPr>
        <w:lastRenderedPageBreak/>
        <w:t>Cuadro 1</w:t>
      </w:r>
      <w:r w:rsidR="0028589A" w:rsidRPr="009E30D1">
        <w:rPr>
          <w:rFonts w:ascii="Adobe Caslon Pro" w:hAnsi="Adobe Caslon Pro"/>
          <w:b/>
          <w:lang w:val="es-ES_tradnl"/>
        </w:rPr>
        <w:t>1</w:t>
      </w:r>
      <w:r w:rsidR="00A26311" w:rsidRPr="009E30D1">
        <w:rPr>
          <w:rFonts w:ascii="Adobe Caslon Pro" w:hAnsi="Adobe Caslon Pro"/>
          <w:b/>
          <w:lang w:val="es-ES_tradnl"/>
        </w:rPr>
        <w:t>. Mujeres con daños psicológicos y emocionales oc</w:t>
      </w:r>
      <w:r w:rsidR="00CF5E50" w:rsidRPr="009E30D1">
        <w:rPr>
          <w:rFonts w:ascii="Adobe Caslon Pro" w:hAnsi="Adobe Caslon Pro"/>
          <w:b/>
          <w:lang w:val="es-ES_tradnl"/>
        </w:rPr>
        <w:t>asionados por su última pareja</w:t>
      </w:r>
    </w:p>
    <w:tbl>
      <w:tblPr>
        <w:tblW w:w="7540" w:type="dxa"/>
        <w:jc w:val="center"/>
        <w:tblCellMar>
          <w:left w:w="70" w:type="dxa"/>
          <w:right w:w="70" w:type="dxa"/>
        </w:tblCellMar>
        <w:tblLook w:val="04A0" w:firstRow="1" w:lastRow="0" w:firstColumn="1" w:lastColumn="0" w:noHBand="0" w:noVBand="1"/>
      </w:tblPr>
      <w:tblGrid>
        <w:gridCol w:w="3880"/>
        <w:gridCol w:w="1380"/>
        <w:gridCol w:w="1340"/>
        <w:gridCol w:w="940"/>
      </w:tblGrid>
      <w:tr w:rsidR="00A26311" w:rsidRPr="009E30D1" w:rsidTr="00957973">
        <w:trPr>
          <w:trHeight w:val="660"/>
          <w:tblHeader/>
          <w:jc w:val="center"/>
        </w:trPr>
        <w:tc>
          <w:tcPr>
            <w:tcW w:w="3880" w:type="dxa"/>
            <w:vMerge w:val="restart"/>
            <w:tcBorders>
              <w:top w:val="single" w:sz="4" w:space="0" w:color="auto"/>
              <w:left w:val="single" w:sz="4" w:space="0" w:color="auto"/>
              <w:right w:val="nil"/>
            </w:tcBorders>
            <w:shd w:val="clear" w:color="000000" w:fill="BFBFBF"/>
            <w:vAlign w:val="center"/>
            <w:hideMark/>
          </w:tcPr>
          <w:p w:rsidR="00A26311" w:rsidRPr="009E30D1" w:rsidRDefault="00A26311" w:rsidP="00B85C0B">
            <w:pPr>
              <w:spacing w:after="12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¿Los problemas con su (ex) esposo o (ex) pareja le provocaron</w:t>
            </w:r>
            <w:r w:rsidRPr="009E30D1">
              <w:rPr>
                <w:rFonts w:ascii="Adobe Caslon Pro" w:hAnsi="Adobe Caslon Pro"/>
                <w:b/>
                <w:bCs/>
                <w:sz w:val="18"/>
                <w:szCs w:val="18"/>
                <w:lang w:val="es-ES_tradnl"/>
              </w:rPr>
              <w:t xml:space="preserve"> …</w:t>
            </w:r>
          </w:p>
        </w:tc>
        <w:tc>
          <w:tcPr>
            <w:tcW w:w="13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26311" w:rsidRPr="009E30D1" w:rsidRDefault="00A26311" w:rsidP="00B85C0B">
            <w:pPr>
              <w:spacing w:after="12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Casadas</w:t>
            </w:r>
          </w:p>
        </w:tc>
        <w:tc>
          <w:tcPr>
            <w:tcW w:w="1340" w:type="dxa"/>
            <w:tcBorders>
              <w:top w:val="single" w:sz="4" w:space="0" w:color="auto"/>
              <w:left w:val="nil"/>
              <w:bottom w:val="single" w:sz="4" w:space="0" w:color="auto"/>
              <w:right w:val="single" w:sz="4" w:space="0" w:color="auto"/>
            </w:tcBorders>
            <w:shd w:val="clear" w:color="000000" w:fill="BFBFBF"/>
            <w:vAlign w:val="center"/>
            <w:hideMark/>
          </w:tcPr>
          <w:p w:rsidR="00A26311" w:rsidRPr="009E30D1" w:rsidRDefault="00A26311" w:rsidP="00B85C0B">
            <w:pPr>
              <w:spacing w:after="12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Alguna vez unidas</w:t>
            </w:r>
          </w:p>
        </w:tc>
        <w:tc>
          <w:tcPr>
            <w:tcW w:w="940" w:type="dxa"/>
            <w:tcBorders>
              <w:top w:val="single" w:sz="4" w:space="0" w:color="auto"/>
              <w:left w:val="nil"/>
              <w:bottom w:val="single" w:sz="4" w:space="0" w:color="auto"/>
              <w:right w:val="single" w:sz="4" w:space="0" w:color="auto"/>
            </w:tcBorders>
            <w:shd w:val="clear" w:color="000000" w:fill="BFBFBF"/>
            <w:vAlign w:val="center"/>
            <w:hideMark/>
          </w:tcPr>
          <w:p w:rsidR="00A26311" w:rsidRPr="009E30D1" w:rsidRDefault="00A26311" w:rsidP="00B85C0B">
            <w:pPr>
              <w:spacing w:after="12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Mujeres</w:t>
            </w:r>
          </w:p>
        </w:tc>
      </w:tr>
      <w:tr w:rsidR="00A26311" w:rsidRPr="009E30D1" w:rsidTr="00957973">
        <w:trPr>
          <w:trHeight w:val="193"/>
          <w:tblHeader/>
          <w:jc w:val="center"/>
        </w:trPr>
        <w:tc>
          <w:tcPr>
            <w:tcW w:w="3880" w:type="dxa"/>
            <w:vMerge/>
            <w:tcBorders>
              <w:left w:val="single" w:sz="4" w:space="0" w:color="auto"/>
              <w:bottom w:val="single" w:sz="4" w:space="0" w:color="auto"/>
              <w:right w:val="nil"/>
            </w:tcBorders>
            <w:shd w:val="clear" w:color="000000" w:fill="BFBFBF"/>
            <w:vAlign w:val="center"/>
          </w:tcPr>
          <w:p w:rsidR="00A26311" w:rsidRPr="009E30D1" w:rsidRDefault="00A26311" w:rsidP="00B85C0B">
            <w:pPr>
              <w:spacing w:after="120" w:line="240" w:lineRule="auto"/>
              <w:contextualSpacing/>
              <w:jc w:val="center"/>
              <w:rPr>
                <w:rFonts w:ascii="Adobe Caslon Pro" w:hAnsi="Adobe Caslon Pro"/>
                <w:b/>
                <w:sz w:val="18"/>
                <w:szCs w:val="18"/>
                <w:lang w:val="es-ES_tradnl"/>
              </w:rPr>
            </w:pPr>
          </w:p>
        </w:tc>
        <w:tc>
          <w:tcPr>
            <w:tcW w:w="3660" w:type="dxa"/>
            <w:gridSpan w:val="3"/>
            <w:tcBorders>
              <w:top w:val="single" w:sz="4" w:space="0" w:color="auto"/>
              <w:left w:val="single" w:sz="4" w:space="0" w:color="auto"/>
              <w:bottom w:val="single" w:sz="4" w:space="0" w:color="auto"/>
              <w:right w:val="single" w:sz="4" w:space="0" w:color="auto"/>
            </w:tcBorders>
            <w:shd w:val="clear" w:color="000000" w:fill="BFBFBF"/>
            <w:vAlign w:val="center"/>
          </w:tcPr>
          <w:p w:rsidR="00A26311" w:rsidRPr="009E30D1" w:rsidRDefault="00A26311" w:rsidP="00B85C0B">
            <w:pPr>
              <w:spacing w:after="120" w:line="240" w:lineRule="auto"/>
              <w:contextualSpacing/>
              <w:jc w:val="center"/>
              <w:rPr>
                <w:rFonts w:ascii="Adobe Caslon Pro" w:hAnsi="Adobe Caslon Pro"/>
                <w:b/>
                <w:sz w:val="18"/>
                <w:szCs w:val="18"/>
                <w:lang w:val="es-ES_tradnl"/>
              </w:rPr>
            </w:pPr>
            <w:r w:rsidRPr="009E30D1">
              <w:rPr>
                <w:rFonts w:ascii="Adobe Caslon Pro" w:hAnsi="Adobe Caslon Pro"/>
                <w:b/>
                <w:sz w:val="18"/>
                <w:szCs w:val="18"/>
                <w:lang w:val="es-ES_tradnl"/>
              </w:rPr>
              <w:t>(Millones de mujeres)</w:t>
            </w:r>
          </w:p>
        </w:tc>
      </w:tr>
      <w:tr w:rsidR="00A26311" w:rsidRPr="009E30D1" w:rsidTr="00957973">
        <w:trPr>
          <w:trHeight w:val="510"/>
          <w:jc w:val="center"/>
        </w:trPr>
        <w:tc>
          <w:tcPr>
            <w:tcW w:w="3880" w:type="dxa"/>
            <w:tcBorders>
              <w:top w:val="nil"/>
              <w:left w:val="single" w:sz="4" w:space="0" w:color="auto"/>
              <w:bottom w:val="nil"/>
              <w:right w:val="nil"/>
            </w:tcBorders>
            <w:shd w:val="clear" w:color="auto" w:fill="auto"/>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Total de mujeres con secuelas psicológicas</w:t>
            </w:r>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10.8</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4.7</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15.5</w:t>
            </w:r>
          </w:p>
        </w:tc>
      </w:tr>
      <w:tr w:rsidR="00A26311" w:rsidRPr="009E30D1" w:rsidTr="00957973">
        <w:trPr>
          <w:trHeight w:val="300"/>
          <w:jc w:val="center"/>
        </w:trPr>
        <w:tc>
          <w:tcPr>
            <w:tcW w:w="3880" w:type="dxa"/>
            <w:tcBorders>
              <w:top w:val="nil"/>
              <w:left w:val="single" w:sz="4" w:space="0" w:color="auto"/>
              <w:bottom w:val="nil"/>
              <w:right w:val="nil"/>
            </w:tcBorders>
            <w:shd w:val="clear" w:color="auto" w:fill="auto"/>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rPr>
              <w:t> </w:t>
            </w:r>
          </w:p>
        </w:tc>
        <w:tc>
          <w:tcPr>
            <w:tcW w:w="36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Porcentaje</w:t>
            </w:r>
          </w:p>
        </w:tc>
      </w:tr>
      <w:tr w:rsidR="00A26311" w:rsidRPr="009E30D1" w:rsidTr="00957973">
        <w:trPr>
          <w:trHeight w:val="300"/>
          <w:jc w:val="center"/>
        </w:trPr>
        <w:tc>
          <w:tcPr>
            <w:tcW w:w="3880" w:type="dxa"/>
            <w:tcBorders>
              <w:top w:val="nil"/>
              <w:left w:val="single" w:sz="4" w:space="0" w:color="auto"/>
              <w:bottom w:val="nil"/>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pérdida o aumento del apetito</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17.0</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30.7</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21.2</w:t>
            </w:r>
          </w:p>
        </w:tc>
      </w:tr>
      <w:tr w:rsidR="00A26311" w:rsidRPr="009E30D1" w:rsidTr="00957973">
        <w:trPr>
          <w:trHeight w:val="300"/>
          <w:jc w:val="center"/>
        </w:trPr>
        <w:tc>
          <w:tcPr>
            <w:tcW w:w="3880" w:type="dxa"/>
            <w:tcBorders>
              <w:top w:val="nil"/>
              <w:left w:val="single" w:sz="4" w:space="0" w:color="auto"/>
              <w:bottom w:val="nil"/>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problemas nerviosos</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22.3</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40.1</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27.7</w:t>
            </w:r>
          </w:p>
        </w:tc>
      </w:tr>
      <w:tr w:rsidR="00A26311" w:rsidRPr="009E30D1" w:rsidTr="00957973">
        <w:trPr>
          <w:trHeight w:val="300"/>
          <w:jc w:val="center"/>
        </w:trPr>
        <w:tc>
          <w:tcPr>
            <w:tcW w:w="3880" w:type="dxa"/>
            <w:tcBorders>
              <w:top w:val="nil"/>
              <w:left w:val="single" w:sz="4" w:space="0" w:color="auto"/>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angustia o miedo</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18.8</w:t>
            </w:r>
          </w:p>
        </w:tc>
        <w:tc>
          <w:tcPr>
            <w:tcW w:w="1340" w:type="dxa"/>
            <w:tcBorders>
              <w:top w:val="nil"/>
              <w:left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41.0</w:t>
            </w:r>
          </w:p>
        </w:tc>
        <w:tc>
          <w:tcPr>
            <w:tcW w:w="940" w:type="dxa"/>
            <w:tcBorders>
              <w:top w:val="nil"/>
              <w:left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25.6</w:t>
            </w:r>
          </w:p>
        </w:tc>
      </w:tr>
      <w:tr w:rsidR="00A26311" w:rsidRPr="009E30D1" w:rsidTr="00957973">
        <w:trPr>
          <w:trHeight w:val="300"/>
          <w:jc w:val="center"/>
        </w:trPr>
        <w:tc>
          <w:tcPr>
            <w:tcW w:w="3880" w:type="dxa"/>
            <w:tcBorders>
              <w:top w:val="nil"/>
              <w:left w:val="single" w:sz="4" w:space="0" w:color="auto"/>
              <w:bottom w:val="single" w:sz="4" w:space="0" w:color="auto"/>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tristeza, aflicción o depresión</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38.0</w:t>
            </w:r>
          </w:p>
        </w:tc>
        <w:tc>
          <w:tcPr>
            <w:tcW w:w="1340"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61.4</w:t>
            </w:r>
          </w:p>
        </w:tc>
        <w:tc>
          <w:tcPr>
            <w:tcW w:w="940"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45.1</w:t>
            </w:r>
          </w:p>
        </w:tc>
      </w:tr>
      <w:tr w:rsidR="00A26311" w:rsidRPr="009E30D1" w:rsidTr="00957973">
        <w:trPr>
          <w:trHeight w:val="300"/>
          <w:jc w:val="center"/>
        </w:trPr>
        <w:tc>
          <w:tcPr>
            <w:tcW w:w="3880" w:type="dxa"/>
            <w:tcBorders>
              <w:top w:val="single" w:sz="4" w:space="0" w:color="auto"/>
              <w:left w:val="single" w:sz="4" w:space="0" w:color="auto"/>
              <w:bottom w:val="nil"/>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insomnio</w:t>
            </w:r>
            <w:proofErr w:type="gramStart"/>
            <w:r w:rsidRPr="009E30D1">
              <w:rPr>
                <w:rFonts w:ascii="Adobe Caslon Pro" w:hAnsi="Adobe Caslon Pro"/>
                <w:sz w:val="18"/>
                <w:szCs w:val="18"/>
                <w:lang w:val="es-ES_tradnl"/>
              </w:rPr>
              <w:t>?</w:t>
            </w:r>
            <w:proofErr w:type="gramEnd"/>
          </w:p>
        </w:tc>
        <w:tc>
          <w:tcPr>
            <w:tcW w:w="1380" w:type="dxa"/>
            <w:tcBorders>
              <w:top w:val="single" w:sz="4" w:space="0" w:color="auto"/>
              <w:left w:val="single" w:sz="4" w:space="0" w:color="auto"/>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15.7</w:t>
            </w:r>
          </w:p>
        </w:tc>
        <w:tc>
          <w:tcPr>
            <w:tcW w:w="1340" w:type="dxa"/>
            <w:tcBorders>
              <w:top w:val="single" w:sz="4" w:space="0" w:color="auto"/>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28.9</w:t>
            </w:r>
          </w:p>
        </w:tc>
        <w:tc>
          <w:tcPr>
            <w:tcW w:w="940" w:type="dxa"/>
            <w:tcBorders>
              <w:top w:val="single" w:sz="4" w:space="0" w:color="auto"/>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19.7</w:t>
            </w:r>
          </w:p>
        </w:tc>
      </w:tr>
      <w:tr w:rsidR="00A26311" w:rsidRPr="009E30D1" w:rsidTr="00957973">
        <w:trPr>
          <w:trHeight w:val="300"/>
          <w:jc w:val="center"/>
        </w:trPr>
        <w:tc>
          <w:tcPr>
            <w:tcW w:w="3880" w:type="dxa"/>
            <w:tcBorders>
              <w:top w:val="nil"/>
              <w:left w:val="single" w:sz="4" w:space="0" w:color="auto"/>
              <w:bottom w:val="nil"/>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otras enfermedades</w:t>
            </w:r>
            <w:proofErr w:type="gramStart"/>
            <w:r w:rsidRPr="009E30D1">
              <w:rPr>
                <w:rFonts w:ascii="Adobe Caslon Pro" w:hAnsi="Adobe Caslon Pro"/>
                <w:sz w:val="18"/>
                <w:szCs w:val="18"/>
                <w:lang w:val="es-ES_tradnl"/>
              </w:rPr>
              <w:t>?</w:t>
            </w:r>
            <w:proofErr w:type="gramEnd"/>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3.6</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8.5</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5.1</w:t>
            </w:r>
          </w:p>
        </w:tc>
      </w:tr>
      <w:tr w:rsidR="00A26311" w:rsidRPr="009E30D1" w:rsidTr="00957973">
        <w:trPr>
          <w:trHeight w:val="300"/>
          <w:jc w:val="center"/>
        </w:trPr>
        <w:tc>
          <w:tcPr>
            <w:tcW w:w="3880" w:type="dxa"/>
            <w:tcBorders>
              <w:top w:val="nil"/>
              <w:left w:val="single" w:sz="4" w:space="0" w:color="auto"/>
              <w:bottom w:val="nil"/>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No le ha pasado nada</w:t>
            </w:r>
          </w:p>
        </w:tc>
        <w:tc>
          <w:tcPr>
            <w:tcW w:w="1380" w:type="dxa"/>
            <w:tcBorders>
              <w:top w:val="nil"/>
              <w:left w:val="single" w:sz="4" w:space="0" w:color="auto"/>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50.7</w:t>
            </w:r>
          </w:p>
        </w:tc>
        <w:tc>
          <w:tcPr>
            <w:tcW w:w="13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25.8</w:t>
            </w:r>
          </w:p>
        </w:tc>
        <w:tc>
          <w:tcPr>
            <w:tcW w:w="940"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43.2</w:t>
            </w:r>
          </w:p>
        </w:tc>
      </w:tr>
      <w:tr w:rsidR="00A26311" w:rsidRPr="009E30D1" w:rsidTr="00957973">
        <w:trPr>
          <w:trHeight w:val="300"/>
          <w:jc w:val="center"/>
        </w:trPr>
        <w:tc>
          <w:tcPr>
            <w:tcW w:w="3880" w:type="dxa"/>
            <w:tcBorders>
              <w:top w:val="nil"/>
              <w:left w:val="single" w:sz="4" w:space="0" w:color="auto"/>
              <w:bottom w:val="single" w:sz="4" w:space="0" w:color="auto"/>
              <w:right w:val="nil"/>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Otro</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1.3</w:t>
            </w:r>
          </w:p>
        </w:tc>
        <w:tc>
          <w:tcPr>
            <w:tcW w:w="940"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1.2</w:t>
            </w:r>
          </w:p>
        </w:tc>
      </w:tr>
    </w:tbl>
    <w:p w:rsidR="00A26311" w:rsidRPr="009E30D1" w:rsidRDefault="00A26311" w:rsidP="00B85C0B">
      <w:pPr>
        <w:spacing w:after="120" w:line="240" w:lineRule="auto"/>
        <w:contextualSpacing/>
        <w:jc w:val="center"/>
        <w:rPr>
          <w:rFonts w:ascii="Adobe Caslon Pro" w:hAnsi="Adobe Caslon Pro"/>
          <w:bCs/>
          <w:i/>
          <w:sz w:val="18"/>
          <w:szCs w:val="18"/>
          <w:lang w:val="es-ES_tradnl"/>
        </w:rPr>
      </w:pPr>
      <w:r w:rsidRPr="009E30D1">
        <w:rPr>
          <w:rFonts w:ascii="Adobe Caslon Pro" w:hAnsi="Adobe Caslon Pro"/>
          <w:bCs/>
          <w:i/>
          <w:sz w:val="18"/>
          <w:szCs w:val="18"/>
          <w:lang w:val="es-ES_tradnl"/>
        </w:rPr>
        <w:t>Fuente: Elaboración propia con datos de la ENDIREH 2011, INEGI.</w:t>
      </w:r>
    </w:p>
    <w:p w:rsidR="00A26311" w:rsidRPr="009E30D1" w:rsidRDefault="00A26311" w:rsidP="00B85C0B">
      <w:pPr>
        <w:spacing w:after="120" w:line="240" w:lineRule="auto"/>
        <w:contextualSpacing/>
        <w:jc w:val="center"/>
        <w:rPr>
          <w:rFonts w:ascii="Adobe Caslon Pro" w:hAnsi="Adobe Caslon Pro"/>
          <w:bCs/>
          <w:i/>
          <w:sz w:val="18"/>
          <w:szCs w:val="18"/>
          <w:lang w:val="es-ES_tradnl"/>
        </w:rPr>
      </w:pPr>
      <w:r w:rsidRPr="009E30D1">
        <w:rPr>
          <w:rFonts w:ascii="Adobe Caslon Pro" w:hAnsi="Adobe Caslon Pro"/>
          <w:bCs/>
          <w:i/>
          <w:sz w:val="18"/>
          <w:szCs w:val="18"/>
          <w:lang w:val="es-ES_tradnl"/>
        </w:rPr>
        <w:t>Nota: Los porcentajes no suman 100% debido a que las mujeres pudieron presentar más de una secuela psicológica.</w:t>
      </w:r>
    </w:p>
    <w:p w:rsidR="00B85C0B" w:rsidRPr="009E30D1" w:rsidRDefault="00B85C0B" w:rsidP="00B85C0B">
      <w:pPr>
        <w:spacing w:after="120" w:line="240" w:lineRule="auto"/>
        <w:jc w:val="both"/>
        <w:rPr>
          <w:rFonts w:ascii="Adobe Caslon Pro" w:hAnsi="Adobe Caslon Pro"/>
          <w:lang w:val="es-ES_tradnl"/>
        </w:rPr>
      </w:pPr>
    </w:p>
    <w:p w:rsidR="00A26311" w:rsidRPr="009E30D1" w:rsidRDefault="00A26311"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Los daños físicos, psicológicos y emocionales generan una </w:t>
      </w:r>
      <w:r w:rsidRPr="009E30D1">
        <w:rPr>
          <w:rFonts w:ascii="Adobe Caslon Pro" w:hAnsi="Adobe Caslon Pro"/>
          <w:b/>
          <w:lang w:val="es-ES_tradnl"/>
        </w:rPr>
        <w:t xml:space="preserve">mayor prevalencia de daños a la salud pública, </w:t>
      </w:r>
      <w:r w:rsidRPr="009E30D1">
        <w:rPr>
          <w:rFonts w:ascii="Adobe Caslon Pro" w:hAnsi="Adobe Caslon Pro"/>
          <w:lang w:val="es-ES_tradnl"/>
        </w:rPr>
        <w:t xml:space="preserve">a través de la </w:t>
      </w:r>
      <w:proofErr w:type="spellStart"/>
      <w:r w:rsidRPr="009E30D1">
        <w:rPr>
          <w:rFonts w:ascii="Adobe Caslon Pro" w:hAnsi="Adobe Caslon Pro"/>
          <w:lang w:val="es-ES_tradnl"/>
        </w:rPr>
        <w:t>potencialización</w:t>
      </w:r>
      <w:proofErr w:type="spellEnd"/>
      <w:r w:rsidRPr="009E30D1">
        <w:rPr>
          <w:rFonts w:ascii="Adobe Caslon Pro" w:hAnsi="Adobe Caslon Pro"/>
          <w:lang w:val="es-ES_tradnl"/>
        </w:rPr>
        <w:t xml:space="preserve"> de </w:t>
      </w:r>
      <w:r w:rsidR="009A6DCF" w:rsidRPr="009E30D1">
        <w:rPr>
          <w:rFonts w:ascii="Adobe Caslon Pro" w:hAnsi="Adobe Caslon Pro"/>
          <w:lang w:val="es-ES_tradnl"/>
        </w:rPr>
        <w:t xml:space="preserve">situaciones </w:t>
      </w:r>
      <w:r w:rsidRPr="009E30D1">
        <w:rPr>
          <w:rFonts w:ascii="Adobe Caslon Pro" w:hAnsi="Adobe Caslon Pro"/>
          <w:lang w:val="es-ES_tradnl"/>
        </w:rPr>
        <w:t xml:space="preserve">y factores de riesgo como lo son la </w:t>
      </w:r>
      <w:r w:rsidR="009A6DCF" w:rsidRPr="009E30D1">
        <w:rPr>
          <w:rFonts w:ascii="Adobe Caslon Pro" w:hAnsi="Adobe Caslon Pro"/>
          <w:lang w:val="es-ES_tradnl"/>
        </w:rPr>
        <w:t xml:space="preserve">poca </w:t>
      </w:r>
      <w:r w:rsidRPr="009E30D1">
        <w:rPr>
          <w:rFonts w:ascii="Adobe Caslon Pro" w:hAnsi="Adobe Caslon Pro"/>
          <w:lang w:val="es-ES_tradnl"/>
        </w:rPr>
        <w:t xml:space="preserve">prevención de infecciones de transmisión sexual, la hostilidad y el </w:t>
      </w:r>
      <w:proofErr w:type="spellStart"/>
      <w:r w:rsidRPr="009E30D1">
        <w:rPr>
          <w:rFonts w:ascii="Adobe Caslon Pro" w:hAnsi="Adobe Caslon Pro"/>
          <w:i/>
          <w:lang w:val="es-ES_tradnl"/>
        </w:rPr>
        <w:t>bullying</w:t>
      </w:r>
      <w:proofErr w:type="spellEnd"/>
      <w:r w:rsidR="009A6DCF" w:rsidRPr="009E30D1">
        <w:rPr>
          <w:rFonts w:ascii="Adobe Caslon Pro" w:hAnsi="Adobe Caslon Pro"/>
          <w:lang w:val="es-ES_tradnl"/>
        </w:rPr>
        <w:t xml:space="preserve"> que en conjunto redundan en</w:t>
      </w:r>
      <w:r w:rsidRPr="009E30D1">
        <w:rPr>
          <w:rFonts w:ascii="Adobe Caslon Pro" w:hAnsi="Adobe Caslon Pro"/>
          <w:lang w:val="es-ES_tradnl"/>
        </w:rPr>
        <w:t xml:space="preserve"> un</w:t>
      </w:r>
      <w:r w:rsidRPr="009E30D1">
        <w:rPr>
          <w:rFonts w:ascii="Adobe Caslon Pro" w:hAnsi="Adobe Caslon Pro"/>
          <w:i/>
          <w:lang w:val="es-ES_tradnl"/>
        </w:rPr>
        <w:t xml:space="preserve"> </w:t>
      </w:r>
      <w:r w:rsidRPr="009E30D1">
        <w:rPr>
          <w:rFonts w:ascii="Adobe Caslon Pro" w:hAnsi="Adobe Caslon Pro"/>
          <w:b/>
          <w:lang w:val="es-ES_tradnl"/>
        </w:rPr>
        <w:t>limitado potencial del desarrollo humano</w:t>
      </w:r>
      <w:r w:rsidR="009A6DCF" w:rsidRPr="009E30D1">
        <w:rPr>
          <w:rFonts w:ascii="Adobe Caslon Pro" w:hAnsi="Adobe Caslon Pro"/>
          <w:b/>
          <w:lang w:val="es-ES_tradnl"/>
        </w:rPr>
        <w:t xml:space="preserve">, </w:t>
      </w:r>
      <w:r w:rsidR="009A6DCF" w:rsidRPr="009E30D1">
        <w:rPr>
          <w:rFonts w:ascii="Adobe Caslon Pro" w:hAnsi="Adobe Caslon Pro"/>
          <w:lang w:val="es-ES_tradnl"/>
        </w:rPr>
        <w:t>lo cual</w:t>
      </w:r>
      <w:r w:rsidR="0014504B" w:rsidRPr="009E30D1">
        <w:rPr>
          <w:rFonts w:ascii="Adobe Caslon Pro" w:hAnsi="Adobe Caslon Pro"/>
          <w:b/>
          <w:lang w:val="es-ES_tradnl"/>
        </w:rPr>
        <w:t xml:space="preserve"> </w:t>
      </w:r>
      <w:r w:rsidRPr="009E30D1">
        <w:rPr>
          <w:rFonts w:ascii="Adobe Caslon Pro" w:hAnsi="Adobe Caslon Pro"/>
          <w:lang w:val="es-ES_tradnl"/>
        </w:rPr>
        <w:t xml:space="preserve">dificulta su participación en la vida pública, reduce la productividad, eleva los costos de la atención médica y de otros servicios y socava el bienestar económico de las sociedades. Lo anterior propicia comportamientos y estilos de vida no saludables entre la población en general, y </w:t>
      </w:r>
      <w:r w:rsidRPr="009E30D1">
        <w:rPr>
          <w:rFonts w:ascii="Adobe Caslon Pro" w:hAnsi="Adobe Caslon Pro"/>
          <w:b/>
          <w:lang w:val="es-ES_tradnl"/>
        </w:rPr>
        <w:t>contribuye al desigual ejercicio de los derechos sociales de la</w:t>
      </w:r>
      <w:r w:rsidR="00B52185" w:rsidRPr="009E30D1">
        <w:rPr>
          <w:rFonts w:ascii="Adobe Caslon Pro" w:hAnsi="Adobe Caslon Pro"/>
          <w:b/>
          <w:lang w:val="es-ES_tradnl"/>
        </w:rPr>
        <w:t>s</w:t>
      </w:r>
      <w:r w:rsidRPr="009E30D1">
        <w:rPr>
          <w:rFonts w:ascii="Adobe Caslon Pro" w:hAnsi="Adobe Caslon Pro"/>
          <w:b/>
          <w:lang w:val="es-ES_tradnl"/>
        </w:rPr>
        <w:t xml:space="preserve"> mujeres</w:t>
      </w:r>
      <w:r w:rsidRPr="009E30D1">
        <w:rPr>
          <w:rFonts w:ascii="Adobe Caslon Pro" w:hAnsi="Adobe Caslon Pro"/>
          <w:lang w:val="es-ES_tradnl"/>
        </w:rPr>
        <w:t>.</w:t>
      </w:r>
    </w:p>
    <w:p w:rsidR="00A26311" w:rsidRPr="009E30D1" w:rsidRDefault="00A26311"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De acuerdo con el informe de la OMS, </w:t>
      </w:r>
      <w:r w:rsidRPr="009E30D1">
        <w:rPr>
          <w:rFonts w:ascii="Adobe Caslon Pro" w:hAnsi="Adobe Caslon Pro"/>
          <w:i/>
          <w:lang w:val="es-ES_tradnl"/>
        </w:rPr>
        <w:t>“Estimaciones mundiales y regionales de la violencia contra la mujer: prevalencia y efectos de la violencia conyugal y de la violencia sexual no conyugal en la salud”</w:t>
      </w:r>
      <w:r w:rsidRPr="009E30D1">
        <w:rPr>
          <w:rFonts w:ascii="Adobe Caslon Pro" w:hAnsi="Adobe Caslon Pro"/>
          <w:lang w:val="es-ES_tradnl"/>
        </w:rPr>
        <w:t>, el cual es un estudio sistemático de los datos mundiales sobre la prevalencia de la violencia contra las mujeres, ejercida tanto por la pareja como por otras personas</w:t>
      </w:r>
      <w:r w:rsidR="009A6DCF" w:rsidRPr="009E30D1">
        <w:rPr>
          <w:rFonts w:ascii="Adobe Caslon Pro" w:hAnsi="Adobe Caslon Pro"/>
          <w:lang w:val="es-ES_tradnl"/>
        </w:rPr>
        <w:t xml:space="preserve">, </w:t>
      </w:r>
      <w:r w:rsidRPr="009E30D1">
        <w:rPr>
          <w:rFonts w:ascii="Adobe Caslon Pro" w:hAnsi="Adobe Caslon Pro"/>
          <w:lang w:val="es-ES_tradnl"/>
        </w:rPr>
        <w:t>el impacto de la violencia sobre la salud física y mental de mujeres y niñas puede ir desde huesos rotos hasta complicaciones vinculadas a embarazos, problemas mentales y el deterioro en el funcionamiento social. Las principales conclusiones del informe en cuanto a los impactos en la salud por la violencia ejercida por la pareja fueron:</w:t>
      </w:r>
    </w:p>
    <w:p w:rsidR="00A26311" w:rsidRPr="009E30D1" w:rsidRDefault="00A26311" w:rsidP="0082753F">
      <w:pPr>
        <w:numPr>
          <w:ilvl w:val="0"/>
          <w:numId w:val="4"/>
        </w:numPr>
        <w:spacing w:after="120" w:line="240" w:lineRule="auto"/>
        <w:jc w:val="both"/>
        <w:rPr>
          <w:rFonts w:ascii="Adobe Caslon Pro" w:hAnsi="Adobe Caslon Pro"/>
          <w:lang w:val="es-ES_tradnl"/>
        </w:rPr>
      </w:pPr>
      <w:r w:rsidRPr="009E30D1">
        <w:rPr>
          <w:rFonts w:ascii="Adobe Caslon Pro" w:hAnsi="Adobe Caslon Pro"/>
          <w:b/>
          <w:lang w:val="es-ES_tradnl"/>
        </w:rPr>
        <w:lastRenderedPageBreak/>
        <w:t>Muerte y lesiones</w:t>
      </w:r>
      <w:r w:rsidRPr="009E30D1">
        <w:rPr>
          <w:rFonts w:ascii="Adobe Caslon Pro" w:hAnsi="Adobe Caslon Pro"/>
          <w:lang w:val="es-ES_tradnl"/>
        </w:rPr>
        <w:t xml:space="preserve"> –</w:t>
      </w:r>
      <w:r w:rsidR="00B52185" w:rsidRPr="009E30D1">
        <w:rPr>
          <w:rFonts w:ascii="Adobe Caslon Pro" w:hAnsi="Adobe Caslon Pro"/>
          <w:lang w:val="es-ES_tradnl"/>
        </w:rPr>
        <w:t xml:space="preserve"> E</w:t>
      </w:r>
      <w:r w:rsidRPr="009E30D1">
        <w:rPr>
          <w:rFonts w:ascii="Adobe Caslon Pro" w:hAnsi="Adobe Caslon Pro"/>
          <w:lang w:val="es-ES_tradnl"/>
        </w:rPr>
        <w:t xml:space="preserve">l 38% de todas las mujeres asesinadas </w:t>
      </w:r>
      <w:r w:rsidR="009A6DCF" w:rsidRPr="009E30D1">
        <w:rPr>
          <w:rFonts w:ascii="Adobe Caslon Pro" w:hAnsi="Adobe Caslon Pro"/>
          <w:lang w:val="es-ES_tradnl"/>
        </w:rPr>
        <w:t xml:space="preserve">fueron </w:t>
      </w:r>
      <w:r w:rsidR="00025742" w:rsidRPr="009E30D1">
        <w:rPr>
          <w:rFonts w:ascii="Adobe Caslon Pro" w:hAnsi="Adobe Caslon Pro"/>
          <w:lang w:val="es-ES_tradnl"/>
        </w:rPr>
        <w:t>victimadas</w:t>
      </w:r>
      <w:r w:rsidRPr="009E30D1">
        <w:rPr>
          <w:rFonts w:ascii="Adobe Caslon Pro" w:hAnsi="Adobe Caslon Pro"/>
          <w:lang w:val="es-ES_tradnl"/>
        </w:rPr>
        <w:t xml:space="preserve"> por su pareja, y el 42% de las mujeres que han experimentado violencia física o sexual a manos de su pareja resultaron lesionadas.</w:t>
      </w:r>
    </w:p>
    <w:p w:rsidR="00A26311" w:rsidRPr="009E30D1" w:rsidRDefault="00A26311" w:rsidP="0082753F">
      <w:pPr>
        <w:numPr>
          <w:ilvl w:val="0"/>
          <w:numId w:val="4"/>
        </w:numPr>
        <w:spacing w:after="120" w:line="240" w:lineRule="auto"/>
        <w:jc w:val="both"/>
        <w:rPr>
          <w:rFonts w:ascii="Adobe Caslon Pro" w:hAnsi="Adobe Caslon Pro"/>
          <w:lang w:val="es-ES_tradnl"/>
        </w:rPr>
      </w:pPr>
      <w:r w:rsidRPr="009E30D1">
        <w:rPr>
          <w:rFonts w:ascii="Adobe Caslon Pro" w:hAnsi="Adobe Caslon Pro"/>
          <w:b/>
          <w:lang w:val="es-ES_tradnl"/>
        </w:rPr>
        <w:t xml:space="preserve">Depresión </w:t>
      </w:r>
      <w:r w:rsidRPr="009E30D1">
        <w:rPr>
          <w:rFonts w:ascii="Adobe Caslon Pro" w:hAnsi="Adobe Caslon Pro"/>
          <w:lang w:val="es-ES_tradnl"/>
        </w:rPr>
        <w:t>– La violencia conyugal contribuye de manera importante a los problemas de salud mental de las mujeres, en tanto las mujeres que han sufrido violencia de pareja tienen casi el doble de probabilidades de sufrir depresión en comparación con las que no padecieron ningún tipo de violencia.</w:t>
      </w:r>
    </w:p>
    <w:p w:rsidR="00A26311" w:rsidRPr="009E30D1" w:rsidRDefault="00A26311" w:rsidP="0082753F">
      <w:pPr>
        <w:numPr>
          <w:ilvl w:val="0"/>
          <w:numId w:val="4"/>
        </w:numPr>
        <w:spacing w:after="120" w:line="240" w:lineRule="auto"/>
        <w:jc w:val="both"/>
        <w:rPr>
          <w:rFonts w:ascii="Adobe Caslon Pro" w:hAnsi="Adobe Caslon Pro"/>
          <w:lang w:val="es-ES_tradnl"/>
        </w:rPr>
      </w:pPr>
      <w:r w:rsidRPr="009E30D1">
        <w:rPr>
          <w:rFonts w:ascii="Adobe Caslon Pro" w:hAnsi="Adobe Caslon Pro"/>
          <w:b/>
          <w:lang w:val="es-ES_tradnl"/>
        </w:rPr>
        <w:t>Problemas del uso</w:t>
      </w:r>
      <w:r w:rsidR="00B52185" w:rsidRPr="009E30D1">
        <w:rPr>
          <w:rFonts w:ascii="Adobe Caslon Pro" w:hAnsi="Adobe Caslon Pro"/>
          <w:b/>
          <w:lang w:val="es-ES_tradnl"/>
        </w:rPr>
        <w:t xml:space="preserve"> del</w:t>
      </w:r>
      <w:r w:rsidRPr="009E30D1">
        <w:rPr>
          <w:rFonts w:ascii="Adobe Caslon Pro" w:hAnsi="Adobe Caslon Pro"/>
          <w:b/>
          <w:lang w:val="es-ES_tradnl"/>
        </w:rPr>
        <w:t xml:space="preserve"> alcohol</w:t>
      </w:r>
      <w:r w:rsidRPr="009E30D1">
        <w:rPr>
          <w:rFonts w:ascii="Adobe Caslon Pro" w:hAnsi="Adobe Caslon Pro"/>
          <w:lang w:val="es-ES_tradnl"/>
        </w:rPr>
        <w:t xml:space="preserve"> – Mujeres que sufren violencia de pareja son casi dos veces más propensas a tener problemas con el abuso del alcohol.</w:t>
      </w:r>
    </w:p>
    <w:p w:rsidR="00A26311" w:rsidRPr="009E30D1" w:rsidRDefault="00A26311" w:rsidP="0082753F">
      <w:pPr>
        <w:numPr>
          <w:ilvl w:val="0"/>
          <w:numId w:val="4"/>
        </w:numPr>
        <w:spacing w:after="120" w:line="240" w:lineRule="auto"/>
        <w:jc w:val="both"/>
        <w:rPr>
          <w:rFonts w:ascii="Adobe Caslon Pro" w:hAnsi="Adobe Caslon Pro"/>
          <w:lang w:val="es-ES_tradnl"/>
        </w:rPr>
      </w:pPr>
      <w:r w:rsidRPr="009E30D1">
        <w:rPr>
          <w:rFonts w:ascii="Adobe Caslon Pro" w:hAnsi="Adobe Caslon Pro"/>
          <w:b/>
          <w:lang w:val="es-ES_tradnl"/>
        </w:rPr>
        <w:t>Infecciones de transmisión sexual</w:t>
      </w:r>
      <w:r w:rsidRPr="009E30D1">
        <w:rPr>
          <w:rFonts w:ascii="Adobe Caslon Pro" w:hAnsi="Adobe Caslon Pro"/>
          <w:lang w:val="es-ES_tradnl"/>
        </w:rPr>
        <w:t xml:space="preserve"> – Mujeres que sufren violencia física y/o sexual por parte de su pareja tienen 1.5 veces más probabilidades de contraer sífilis, clamidia o gonorrea. En algunas regiones (incluida el África subsahariana) tienen 1</w:t>
      </w:r>
      <w:r w:rsidR="00B52185" w:rsidRPr="009E30D1">
        <w:rPr>
          <w:rFonts w:ascii="Adobe Caslon Pro" w:hAnsi="Adobe Caslon Pro"/>
          <w:lang w:val="es-ES_tradnl"/>
        </w:rPr>
        <w:t>.</w:t>
      </w:r>
      <w:r w:rsidRPr="009E30D1">
        <w:rPr>
          <w:rFonts w:ascii="Adobe Caslon Pro" w:hAnsi="Adobe Caslon Pro"/>
          <w:lang w:val="es-ES_tradnl"/>
        </w:rPr>
        <w:t>5 veces más probabilidades de contraer el VIH</w:t>
      </w:r>
      <w:r w:rsidR="002E27E4" w:rsidRPr="009E30D1">
        <w:rPr>
          <w:rFonts w:ascii="Adobe Caslon Pro" w:hAnsi="Adobe Caslon Pro"/>
          <w:lang w:val="es-ES_tradnl"/>
        </w:rPr>
        <w:t>/SIDA</w:t>
      </w:r>
      <w:r w:rsidRPr="009E30D1">
        <w:rPr>
          <w:rFonts w:ascii="Adobe Caslon Pro" w:hAnsi="Adobe Caslon Pro"/>
          <w:lang w:val="es-ES_tradnl"/>
        </w:rPr>
        <w:t>.</w:t>
      </w:r>
    </w:p>
    <w:p w:rsidR="00A26311" w:rsidRPr="009E30D1" w:rsidRDefault="00A26311" w:rsidP="0082753F">
      <w:pPr>
        <w:numPr>
          <w:ilvl w:val="0"/>
          <w:numId w:val="4"/>
        </w:numPr>
        <w:spacing w:after="120" w:line="240" w:lineRule="auto"/>
        <w:jc w:val="both"/>
        <w:rPr>
          <w:rFonts w:ascii="Adobe Caslon Pro" w:hAnsi="Adobe Caslon Pro"/>
          <w:lang w:val="es-ES_tradnl"/>
        </w:rPr>
      </w:pPr>
      <w:r w:rsidRPr="009E30D1">
        <w:rPr>
          <w:rFonts w:ascii="Adobe Caslon Pro" w:hAnsi="Adobe Caslon Pro"/>
          <w:b/>
          <w:lang w:val="es-ES_tradnl"/>
        </w:rPr>
        <w:t>Embarazo no deseado y aborto</w:t>
      </w:r>
      <w:r w:rsidRPr="009E30D1">
        <w:rPr>
          <w:rFonts w:ascii="Adobe Caslon Pro" w:hAnsi="Adobe Caslon Pro"/>
          <w:lang w:val="es-ES_tradnl"/>
        </w:rPr>
        <w:t xml:space="preserve"> – Tanto la violencia de pareja y la violencia sexual de personas que no son pareja se asocian con el embarazo no deseado. Según este informe, las mujeres que sufren violencia de pareja física y/o sexual tienen el doble de probabilidades de tener un aborto que las mujeres que no sufren este tipo de violencia.</w:t>
      </w:r>
    </w:p>
    <w:p w:rsidR="00A26311" w:rsidRPr="009E30D1" w:rsidRDefault="00A26311" w:rsidP="0082753F">
      <w:pPr>
        <w:numPr>
          <w:ilvl w:val="0"/>
          <w:numId w:val="4"/>
        </w:numPr>
        <w:spacing w:after="120" w:line="240" w:lineRule="auto"/>
        <w:jc w:val="both"/>
        <w:rPr>
          <w:rFonts w:ascii="Adobe Caslon Pro" w:hAnsi="Adobe Caslon Pro"/>
          <w:lang w:val="es-ES_tradnl"/>
        </w:rPr>
      </w:pPr>
      <w:r w:rsidRPr="009E30D1">
        <w:rPr>
          <w:rFonts w:ascii="Adobe Caslon Pro" w:hAnsi="Adobe Caslon Pro"/>
          <w:b/>
          <w:lang w:val="es-ES_tradnl"/>
        </w:rPr>
        <w:t>Bebés con bajo peso al nacer</w:t>
      </w:r>
      <w:r w:rsidRPr="009E30D1">
        <w:rPr>
          <w:rFonts w:ascii="Adobe Caslon Pro" w:hAnsi="Adobe Caslon Pro"/>
          <w:lang w:val="es-ES_tradnl"/>
        </w:rPr>
        <w:t xml:space="preserve"> – Las mujeres que sufren violencia de pareja tienen un 16% más de probabilidades de tener un bebé de bajo peso al nacer.</w:t>
      </w:r>
    </w:p>
    <w:p w:rsidR="00A26311" w:rsidRPr="009E30D1" w:rsidRDefault="007609AD" w:rsidP="00B85C0B">
      <w:pPr>
        <w:spacing w:after="120" w:line="240" w:lineRule="auto"/>
        <w:jc w:val="both"/>
        <w:rPr>
          <w:rFonts w:ascii="Adobe Caslon Pro" w:hAnsi="Adobe Caslon Pro" w:cs="Arial"/>
          <w:b/>
          <w:lang w:val="es-ES"/>
        </w:rPr>
      </w:pPr>
      <w:r w:rsidRPr="009E30D1">
        <w:rPr>
          <w:rFonts w:ascii="Adobe Caslon Pro" w:hAnsi="Adobe Caslon Pro" w:cs="Arial"/>
          <w:b/>
          <w:lang w:val="es-ES"/>
        </w:rPr>
        <w:t xml:space="preserve">Efecto 2: </w:t>
      </w:r>
      <w:r w:rsidR="00A26311" w:rsidRPr="009E30D1">
        <w:rPr>
          <w:rFonts w:ascii="Adobe Caslon Pro" w:hAnsi="Adobe Caslon Pro" w:cs="Arial"/>
          <w:b/>
          <w:lang w:val="es-ES"/>
        </w:rPr>
        <w:t>Exclusión social de las mujeres</w:t>
      </w:r>
    </w:p>
    <w:p w:rsidR="00A26311" w:rsidRPr="009E30D1" w:rsidRDefault="00A26311" w:rsidP="00B85C0B">
      <w:pPr>
        <w:spacing w:after="120" w:line="240" w:lineRule="auto"/>
        <w:jc w:val="both"/>
        <w:rPr>
          <w:rFonts w:ascii="Adobe Caslon Pro" w:hAnsi="Adobe Caslon Pro"/>
          <w:b/>
          <w:lang w:val="es-ES_tradnl"/>
        </w:rPr>
      </w:pPr>
      <w:r w:rsidRPr="009E30D1">
        <w:rPr>
          <w:rFonts w:ascii="Adobe Caslon Pro" w:hAnsi="Adobe Caslon Pro"/>
          <w:lang w:val="es-ES_tradnl"/>
        </w:rPr>
        <w:t xml:space="preserve">Los altos niveles de violencia contra las mujeres han generado un proceso social que no ha permitido una integración </w:t>
      </w:r>
      <w:r w:rsidR="009A6DCF" w:rsidRPr="009E30D1">
        <w:rPr>
          <w:rFonts w:ascii="Adobe Caslon Pro" w:hAnsi="Adobe Caslon Pro"/>
          <w:lang w:val="es-ES_tradnl"/>
        </w:rPr>
        <w:t xml:space="preserve">cabal </w:t>
      </w:r>
      <w:r w:rsidRPr="009E30D1">
        <w:rPr>
          <w:rFonts w:ascii="Adobe Caslon Pro" w:hAnsi="Adobe Caslon Pro"/>
          <w:lang w:val="es-ES_tradnl"/>
        </w:rPr>
        <w:t>de las mujeres en la sociedad</w:t>
      </w:r>
      <w:r w:rsidR="00025742" w:rsidRPr="009E30D1">
        <w:rPr>
          <w:rFonts w:ascii="Adobe Caslon Pro" w:hAnsi="Adobe Caslon Pro"/>
          <w:lang w:val="es-ES_tradnl"/>
        </w:rPr>
        <w:t xml:space="preserve"> y</w:t>
      </w:r>
      <w:r w:rsidRPr="009E30D1">
        <w:rPr>
          <w:rFonts w:ascii="Adobe Caslon Pro" w:hAnsi="Adobe Caslon Pro"/>
          <w:lang w:val="es-ES_tradnl"/>
        </w:rPr>
        <w:t xml:space="preserve"> ha generado </w:t>
      </w:r>
      <w:r w:rsidR="00025742" w:rsidRPr="009E30D1">
        <w:rPr>
          <w:rFonts w:ascii="Adobe Caslon Pro" w:hAnsi="Adobe Caslon Pro"/>
          <w:lang w:val="es-ES_tradnl"/>
        </w:rPr>
        <w:t xml:space="preserve">sistemáticamente </w:t>
      </w:r>
      <w:r w:rsidRPr="009E30D1">
        <w:rPr>
          <w:rFonts w:ascii="Adobe Caslon Pro" w:hAnsi="Adobe Caslon Pro"/>
          <w:lang w:val="es-ES_tradnl"/>
        </w:rPr>
        <w:t xml:space="preserve">la </w:t>
      </w:r>
      <w:r w:rsidRPr="009E30D1">
        <w:rPr>
          <w:rFonts w:ascii="Adobe Caslon Pro" w:hAnsi="Adobe Caslon Pro"/>
          <w:b/>
          <w:lang w:val="es-ES_tradnl"/>
        </w:rPr>
        <w:t>exclusión social de las mujeres</w:t>
      </w:r>
      <w:r w:rsidRPr="009E30D1">
        <w:rPr>
          <w:rFonts w:ascii="Adobe Caslon Pro" w:hAnsi="Adobe Caslon Pro"/>
          <w:lang w:val="es-ES_tradnl"/>
        </w:rPr>
        <w:t xml:space="preserve">, </w:t>
      </w:r>
      <w:r w:rsidR="009A6DCF" w:rsidRPr="009E30D1">
        <w:rPr>
          <w:rFonts w:ascii="Adobe Caslon Pro" w:hAnsi="Adobe Caslon Pro"/>
          <w:lang w:val="es-ES_tradnl"/>
        </w:rPr>
        <w:t xml:space="preserve">ello les </w:t>
      </w:r>
      <w:r w:rsidRPr="009E30D1">
        <w:rPr>
          <w:rFonts w:ascii="Adobe Caslon Pro" w:hAnsi="Adobe Caslon Pro"/>
          <w:lang w:val="es-ES_tradnl"/>
        </w:rPr>
        <w:t>ha implicado una</w:t>
      </w:r>
      <w:r w:rsidR="009A6DCF" w:rsidRPr="009E30D1">
        <w:rPr>
          <w:rFonts w:ascii="Adobe Caslon Pro" w:hAnsi="Adobe Caslon Pro"/>
          <w:lang w:val="es-ES_tradnl"/>
        </w:rPr>
        <w:t xml:space="preserve"> serie de obstáculos para acceder a todas las </w:t>
      </w:r>
      <w:r w:rsidRPr="009E30D1">
        <w:rPr>
          <w:rFonts w:ascii="Adobe Caslon Pro" w:hAnsi="Adobe Caslon Pro"/>
          <w:lang w:val="es-ES_tradnl"/>
        </w:rPr>
        <w:t>posibilidades laborales, económicas, políticas y culturales -a las que los hombres</w:t>
      </w:r>
      <w:r w:rsidR="00025742" w:rsidRPr="009E30D1">
        <w:rPr>
          <w:rFonts w:ascii="Adobe Caslon Pro" w:hAnsi="Adobe Caslon Pro"/>
          <w:lang w:val="es-ES_tradnl"/>
        </w:rPr>
        <w:t xml:space="preserve"> por el hecho de serlo</w:t>
      </w:r>
      <w:r w:rsidRPr="009E30D1">
        <w:rPr>
          <w:rFonts w:ascii="Adobe Caslon Pro" w:hAnsi="Adobe Caslon Pro"/>
          <w:lang w:val="es-ES_tradnl"/>
        </w:rPr>
        <w:t xml:space="preserve"> sí han tenido acceso-. En este sentido, las mujeres </w:t>
      </w:r>
      <w:r w:rsidR="00025742" w:rsidRPr="009E30D1">
        <w:rPr>
          <w:rFonts w:ascii="Adobe Caslon Pro" w:hAnsi="Adobe Caslon Pro"/>
          <w:lang w:val="es-ES_tradnl"/>
        </w:rPr>
        <w:t xml:space="preserve">se enfrentan a un conjunto de restricciones para ejercer y exigir </w:t>
      </w:r>
      <w:r w:rsidRPr="009E30D1">
        <w:rPr>
          <w:rFonts w:ascii="Adobe Caslon Pro" w:hAnsi="Adobe Caslon Pro"/>
          <w:lang w:val="es-ES_tradnl"/>
        </w:rPr>
        <w:t xml:space="preserve">sus derechos, </w:t>
      </w:r>
      <w:r w:rsidR="00025742" w:rsidRPr="009E30D1">
        <w:rPr>
          <w:rFonts w:ascii="Adobe Caslon Pro" w:hAnsi="Adobe Caslon Pro"/>
          <w:lang w:val="es-ES_tradnl"/>
        </w:rPr>
        <w:t xml:space="preserve">las brechas de desigualdad entre mujeres y hombres se agravan y profundizan cuando se adiciona </w:t>
      </w:r>
      <w:r w:rsidR="003474D2" w:rsidRPr="009E30D1">
        <w:rPr>
          <w:rFonts w:ascii="Adobe Caslon Pro" w:hAnsi="Adobe Caslon Pro"/>
          <w:lang w:val="es-ES_tradnl"/>
        </w:rPr>
        <w:t>la exclusión social y con ello se abona a una</w:t>
      </w:r>
      <w:r w:rsidR="0014504B" w:rsidRPr="009E30D1">
        <w:rPr>
          <w:rFonts w:ascii="Adobe Caslon Pro" w:hAnsi="Adobe Caslon Pro"/>
          <w:lang w:val="es-ES_tradnl"/>
        </w:rPr>
        <w:t xml:space="preserve"> </w:t>
      </w:r>
      <w:r w:rsidRPr="009E30D1">
        <w:rPr>
          <w:rFonts w:ascii="Adobe Caslon Pro" w:hAnsi="Adobe Caslon Pro"/>
          <w:b/>
          <w:lang w:val="es-ES_tradnl"/>
        </w:rPr>
        <w:t xml:space="preserve">mayor violación de los derechos humanos de las mujeres y la descomposición del tejido social. </w:t>
      </w:r>
    </w:p>
    <w:p w:rsidR="00A26311" w:rsidRPr="009E30D1" w:rsidRDefault="00A26311" w:rsidP="00B85C0B">
      <w:pPr>
        <w:spacing w:after="120" w:line="240" w:lineRule="auto"/>
        <w:jc w:val="both"/>
        <w:rPr>
          <w:rFonts w:ascii="Adobe Caslon Pro" w:hAnsi="Adobe Caslon Pro"/>
          <w:lang w:val="es-ES_tradnl"/>
        </w:rPr>
      </w:pPr>
      <w:r w:rsidRPr="009E30D1">
        <w:rPr>
          <w:rFonts w:ascii="Adobe Caslon Pro" w:hAnsi="Adobe Caslon Pro"/>
          <w:lang w:val="es-ES_tradnl"/>
        </w:rPr>
        <w:t>La violencia</w:t>
      </w:r>
      <w:r w:rsidR="003474D2" w:rsidRPr="009E30D1">
        <w:rPr>
          <w:rFonts w:ascii="Adobe Caslon Pro" w:hAnsi="Adobe Caslon Pro"/>
          <w:lang w:val="es-ES_tradnl"/>
        </w:rPr>
        <w:t xml:space="preserve"> de género</w:t>
      </w:r>
      <w:r w:rsidRPr="009E30D1">
        <w:rPr>
          <w:rFonts w:ascii="Adobe Caslon Pro" w:hAnsi="Adobe Caslon Pro"/>
          <w:lang w:val="es-ES_tradnl"/>
        </w:rPr>
        <w:t xml:space="preserve"> y </w:t>
      </w:r>
      <w:r w:rsidR="002E27E4" w:rsidRPr="009E30D1">
        <w:rPr>
          <w:rFonts w:ascii="Adobe Caslon Pro" w:hAnsi="Adobe Caslon Pro"/>
          <w:lang w:val="es-ES_tradnl"/>
        </w:rPr>
        <w:t>la mayor violación de los derechos humanos de las mujeres</w:t>
      </w:r>
      <w:r w:rsidRPr="009E30D1">
        <w:rPr>
          <w:rFonts w:ascii="Adobe Caslon Pro" w:hAnsi="Adobe Caslon Pro"/>
          <w:lang w:val="es-ES_tradnl"/>
        </w:rPr>
        <w:t xml:space="preserve"> fomentan la </w:t>
      </w:r>
      <w:r w:rsidRPr="009E30D1">
        <w:rPr>
          <w:rFonts w:ascii="Adobe Caslon Pro" w:hAnsi="Adobe Caslon Pro"/>
          <w:b/>
          <w:lang w:val="es-ES_tradnl"/>
        </w:rPr>
        <w:t xml:space="preserve">reproducción intergeneracional de la violencia, </w:t>
      </w:r>
      <w:r w:rsidRPr="009E30D1">
        <w:rPr>
          <w:rFonts w:ascii="Adobe Caslon Pro" w:hAnsi="Adobe Caslon Pro"/>
          <w:lang w:val="es-ES_tradnl"/>
        </w:rPr>
        <w:t xml:space="preserve">debido a que los padres transmiten a sus hijas e hijos mediante aprendizaje-experiencia la violencia vivida en el hogar, </w:t>
      </w:r>
      <w:r w:rsidR="002C29A2" w:rsidRPr="009E30D1">
        <w:rPr>
          <w:rFonts w:ascii="Adobe Caslon Pro" w:hAnsi="Adobe Caslon Pro"/>
          <w:lang w:val="es-ES_tradnl"/>
        </w:rPr>
        <w:t xml:space="preserve">con lo cual se </w:t>
      </w:r>
      <w:r w:rsidRPr="009E30D1">
        <w:rPr>
          <w:rFonts w:ascii="Adobe Caslon Pro" w:hAnsi="Adobe Caslon Pro"/>
          <w:lang w:val="es-ES_tradnl"/>
        </w:rPr>
        <w:t xml:space="preserve">propicia por un lado mayor violencia contra las mujeres por parte de los </w:t>
      </w:r>
      <w:r w:rsidR="002C29A2" w:rsidRPr="009E30D1">
        <w:rPr>
          <w:rFonts w:ascii="Adobe Caslon Pro" w:hAnsi="Adobe Caslon Pro"/>
          <w:lang w:val="es-ES_tradnl"/>
        </w:rPr>
        <w:t>varones</w:t>
      </w:r>
      <w:r w:rsidRPr="009E30D1">
        <w:rPr>
          <w:rFonts w:ascii="Adobe Caslon Pro" w:hAnsi="Adobe Caslon Pro"/>
          <w:lang w:val="es-ES_tradnl"/>
        </w:rPr>
        <w:t xml:space="preserve"> y </w:t>
      </w:r>
      <w:r w:rsidR="002C29A2" w:rsidRPr="009E30D1">
        <w:rPr>
          <w:rFonts w:ascii="Adobe Caslon Pro" w:hAnsi="Adobe Caslon Pro"/>
          <w:lang w:val="es-ES_tradnl"/>
        </w:rPr>
        <w:t xml:space="preserve">por otro </w:t>
      </w:r>
      <w:r w:rsidRPr="009E30D1">
        <w:rPr>
          <w:rFonts w:ascii="Adobe Caslon Pro" w:hAnsi="Adobe Caslon Pro"/>
          <w:lang w:val="es-ES_tradnl"/>
        </w:rPr>
        <w:t>conductas de</w:t>
      </w:r>
      <w:r w:rsidR="003474D2" w:rsidRPr="009E30D1">
        <w:rPr>
          <w:rFonts w:ascii="Adobe Caslon Pro" w:hAnsi="Adobe Caslon Pro"/>
          <w:lang w:val="es-ES_tradnl"/>
        </w:rPr>
        <w:t xml:space="preserve"> tolerancia y</w:t>
      </w:r>
      <w:r w:rsidRPr="009E30D1">
        <w:rPr>
          <w:rFonts w:ascii="Adobe Caslon Pro" w:hAnsi="Adobe Caslon Pro"/>
          <w:lang w:val="es-ES_tradnl"/>
        </w:rPr>
        <w:t xml:space="preserve"> </w:t>
      </w:r>
      <w:r w:rsidRPr="009E30D1">
        <w:rPr>
          <w:rFonts w:ascii="Adobe Caslon Pro" w:hAnsi="Adobe Caslon Pro"/>
          <w:lang w:val="es-ES_tradnl"/>
        </w:rPr>
        <w:lastRenderedPageBreak/>
        <w:t>aceptación en las niñas. Al respecto, con la información de la ENDIREH 2011 se estimó la reproducción intergeneracional de la violencia en la familia, bajo la premisa de que estas personas fueron golpeadas o violentadas en su infancia y que, quizá por ello, dichas persona</w:t>
      </w:r>
      <w:r w:rsidR="00CD2E2A" w:rsidRPr="009E30D1">
        <w:rPr>
          <w:rFonts w:ascii="Adobe Caslon Pro" w:hAnsi="Adobe Caslon Pro"/>
          <w:lang w:val="es-ES_tradnl"/>
        </w:rPr>
        <w:t>s violentan a sus hijas e hijos</w:t>
      </w:r>
      <w:r w:rsidR="003474D2" w:rsidRPr="009E30D1">
        <w:rPr>
          <w:rFonts w:ascii="Adobe Caslon Pro" w:hAnsi="Adobe Caslon Pro"/>
          <w:lang w:val="es-ES_tradnl"/>
        </w:rPr>
        <w:t xml:space="preserve"> como parte de una dinámica normalizada</w:t>
      </w:r>
      <w:r w:rsidR="00CD2E2A" w:rsidRPr="009E30D1">
        <w:rPr>
          <w:rFonts w:ascii="Adobe Caslon Pro" w:hAnsi="Adobe Caslon Pro"/>
          <w:lang w:val="es-ES_tradnl"/>
        </w:rPr>
        <w:t>.</w:t>
      </w:r>
      <w:r w:rsidRPr="009E30D1">
        <w:rPr>
          <w:rFonts w:ascii="Adobe Caslon Pro" w:hAnsi="Adobe Caslon Pro"/>
          <w:lang w:val="es-ES_tradnl"/>
        </w:rPr>
        <w:t xml:space="preserve"> En el siguiente cuadro se presenta el detalle de la reproducción intergeneracional de la violencia en tres generaciones, la primera relacionada a las mujeres violentadas cuando fueron niñas y eran golpeadas por l</w:t>
      </w:r>
      <w:r w:rsidR="00B52185" w:rsidRPr="009E30D1">
        <w:rPr>
          <w:rFonts w:ascii="Adobe Caslon Pro" w:hAnsi="Adobe Caslon Pro"/>
          <w:lang w:val="es-ES_tradnl"/>
        </w:rPr>
        <w:t>as personas con las que vivía (p</w:t>
      </w:r>
      <w:r w:rsidRPr="009E30D1">
        <w:rPr>
          <w:rFonts w:ascii="Adobe Caslon Pro" w:hAnsi="Adobe Caslon Pro"/>
          <w:lang w:val="es-ES_tradnl"/>
        </w:rPr>
        <w:t>adres violentos), la segunda relativa a mujeres violentadas en la actualidad y la tercera las mujeres violentadas que golpean a sus hijas y/o hijos.</w:t>
      </w:r>
      <w:r w:rsidR="00CD2E2A" w:rsidRPr="009E30D1">
        <w:rPr>
          <w:rFonts w:ascii="Adobe Caslon Pro" w:hAnsi="Adobe Caslon Pro"/>
          <w:lang w:val="es-ES_tradnl"/>
        </w:rPr>
        <w:t xml:space="preserve"> De esta manera, se puede estimar que existen 2.9 millones de mujeres que contribuyen directamente a </w:t>
      </w:r>
      <w:r w:rsidR="00CD2E2A" w:rsidRPr="009E30D1">
        <w:rPr>
          <w:rFonts w:ascii="Adobe Caslon Pro" w:hAnsi="Adobe Caslon Pro"/>
          <w:b/>
          <w:lang w:val="es-ES_tradnl"/>
        </w:rPr>
        <w:t>la reproducción intergeneracional de la violencia</w:t>
      </w:r>
      <w:r w:rsidR="00614846" w:rsidRPr="009E30D1">
        <w:rPr>
          <w:rFonts w:ascii="Adobe Caslon Pro" w:hAnsi="Adobe Caslon Pro"/>
          <w:b/>
          <w:lang w:val="es-ES_tradnl"/>
        </w:rPr>
        <w:t>.</w:t>
      </w:r>
    </w:p>
    <w:p w:rsidR="00A26311" w:rsidRPr="009E30D1" w:rsidRDefault="00A26311" w:rsidP="00B85C0B">
      <w:pPr>
        <w:spacing w:after="120" w:line="240" w:lineRule="auto"/>
        <w:contextualSpacing/>
        <w:jc w:val="center"/>
        <w:rPr>
          <w:rFonts w:ascii="Adobe Caslon Pro" w:hAnsi="Adobe Caslon Pro"/>
          <w:b/>
          <w:bCs/>
          <w:lang w:val="es-ES_tradnl"/>
        </w:rPr>
      </w:pPr>
      <w:r w:rsidRPr="009E30D1">
        <w:rPr>
          <w:rFonts w:ascii="Adobe Caslon Pro" w:hAnsi="Adobe Caslon Pro"/>
          <w:b/>
          <w:iCs/>
          <w:lang w:val="es-ES_tradnl"/>
        </w:rPr>
        <w:t>Cuadro 1</w:t>
      </w:r>
      <w:r w:rsidR="0028589A" w:rsidRPr="009E30D1">
        <w:rPr>
          <w:rFonts w:ascii="Adobe Caslon Pro" w:hAnsi="Adobe Caslon Pro"/>
          <w:b/>
          <w:iCs/>
          <w:lang w:val="es-ES_tradnl"/>
        </w:rPr>
        <w:t>2</w:t>
      </w:r>
      <w:r w:rsidRPr="009E30D1">
        <w:rPr>
          <w:rFonts w:ascii="Adobe Caslon Pro" w:hAnsi="Adobe Caslon Pro"/>
          <w:b/>
          <w:iCs/>
          <w:lang w:val="es-ES_tradnl"/>
        </w:rPr>
        <w:t>. Reproducción intergeneracional de la violencia contra las muje</w:t>
      </w:r>
      <w:r w:rsidR="00CD2E2A" w:rsidRPr="009E30D1">
        <w:rPr>
          <w:rFonts w:ascii="Adobe Caslon Pro" w:hAnsi="Adobe Caslon Pro"/>
          <w:b/>
          <w:iCs/>
          <w:lang w:val="es-ES_tradnl"/>
        </w:rPr>
        <w:t>res por estado civil</w:t>
      </w:r>
    </w:p>
    <w:tbl>
      <w:tblPr>
        <w:tblW w:w="6970" w:type="dxa"/>
        <w:jc w:val="center"/>
        <w:tblCellMar>
          <w:left w:w="70" w:type="dxa"/>
          <w:right w:w="70" w:type="dxa"/>
        </w:tblCellMar>
        <w:tblLook w:val="04A0" w:firstRow="1" w:lastRow="0" w:firstColumn="1" w:lastColumn="0" w:noHBand="0" w:noVBand="1"/>
      </w:tblPr>
      <w:tblGrid>
        <w:gridCol w:w="4419"/>
        <w:gridCol w:w="1207"/>
        <w:gridCol w:w="1344"/>
      </w:tblGrid>
      <w:tr w:rsidR="00A26311" w:rsidRPr="009E30D1" w:rsidTr="00CD2E2A">
        <w:trPr>
          <w:trHeight w:val="596"/>
          <w:tblHeader/>
          <w:jc w:val="center"/>
        </w:trPr>
        <w:tc>
          <w:tcPr>
            <w:tcW w:w="4419" w:type="dxa"/>
            <w:tcBorders>
              <w:top w:val="single" w:sz="4" w:space="0" w:color="auto"/>
              <w:left w:val="single" w:sz="4" w:space="0" w:color="auto"/>
              <w:bottom w:val="single" w:sz="4" w:space="0" w:color="auto"/>
              <w:right w:val="nil"/>
            </w:tcBorders>
            <w:shd w:val="clear" w:color="000000" w:fill="BFBFBF"/>
            <w:vAlign w:val="center"/>
            <w:hideMark/>
          </w:tcPr>
          <w:p w:rsidR="00A26311" w:rsidRPr="009E30D1" w:rsidRDefault="00A26311" w:rsidP="00B85C0B">
            <w:pPr>
              <w:spacing w:after="120" w:line="240" w:lineRule="auto"/>
              <w:contextualSpacing/>
              <w:jc w:val="center"/>
              <w:rPr>
                <w:rFonts w:ascii="Adobe Caslon Pro" w:hAnsi="Adobe Caslon Pro"/>
                <w:b/>
                <w:sz w:val="18"/>
                <w:szCs w:val="18"/>
              </w:rPr>
            </w:pPr>
          </w:p>
        </w:tc>
        <w:tc>
          <w:tcPr>
            <w:tcW w:w="120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26311" w:rsidRPr="009E30D1" w:rsidRDefault="00A26311" w:rsidP="00B85C0B">
            <w:pPr>
              <w:spacing w:after="12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Casadas</w:t>
            </w:r>
          </w:p>
        </w:tc>
        <w:tc>
          <w:tcPr>
            <w:tcW w:w="1344" w:type="dxa"/>
            <w:tcBorders>
              <w:top w:val="single" w:sz="4" w:space="0" w:color="auto"/>
              <w:left w:val="nil"/>
              <w:bottom w:val="single" w:sz="4" w:space="0" w:color="auto"/>
              <w:right w:val="single" w:sz="4" w:space="0" w:color="auto"/>
            </w:tcBorders>
            <w:shd w:val="clear" w:color="000000" w:fill="BFBFBF"/>
            <w:vAlign w:val="center"/>
            <w:hideMark/>
          </w:tcPr>
          <w:p w:rsidR="00A26311" w:rsidRPr="009E30D1" w:rsidRDefault="00A26311" w:rsidP="00B85C0B">
            <w:pPr>
              <w:spacing w:after="120" w:line="240" w:lineRule="auto"/>
              <w:contextualSpacing/>
              <w:jc w:val="center"/>
              <w:rPr>
                <w:rFonts w:ascii="Adobe Caslon Pro" w:hAnsi="Adobe Caslon Pro"/>
                <w:b/>
                <w:sz w:val="18"/>
                <w:szCs w:val="18"/>
              </w:rPr>
            </w:pPr>
            <w:r w:rsidRPr="009E30D1">
              <w:rPr>
                <w:rFonts w:ascii="Adobe Caslon Pro" w:hAnsi="Adobe Caslon Pro"/>
                <w:b/>
                <w:sz w:val="18"/>
                <w:szCs w:val="18"/>
                <w:lang w:val="es-ES_tradnl"/>
              </w:rPr>
              <w:t>Alguna vez unidas</w:t>
            </w:r>
          </w:p>
        </w:tc>
      </w:tr>
      <w:tr w:rsidR="00A26311" w:rsidRPr="009E30D1" w:rsidTr="00CD2E2A">
        <w:trPr>
          <w:trHeight w:val="298"/>
          <w:jc w:val="center"/>
        </w:trPr>
        <w:tc>
          <w:tcPr>
            <w:tcW w:w="4419" w:type="dxa"/>
            <w:tcBorders>
              <w:top w:val="nil"/>
              <w:left w:val="single" w:sz="4" w:space="0" w:color="auto"/>
              <w:bottom w:val="nil"/>
              <w:right w:val="single" w:sz="4" w:space="0" w:color="auto"/>
            </w:tcBorders>
            <w:shd w:val="clear" w:color="auto" w:fill="auto"/>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Mujeres violentadas</w:t>
            </w:r>
          </w:p>
        </w:tc>
        <w:tc>
          <w:tcPr>
            <w:tcW w:w="1207"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11.2</w:t>
            </w:r>
          </w:p>
        </w:tc>
        <w:tc>
          <w:tcPr>
            <w:tcW w:w="1344"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b/>
                <w:bCs/>
                <w:sz w:val="18"/>
                <w:szCs w:val="18"/>
              </w:rPr>
            </w:pPr>
            <w:r w:rsidRPr="009E30D1">
              <w:rPr>
                <w:rFonts w:ascii="Adobe Caslon Pro" w:hAnsi="Adobe Caslon Pro"/>
                <w:b/>
                <w:bCs/>
                <w:sz w:val="18"/>
                <w:szCs w:val="18"/>
                <w:lang w:val="es-ES_tradnl"/>
              </w:rPr>
              <w:t>4.7</w:t>
            </w:r>
          </w:p>
        </w:tc>
      </w:tr>
      <w:tr w:rsidR="00A26311" w:rsidRPr="009E30D1" w:rsidTr="00CD2E2A">
        <w:trPr>
          <w:trHeight w:val="298"/>
          <w:jc w:val="center"/>
        </w:trPr>
        <w:tc>
          <w:tcPr>
            <w:tcW w:w="4419" w:type="dxa"/>
            <w:tcBorders>
              <w:top w:val="nil"/>
              <w:left w:val="single" w:sz="4" w:space="0" w:color="auto"/>
              <w:bottom w:val="nil"/>
              <w:right w:val="single" w:sz="4" w:space="0" w:color="auto"/>
            </w:tcBorders>
            <w:shd w:val="clear" w:color="auto" w:fill="auto"/>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 xml:space="preserve">Las personas con las que vivía le pegaban </w:t>
            </w:r>
          </w:p>
        </w:tc>
        <w:tc>
          <w:tcPr>
            <w:tcW w:w="1207"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5.6</w:t>
            </w:r>
          </w:p>
        </w:tc>
        <w:tc>
          <w:tcPr>
            <w:tcW w:w="1344"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2.4</w:t>
            </w:r>
          </w:p>
        </w:tc>
      </w:tr>
      <w:tr w:rsidR="00A26311" w:rsidRPr="009E30D1" w:rsidTr="00CD2E2A">
        <w:trPr>
          <w:trHeight w:val="298"/>
          <w:jc w:val="center"/>
        </w:trPr>
        <w:tc>
          <w:tcPr>
            <w:tcW w:w="4419" w:type="dxa"/>
            <w:tcBorders>
              <w:top w:val="nil"/>
              <w:left w:val="single" w:sz="4" w:space="0" w:color="auto"/>
              <w:bottom w:val="nil"/>
              <w:right w:val="single" w:sz="4" w:space="0" w:color="auto"/>
            </w:tcBorders>
            <w:shd w:val="clear" w:color="auto" w:fill="auto"/>
            <w:hideMark/>
          </w:tcPr>
          <w:p w:rsidR="00A26311" w:rsidRPr="009E30D1" w:rsidRDefault="009051CC"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 xml:space="preserve"> </w:t>
            </w:r>
            <w:r w:rsidR="00A26311" w:rsidRPr="009E30D1">
              <w:rPr>
                <w:rFonts w:ascii="Adobe Caslon Pro" w:hAnsi="Adobe Caslon Pro"/>
                <w:sz w:val="18"/>
                <w:szCs w:val="18"/>
              </w:rPr>
              <w:t>Porcentaje</w:t>
            </w:r>
          </w:p>
        </w:tc>
        <w:tc>
          <w:tcPr>
            <w:tcW w:w="1207"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49.7</w:t>
            </w:r>
          </w:p>
        </w:tc>
        <w:tc>
          <w:tcPr>
            <w:tcW w:w="1344"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50.3</w:t>
            </w:r>
          </w:p>
        </w:tc>
      </w:tr>
      <w:tr w:rsidR="00A26311" w:rsidRPr="009E30D1" w:rsidTr="00CD2E2A">
        <w:trPr>
          <w:trHeight w:val="298"/>
          <w:jc w:val="center"/>
        </w:trPr>
        <w:tc>
          <w:tcPr>
            <w:tcW w:w="4419" w:type="dxa"/>
            <w:tcBorders>
              <w:top w:val="nil"/>
              <w:left w:val="single" w:sz="4" w:space="0" w:color="auto"/>
              <w:bottom w:val="nil"/>
              <w:right w:val="single" w:sz="4" w:space="0" w:color="auto"/>
            </w:tcBorders>
            <w:shd w:val="clear" w:color="auto" w:fill="auto"/>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Le pega usted a sus hijas y/o hijos cuando se portan mal</w:t>
            </w:r>
          </w:p>
        </w:tc>
        <w:tc>
          <w:tcPr>
            <w:tcW w:w="1207"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4.1</w:t>
            </w:r>
          </w:p>
        </w:tc>
        <w:tc>
          <w:tcPr>
            <w:tcW w:w="1344"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1.1</w:t>
            </w:r>
          </w:p>
        </w:tc>
      </w:tr>
      <w:tr w:rsidR="00A26311" w:rsidRPr="009E30D1" w:rsidTr="00CD2E2A">
        <w:trPr>
          <w:trHeight w:val="298"/>
          <w:jc w:val="center"/>
        </w:trPr>
        <w:tc>
          <w:tcPr>
            <w:tcW w:w="4419" w:type="dxa"/>
            <w:tcBorders>
              <w:top w:val="nil"/>
              <w:left w:val="single" w:sz="4" w:space="0" w:color="auto"/>
              <w:bottom w:val="nil"/>
              <w:right w:val="single" w:sz="4" w:space="0" w:color="auto"/>
            </w:tcBorders>
            <w:shd w:val="clear" w:color="auto" w:fill="auto"/>
            <w:hideMark/>
          </w:tcPr>
          <w:p w:rsidR="00A26311" w:rsidRPr="009E30D1" w:rsidRDefault="009051CC"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 xml:space="preserve"> </w:t>
            </w:r>
            <w:r w:rsidR="00A26311" w:rsidRPr="009E30D1">
              <w:rPr>
                <w:rFonts w:ascii="Adobe Caslon Pro" w:hAnsi="Adobe Caslon Pro"/>
                <w:sz w:val="18"/>
                <w:szCs w:val="18"/>
              </w:rPr>
              <w:t>Porcentaje</w:t>
            </w:r>
          </w:p>
        </w:tc>
        <w:tc>
          <w:tcPr>
            <w:tcW w:w="1207"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36.3</w:t>
            </w:r>
          </w:p>
        </w:tc>
        <w:tc>
          <w:tcPr>
            <w:tcW w:w="1344"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22.8</w:t>
            </w:r>
          </w:p>
        </w:tc>
      </w:tr>
      <w:tr w:rsidR="00A26311" w:rsidRPr="009E30D1" w:rsidTr="00CD2E2A">
        <w:trPr>
          <w:trHeight w:val="298"/>
          <w:jc w:val="center"/>
        </w:trPr>
        <w:tc>
          <w:tcPr>
            <w:tcW w:w="4419" w:type="dxa"/>
            <w:tcBorders>
              <w:top w:val="nil"/>
              <w:left w:val="single" w:sz="4" w:space="0" w:color="auto"/>
              <w:bottom w:val="nil"/>
              <w:right w:val="single" w:sz="4" w:space="0" w:color="auto"/>
            </w:tcBorders>
            <w:shd w:val="clear" w:color="auto" w:fill="auto"/>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Le pegan, es violentada y le pega a sus hijas y/o hijos</w:t>
            </w:r>
          </w:p>
        </w:tc>
        <w:tc>
          <w:tcPr>
            <w:tcW w:w="1207"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2.3</w:t>
            </w:r>
          </w:p>
        </w:tc>
        <w:tc>
          <w:tcPr>
            <w:tcW w:w="1344" w:type="dxa"/>
            <w:tcBorders>
              <w:top w:val="nil"/>
              <w:left w:val="nil"/>
              <w:bottom w:val="nil"/>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lang w:val="es-ES_tradnl"/>
              </w:rPr>
              <w:t>0.6</w:t>
            </w:r>
          </w:p>
        </w:tc>
      </w:tr>
      <w:tr w:rsidR="00A26311" w:rsidRPr="009E30D1" w:rsidTr="00CD2E2A">
        <w:trPr>
          <w:trHeight w:val="298"/>
          <w:jc w:val="center"/>
        </w:trPr>
        <w:tc>
          <w:tcPr>
            <w:tcW w:w="4419" w:type="dxa"/>
            <w:tcBorders>
              <w:top w:val="nil"/>
              <w:left w:val="single" w:sz="4" w:space="0" w:color="auto"/>
              <w:bottom w:val="single" w:sz="4" w:space="0" w:color="auto"/>
              <w:right w:val="single" w:sz="4" w:space="0" w:color="auto"/>
            </w:tcBorders>
            <w:shd w:val="clear" w:color="auto" w:fill="auto"/>
            <w:hideMark/>
          </w:tcPr>
          <w:p w:rsidR="00A26311" w:rsidRPr="009E30D1" w:rsidRDefault="009051CC"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 xml:space="preserve"> </w:t>
            </w:r>
            <w:r w:rsidR="00A26311" w:rsidRPr="009E30D1">
              <w:rPr>
                <w:rFonts w:ascii="Adobe Caslon Pro" w:hAnsi="Adobe Caslon Pro"/>
                <w:sz w:val="18"/>
                <w:szCs w:val="18"/>
              </w:rPr>
              <w:t>Porcentaje</w:t>
            </w:r>
          </w:p>
        </w:tc>
        <w:tc>
          <w:tcPr>
            <w:tcW w:w="1207"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20.6</w:t>
            </w:r>
          </w:p>
        </w:tc>
        <w:tc>
          <w:tcPr>
            <w:tcW w:w="1344" w:type="dxa"/>
            <w:tcBorders>
              <w:top w:val="nil"/>
              <w:left w:val="nil"/>
              <w:bottom w:val="single" w:sz="4" w:space="0" w:color="auto"/>
              <w:right w:val="single" w:sz="4" w:space="0" w:color="auto"/>
            </w:tcBorders>
            <w:shd w:val="clear" w:color="auto" w:fill="auto"/>
            <w:noWrap/>
            <w:vAlign w:val="center"/>
            <w:hideMark/>
          </w:tcPr>
          <w:p w:rsidR="00A26311" w:rsidRPr="009E30D1" w:rsidRDefault="00A26311" w:rsidP="00B85C0B">
            <w:pPr>
              <w:spacing w:after="120" w:line="240" w:lineRule="auto"/>
              <w:contextualSpacing/>
              <w:jc w:val="both"/>
              <w:rPr>
                <w:rFonts w:ascii="Adobe Caslon Pro" w:hAnsi="Adobe Caslon Pro"/>
                <w:sz w:val="18"/>
                <w:szCs w:val="18"/>
              </w:rPr>
            </w:pPr>
            <w:r w:rsidRPr="009E30D1">
              <w:rPr>
                <w:rFonts w:ascii="Adobe Caslon Pro" w:hAnsi="Adobe Caslon Pro"/>
                <w:sz w:val="18"/>
                <w:szCs w:val="18"/>
              </w:rPr>
              <w:t>13.2</w:t>
            </w:r>
          </w:p>
        </w:tc>
      </w:tr>
    </w:tbl>
    <w:p w:rsidR="0064400F" w:rsidRPr="009E30D1" w:rsidRDefault="00A26311" w:rsidP="00B85C0B">
      <w:pPr>
        <w:spacing w:after="120" w:line="240" w:lineRule="auto"/>
        <w:contextualSpacing/>
        <w:jc w:val="center"/>
        <w:rPr>
          <w:rFonts w:ascii="Adobe Caslon Pro" w:hAnsi="Adobe Caslon Pro"/>
          <w:bCs/>
          <w:i/>
          <w:sz w:val="18"/>
          <w:szCs w:val="18"/>
          <w:lang w:val="es-ES_tradnl"/>
        </w:rPr>
      </w:pPr>
      <w:r w:rsidRPr="009E30D1">
        <w:rPr>
          <w:rFonts w:ascii="Adobe Caslon Pro" w:hAnsi="Adobe Caslon Pro"/>
          <w:bCs/>
          <w:i/>
          <w:sz w:val="18"/>
          <w:szCs w:val="18"/>
          <w:lang w:val="es-ES_tradnl"/>
        </w:rPr>
        <w:t>Fuente: Elaboración propia con datos de la ENDIREH 2011, INEGI.</w:t>
      </w:r>
    </w:p>
    <w:p w:rsidR="00D12115" w:rsidRPr="009E30D1" w:rsidRDefault="00D12115">
      <w:pPr>
        <w:rPr>
          <w:rFonts w:ascii="Adobe Caslon Pro" w:hAnsi="Adobe Caslon Pro"/>
          <w:bCs/>
          <w:i/>
          <w:sz w:val="18"/>
          <w:szCs w:val="18"/>
          <w:lang w:val="es-ES_tradnl"/>
        </w:rPr>
      </w:pPr>
      <w:r w:rsidRPr="009E30D1">
        <w:rPr>
          <w:rFonts w:ascii="Adobe Caslon Pro" w:hAnsi="Adobe Caslon Pro"/>
          <w:bCs/>
          <w:i/>
          <w:sz w:val="18"/>
          <w:szCs w:val="18"/>
          <w:lang w:val="es-ES_tradnl"/>
        </w:rPr>
        <w:br w:type="page"/>
      </w:r>
    </w:p>
    <w:p w:rsidR="00A26311" w:rsidRPr="009E30D1" w:rsidRDefault="00614846" w:rsidP="00975006">
      <w:pPr>
        <w:spacing w:after="120"/>
        <w:jc w:val="center"/>
        <w:rPr>
          <w:rFonts w:ascii="Adobe Caslon Pro" w:hAnsi="Adobe Caslon Pro"/>
          <w:b/>
          <w:lang w:val="es-ES_tradnl"/>
        </w:rPr>
      </w:pPr>
      <w:r w:rsidRPr="009E30D1">
        <w:rPr>
          <w:rFonts w:ascii="Adobe Caslon Pro" w:hAnsi="Adobe Caslon Pro"/>
          <w:b/>
          <w:lang w:val="es-ES_tradnl"/>
        </w:rPr>
        <w:lastRenderedPageBreak/>
        <w:t>Figura</w:t>
      </w:r>
      <w:r w:rsidR="0028589A" w:rsidRPr="009E30D1">
        <w:rPr>
          <w:rFonts w:ascii="Adobe Caslon Pro" w:hAnsi="Adobe Caslon Pro"/>
          <w:b/>
          <w:lang w:val="es-ES_tradnl"/>
        </w:rPr>
        <w:t xml:space="preserve"> </w:t>
      </w:r>
      <w:r w:rsidR="00A862B5" w:rsidRPr="009E30D1">
        <w:rPr>
          <w:rFonts w:ascii="Adobe Caslon Pro" w:hAnsi="Adobe Caslon Pro"/>
          <w:b/>
          <w:lang w:val="es-ES_tradnl"/>
        </w:rPr>
        <w:t>3</w:t>
      </w:r>
      <w:r w:rsidR="00A26311" w:rsidRPr="009E30D1">
        <w:rPr>
          <w:rFonts w:ascii="Adobe Caslon Pro" w:hAnsi="Adobe Caslon Pro"/>
          <w:b/>
          <w:lang w:val="es-ES_tradnl"/>
        </w:rPr>
        <w:t xml:space="preserve">. Reproducción intergeneracional de la violencia contra las </w:t>
      </w:r>
      <w:r w:rsidR="00CD2E2A" w:rsidRPr="009E30D1">
        <w:rPr>
          <w:rFonts w:ascii="Adobe Caslon Pro" w:hAnsi="Adobe Caslon Pro"/>
          <w:b/>
          <w:lang w:val="es-ES_tradnl"/>
        </w:rPr>
        <w:t>mujeres.</w:t>
      </w:r>
    </w:p>
    <w:p w:rsidR="00975006" w:rsidRPr="009E30D1" w:rsidRDefault="00975006" w:rsidP="00975006">
      <w:pPr>
        <w:spacing w:after="120"/>
        <w:jc w:val="center"/>
        <w:rPr>
          <w:rFonts w:ascii="Adobe Caslon Pro" w:hAnsi="Adobe Caslon Pro"/>
          <w:b/>
          <w:lang w:val="es-ES_tradnl"/>
        </w:rPr>
      </w:pPr>
    </w:p>
    <w:p w:rsidR="00A26311" w:rsidRPr="009E30D1" w:rsidRDefault="00A26311" w:rsidP="00B85C0B">
      <w:pPr>
        <w:spacing w:after="120" w:line="240" w:lineRule="auto"/>
        <w:jc w:val="both"/>
        <w:rPr>
          <w:rFonts w:ascii="Adobe Caslon Pro" w:hAnsi="Adobe Caslon Pro"/>
          <w:noProof/>
          <w:lang w:eastAsia="es-MX"/>
        </w:rPr>
      </w:pPr>
    </w:p>
    <w:p w:rsidR="00EA7ACB" w:rsidRPr="009E30D1" w:rsidRDefault="00EA7ACB" w:rsidP="00B85C0B">
      <w:pPr>
        <w:spacing w:after="120" w:line="240" w:lineRule="auto"/>
        <w:jc w:val="both"/>
        <w:rPr>
          <w:rFonts w:ascii="Adobe Caslon Pro" w:hAnsi="Adobe Caslon Pro"/>
          <w:noProof/>
          <w:lang w:eastAsia="es-MX"/>
        </w:rPr>
      </w:pPr>
      <w:r w:rsidRPr="009E30D1">
        <w:rPr>
          <w:rFonts w:ascii="Adobe Caslon Pro" w:hAnsi="Adobe Caslon Pro"/>
          <w:noProof/>
          <w:lang w:eastAsia="es-MX"/>
        </w:rPr>
        <mc:AlternateContent>
          <mc:Choice Requires="wpg">
            <w:drawing>
              <wp:inline distT="0" distB="0" distL="0" distR="0" wp14:anchorId="7330B09F" wp14:editId="2DF4BFB2">
                <wp:extent cx="4864939" cy="3278529"/>
                <wp:effectExtent l="0" t="0" r="12065" b="0"/>
                <wp:docPr id="38" name="12 Grupo"/>
                <wp:cNvGraphicFramePr/>
                <a:graphic xmlns:a="http://schemas.openxmlformats.org/drawingml/2006/main">
                  <a:graphicData uri="http://schemas.microsoft.com/office/word/2010/wordprocessingGroup">
                    <wpg:wgp>
                      <wpg:cNvGrpSpPr/>
                      <wpg:grpSpPr>
                        <a:xfrm>
                          <a:off x="0" y="0"/>
                          <a:ext cx="4864939" cy="3278529"/>
                          <a:chOff x="69011" y="0"/>
                          <a:chExt cx="4864939" cy="3278529"/>
                        </a:xfrm>
                      </wpg:grpSpPr>
                      <wps:wsp>
                        <wps:cNvPr id="39" name="6 Elipse"/>
                        <wps:cNvSpPr/>
                        <wps:spPr>
                          <a:xfrm>
                            <a:off x="69011" y="0"/>
                            <a:ext cx="4864939" cy="3024335"/>
                          </a:xfrm>
                          <a:prstGeom prst="ellipse">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8717D" w:rsidRPr="00EA7ACB" w:rsidRDefault="0098717D" w:rsidP="00EA7ACB">
                              <w:pPr>
                                <w:rPr>
                                  <w:rFonts w:eastAsia="Times New Roman"/>
                                  <w:sz w:val="20"/>
                                  <w:szCs w:val="20"/>
                                </w:rPr>
                              </w:pPr>
                            </w:p>
                            <w:p w:rsidR="0098717D" w:rsidRDefault="0098717D"/>
                          </w:txbxContent>
                        </wps:txbx>
                        <wps:bodyPr rtlCol="0" anchor="ctr"/>
                      </wps:wsp>
                      <wps:wsp>
                        <wps:cNvPr id="40" name="40 Elipse"/>
                        <wps:cNvSpPr/>
                        <wps:spPr>
                          <a:xfrm>
                            <a:off x="720080" y="524960"/>
                            <a:ext cx="2427368" cy="242736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8717D" w:rsidRDefault="0098717D" w:rsidP="00EA7ACB">
                              <w:pPr>
                                <w:rPr>
                                  <w:rFonts w:eastAsia="Times New Roman"/>
                                </w:rPr>
                              </w:pPr>
                            </w:p>
                          </w:txbxContent>
                        </wps:txbx>
                        <wps:bodyPr rtlCol="0" anchor="ctr"/>
                      </wps:wsp>
                      <wps:wsp>
                        <wps:cNvPr id="41" name="5 Elipse"/>
                        <wps:cNvSpPr/>
                        <wps:spPr>
                          <a:xfrm>
                            <a:off x="1872208" y="524960"/>
                            <a:ext cx="2427368" cy="2427368"/>
                          </a:xfrm>
                          <a:prstGeom prst="ellipse">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717D" w:rsidRDefault="0098717D" w:rsidP="00EA7ACB">
                              <w:pPr>
                                <w:rPr>
                                  <w:rFonts w:eastAsia="Times New Roman"/>
                                </w:rPr>
                              </w:pPr>
                            </w:p>
                          </w:txbxContent>
                        </wps:txbx>
                        <wps:bodyPr rtlCol="0" anchor="ctr"/>
                      </wps:wsp>
                      <wps:wsp>
                        <wps:cNvPr id="43" name="7 CuadroTexto"/>
                        <wps:cNvSpPr txBox="1"/>
                        <wps:spPr>
                          <a:xfrm>
                            <a:off x="3123815" y="1018637"/>
                            <a:ext cx="1080135" cy="1583055"/>
                          </a:xfrm>
                          <a:prstGeom prst="rect">
                            <a:avLst/>
                          </a:prstGeom>
                          <a:noFill/>
                        </wps:spPr>
                        <wps:txbx>
                          <w:txbxContent>
                            <w:p w:rsidR="0098717D" w:rsidRPr="008E413D" w:rsidRDefault="0098717D" w:rsidP="00EA7ACB">
                              <w:pPr>
                                <w:pStyle w:val="NormalWeb"/>
                                <w:spacing w:after="0"/>
                                <w:jc w:val="center"/>
                                <w:rPr>
                                  <w:sz w:val="20"/>
                                  <w:szCs w:val="20"/>
                                </w:rPr>
                              </w:pPr>
                              <w:r w:rsidRPr="008E413D">
                                <w:rPr>
                                  <w:rFonts w:ascii="Adobe Caslon Pro" w:eastAsia="Calibri" w:hAnsi="Adobe Caslon Pro" w:cstheme="minorBidi"/>
                                  <w:color w:val="000000" w:themeColor="text1"/>
                                  <w:kern w:val="24"/>
                                  <w:sz w:val="20"/>
                                  <w:szCs w:val="20"/>
                                </w:rPr>
                                <w:t>Mujeres que les pegan a sus hijas y/o hijos: 5.1 millones (32.3%)</w:t>
                              </w:r>
                            </w:p>
                          </w:txbxContent>
                        </wps:txbx>
                        <wps:bodyPr wrap="square" rtlCol="0">
                          <a:noAutofit/>
                        </wps:bodyPr>
                      </wps:wsp>
                      <wps:wsp>
                        <wps:cNvPr id="44" name="8 CuadroTexto"/>
                        <wps:cNvSpPr txBox="1"/>
                        <wps:spPr>
                          <a:xfrm>
                            <a:off x="836112" y="1018623"/>
                            <a:ext cx="1080135" cy="1334135"/>
                          </a:xfrm>
                          <a:prstGeom prst="rect">
                            <a:avLst/>
                          </a:prstGeom>
                          <a:noFill/>
                        </wps:spPr>
                        <wps:txbx>
                          <w:txbxContent>
                            <w:p w:rsidR="0098717D" w:rsidRPr="00EA7ACB" w:rsidRDefault="0098717D" w:rsidP="00EA7ACB">
                              <w:pPr>
                                <w:pStyle w:val="NormalWeb"/>
                                <w:spacing w:after="0"/>
                                <w:jc w:val="center"/>
                                <w:rPr>
                                  <w:sz w:val="20"/>
                                </w:rPr>
                              </w:pPr>
                              <w:r w:rsidRPr="00EA7ACB">
                                <w:rPr>
                                  <w:rFonts w:ascii="Adobe Caslon Pro" w:eastAsia="Calibri" w:hAnsi="Adobe Caslon Pro" w:cstheme="minorBidi"/>
                                  <w:color w:val="000000" w:themeColor="text1"/>
                                  <w:kern w:val="24"/>
                                  <w:sz w:val="20"/>
                                </w:rPr>
                                <w:t>Mujeres a quienes les pegaban cuando eran niñas: 7.9 millones (49.9%)</w:t>
                              </w:r>
                            </w:p>
                          </w:txbxContent>
                        </wps:txbx>
                        <wps:bodyPr wrap="square" rtlCol="0">
                          <a:noAutofit/>
                        </wps:bodyPr>
                      </wps:wsp>
                      <wps:wsp>
                        <wps:cNvPr id="45" name="9 CuadroTexto"/>
                        <wps:cNvSpPr txBox="1">
                          <a:spLocks noChangeArrowheads="1"/>
                        </wps:cNvSpPr>
                        <wps:spPr bwMode="auto">
                          <a:xfrm>
                            <a:off x="1950415" y="1018644"/>
                            <a:ext cx="1139729" cy="225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17D" w:rsidRPr="00EA7ACB" w:rsidRDefault="0098717D" w:rsidP="00EA7ACB">
                              <w:pPr>
                                <w:pStyle w:val="NormalWeb"/>
                                <w:spacing w:after="0"/>
                                <w:jc w:val="center"/>
                                <w:rPr>
                                  <w:sz w:val="20"/>
                                  <w:szCs w:val="20"/>
                                </w:rPr>
                              </w:pPr>
                              <w:r w:rsidRPr="00EA7ACB">
                                <w:rPr>
                                  <w:rFonts w:ascii="Adobe Caslon Pro" w:eastAsia="Calibri" w:hAnsi="Adobe Caslon Pro" w:cstheme="minorBidi"/>
                                  <w:color w:val="000000" w:themeColor="text1"/>
                                  <w:kern w:val="24"/>
                                  <w:sz w:val="20"/>
                                  <w:szCs w:val="20"/>
                                </w:rPr>
                                <w:t>Mujeres a quienes les pegaban, son violentadas y le pegan a sus hijas y/o hijos: 2.9 millones (18.4%)</w:t>
                              </w:r>
                            </w:p>
                          </w:txbxContent>
                        </wps:txbx>
                        <wps:bodyPr rot="0" vert="horz" wrap="square" lIns="91440" tIns="45720" rIns="91440" bIns="45720" anchor="t" anchorCtr="0" upright="1">
                          <a:noAutofit/>
                        </wps:bodyPr>
                      </wps:wsp>
                      <wps:wsp>
                        <wps:cNvPr id="46" name="6 CuadroTexto"/>
                        <wps:cNvSpPr txBox="1">
                          <a:spLocks noChangeArrowheads="1"/>
                        </wps:cNvSpPr>
                        <wps:spPr bwMode="auto">
                          <a:xfrm>
                            <a:off x="1299067" y="72367"/>
                            <a:ext cx="2479303" cy="62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17D" w:rsidRPr="00EA7ACB" w:rsidRDefault="0098717D" w:rsidP="00EA7ACB">
                              <w:pPr>
                                <w:pStyle w:val="NormalWeb"/>
                                <w:spacing w:after="0"/>
                                <w:jc w:val="center"/>
                                <w:rPr>
                                  <w:sz w:val="20"/>
                                  <w:szCs w:val="20"/>
                                </w:rPr>
                              </w:pPr>
                              <w:r w:rsidRPr="00EA7ACB">
                                <w:rPr>
                                  <w:rFonts w:ascii="Adobe Caslon Pro" w:eastAsia="Calibri" w:hAnsi="Adobe Caslon Pro" w:cstheme="minorBidi"/>
                                  <w:color w:val="000000" w:themeColor="text1"/>
                                  <w:kern w:val="24"/>
                                  <w:sz w:val="20"/>
                                  <w:szCs w:val="20"/>
                                </w:rPr>
                                <w:t>Mujeres violentadas casadas o alguna vez unidas: 15.9 millones</w:t>
                              </w:r>
                            </w:p>
                          </w:txbxContent>
                        </wps:txbx>
                        <wps:bodyPr rot="0" vert="horz" wrap="square" lIns="91440" tIns="45720" rIns="91440" bIns="45720" anchor="t" anchorCtr="0" upright="1">
                          <a:noAutofit/>
                        </wps:bodyPr>
                      </wps:wsp>
                    </wpg:wgp>
                  </a:graphicData>
                </a:graphic>
              </wp:inline>
            </w:drawing>
          </mc:Choice>
          <mc:Fallback>
            <w:pict>
              <v:group id="12 Grupo" o:spid="_x0000_s1028" style="width:383.05pt;height:258.15pt;mso-position-horizontal-relative:char;mso-position-vertical-relative:line" coordorigin="690" coordsize="48649,3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">
                <v:oval id="6 Elipse" o:spid="_x0000_s1029" style="position:absolute;left:690;width:48649;height:30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to8MA&#10;AADbAAAADwAAAGRycy9kb3ducmV2LnhtbESPUU8CMRCE3038D82S+CY9NEE5KMQYjfBkAH/Acl16&#10;B9ftpV3h8NdbEhMfJzPzTWa26H2rThRTE9jAaFiAIq6CbdgZ+Nq+3z+DSoJssQ1MBi6UYDG/vZlh&#10;acOZ13TaiFMZwqlEA7VIV2qdqpo8pmHoiLO3D9GjZBmdthHPGe5b/VAUY+2x4bxQY0evNVXHzbc3&#10;4IrtQZ4+3tituvHkU3CH8WdnzN2gf5mCEurlP/zXXloDjxO4fsk/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Mto8MAAADbAAAADwAAAAAAAAAAAAAAAACYAgAAZHJzL2Rv&#10;d25yZXYueG1sUEsFBgAAAAAEAAQA9QAAAIgDAAAAAA==&#10;" fillcolor="white [3212]" strokecolor="#243f60 [1604]" strokeweight="1pt">
                  <v:textbox>
                    <w:txbxContent>
                      <w:p w:rsidR="0098717D" w:rsidRPr="00EA7ACB" w:rsidRDefault="0098717D" w:rsidP="00EA7ACB">
                        <w:pPr>
                          <w:rPr>
                            <w:rFonts w:eastAsia="Times New Roman"/>
                            <w:sz w:val="20"/>
                            <w:szCs w:val="20"/>
                          </w:rPr>
                        </w:pPr>
                      </w:p>
                      <w:p w:rsidR="0098717D" w:rsidRDefault="0098717D"/>
                    </w:txbxContent>
                  </v:textbox>
                </v:oval>
                <v:oval id="40 Elipse" o:spid="_x0000_s1030" style="position:absolute;left:7200;top:5249;width:24274;height:2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dZbwA&#10;AADbAAAADwAAAGRycy9kb3ducmV2LnhtbERPSwrCMBDdC94hjOBOU0WtVqOIILgS/OB6bMa22ExK&#10;E7V6erMQXD7ef7FqTCmeVLvCsoJBPwJBnFpdcKbgfNr2piCcR9ZYWiYFb3KwWrZbC0y0ffGBnkef&#10;iRDCLkEFufdVIqVLczLo+rYiDtzN1gZ9gHUmdY2vEG5KOYyiiTRYcGjIsaJNTun9+DAKCu/oQ/HF&#10;ldP7Po5n43h0nl2V6naa9RyEp8b/xT/3TisYhf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x1lvAAAANsAAAAPAAAAAAAAAAAAAAAAAJgCAABkcnMvZG93bnJldi54&#10;bWxQSwUGAAAAAAQABAD1AAAAgQMAAAAA&#10;" filled="f" strokecolor="#243f60 [1604]">
                  <v:textbox>
                    <w:txbxContent>
                      <w:p w:rsidR="0098717D" w:rsidRDefault="0098717D" w:rsidP="00EA7ACB">
                        <w:pPr>
                          <w:rPr>
                            <w:rFonts w:eastAsia="Times New Roman"/>
                          </w:rPr>
                        </w:pPr>
                      </w:p>
                    </w:txbxContent>
                  </v:textbox>
                </v:oval>
                <v:oval id="5 Elipse" o:spid="_x0000_s1031" style="position:absolute;left:18722;top:5249;width:24273;height:2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VyMMA&#10;AADbAAAADwAAAGRycy9kb3ducmV2LnhtbESPT2sCMRTE74LfITyhl6JZW5F23Si2VfGqFc+vyds/&#10;uHlZNqm7fvtGKHgcZuY3TLbqbS2u1PrKsYLpJAFBrJ2puFBw+t6O30D4gGywdkwKbuRhtRwOMkyN&#10;6/hA12MoRISwT1FBGUKTSul1SRb9xDXE0ctdazFE2RbStNhFuK3lS5LMpcWK40KJDX2WpC/HX6tA&#10;X6rN61fz8czd+2Z37nSS/9xOSj2N+vUCRKA+PML/7b1RMJvC/U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JVyMMAAADbAAAADwAAAAAAAAAAAAAAAACYAgAAZHJzL2Rv&#10;d25yZXYueG1sUEsFBgAAAAAEAAQA9QAAAIgDAAAAAA==&#10;" filled="f" strokecolor="#1f497d [3215]">
                  <v:textbox>
                    <w:txbxContent>
                      <w:p w:rsidR="0098717D" w:rsidRDefault="0098717D" w:rsidP="00EA7ACB">
                        <w:pPr>
                          <w:rPr>
                            <w:rFonts w:eastAsia="Times New Roman"/>
                          </w:rPr>
                        </w:pPr>
                      </w:p>
                    </w:txbxContent>
                  </v:textbox>
                </v:oval>
                <v:shape id="7 CuadroTexto" o:spid="_x0000_s1032" type="#_x0000_t202" style="position:absolute;left:31238;top:10186;width:10801;height:1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98717D" w:rsidRPr="008E413D" w:rsidRDefault="0098717D" w:rsidP="00EA7ACB">
                        <w:pPr>
                          <w:pStyle w:val="NormalWeb"/>
                          <w:spacing w:after="0"/>
                          <w:jc w:val="center"/>
                          <w:rPr>
                            <w:sz w:val="20"/>
                            <w:szCs w:val="20"/>
                          </w:rPr>
                        </w:pPr>
                        <w:r w:rsidRPr="008E413D">
                          <w:rPr>
                            <w:rFonts w:ascii="Adobe Caslon Pro" w:eastAsia="Calibri" w:hAnsi="Adobe Caslon Pro" w:cstheme="minorBidi"/>
                            <w:color w:val="000000" w:themeColor="text1"/>
                            <w:kern w:val="24"/>
                            <w:sz w:val="20"/>
                            <w:szCs w:val="20"/>
                          </w:rPr>
                          <w:t>Mujeres que les pegan a sus hijas y/o hijos: 5.1 millones (32.3%)</w:t>
                        </w:r>
                      </w:p>
                    </w:txbxContent>
                  </v:textbox>
                </v:shape>
                <v:shape id="8 CuadroTexto" o:spid="_x0000_s1033" type="#_x0000_t202" style="position:absolute;left:8361;top:10186;width:10801;height:1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98717D" w:rsidRPr="00EA7ACB" w:rsidRDefault="0098717D" w:rsidP="00EA7ACB">
                        <w:pPr>
                          <w:pStyle w:val="NormalWeb"/>
                          <w:spacing w:after="0"/>
                          <w:jc w:val="center"/>
                          <w:rPr>
                            <w:sz w:val="20"/>
                          </w:rPr>
                        </w:pPr>
                        <w:r w:rsidRPr="00EA7ACB">
                          <w:rPr>
                            <w:rFonts w:ascii="Adobe Caslon Pro" w:eastAsia="Calibri" w:hAnsi="Adobe Caslon Pro" w:cstheme="minorBidi"/>
                            <w:color w:val="000000" w:themeColor="text1"/>
                            <w:kern w:val="24"/>
                            <w:sz w:val="20"/>
                          </w:rPr>
                          <w:t>Mujeres a quienes les pegaban cuando eran niñas: 7.9 millones (49.9%)</w:t>
                        </w:r>
                      </w:p>
                    </w:txbxContent>
                  </v:textbox>
                </v:shape>
                <v:shape id="9 CuadroTexto" o:spid="_x0000_s1034" type="#_x0000_t202" style="position:absolute;left:19504;top:10186;width:11397;height:2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98717D" w:rsidRPr="00EA7ACB" w:rsidRDefault="0098717D" w:rsidP="00EA7ACB">
                        <w:pPr>
                          <w:pStyle w:val="NormalWeb"/>
                          <w:spacing w:after="0"/>
                          <w:jc w:val="center"/>
                          <w:rPr>
                            <w:sz w:val="20"/>
                            <w:szCs w:val="20"/>
                          </w:rPr>
                        </w:pPr>
                        <w:r w:rsidRPr="00EA7ACB">
                          <w:rPr>
                            <w:rFonts w:ascii="Adobe Caslon Pro" w:eastAsia="Calibri" w:hAnsi="Adobe Caslon Pro" w:cstheme="minorBidi"/>
                            <w:color w:val="000000" w:themeColor="text1"/>
                            <w:kern w:val="24"/>
                            <w:sz w:val="20"/>
                            <w:szCs w:val="20"/>
                          </w:rPr>
                          <w:t>Mujeres a quienes les pegaban, son violentadas y le pegan a sus hijas y/o hijos: 2.9 millones (18.4%)</w:t>
                        </w:r>
                      </w:p>
                    </w:txbxContent>
                  </v:textbox>
                </v:shape>
                <v:shape id="6 CuadroTexto" o:spid="_x0000_s1035" type="#_x0000_t202" style="position:absolute;left:12990;top:723;width:24793;height:6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98717D" w:rsidRPr="00EA7ACB" w:rsidRDefault="0098717D" w:rsidP="00EA7ACB">
                        <w:pPr>
                          <w:pStyle w:val="NormalWeb"/>
                          <w:spacing w:after="0"/>
                          <w:jc w:val="center"/>
                          <w:rPr>
                            <w:sz w:val="20"/>
                            <w:szCs w:val="20"/>
                          </w:rPr>
                        </w:pPr>
                        <w:r w:rsidRPr="00EA7ACB">
                          <w:rPr>
                            <w:rFonts w:ascii="Adobe Caslon Pro" w:eastAsia="Calibri" w:hAnsi="Adobe Caslon Pro" w:cstheme="minorBidi"/>
                            <w:color w:val="000000" w:themeColor="text1"/>
                            <w:kern w:val="24"/>
                            <w:sz w:val="20"/>
                            <w:szCs w:val="20"/>
                          </w:rPr>
                          <w:t>Mujeres violentadas casadas o alguna vez unidas: 15.9 millones</w:t>
                        </w:r>
                      </w:p>
                    </w:txbxContent>
                  </v:textbox>
                </v:shape>
                <w10:anchorlock/>
              </v:group>
            </w:pict>
          </mc:Fallback>
        </mc:AlternateContent>
      </w:r>
    </w:p>
    <w:p w:rsidR="00A26311" w:rsidRPr="009E30D1" w:rsidRDefault="008E413D" w:rsidP="00B85C0B">
      <w:pPr>
        <w:spacing w:after="120" w:line="240" w:lineRule="auto"/>
        <w:contextualSpacing/>
        <w:jc w:val="center"/>
        <w:rPr>
          <w:rFonts w:ascii="Adobe Caslon Pro" w:hAnsi="Adobe Caslon Pro"/>
          <w:bCs/>
          <w:i/>
          <w:sz w:val="18"/>
          <w:szCs w:val="18"/>
          <w:lang w:val="es-ES_tradnl"/>
        </w:rPr>
      </w:pPr>
      <w:r w:rsidRPr="009E30D1">
        <w:rPr>
          <w:rFonts w:ascii="Adobe Caslon Pro" w:hAnsi="Adobe Caslon Pro"/>
          <w:bCs/>
          <w:i/>
          <w:sz w:val="18"/>
          <w:szCs w:val="18"/>
          <w:lang w:val="es-ES_tradnl"/>
        </w:rPr>
        <w:t>F</w:t>
      </w:r>
      <w:r w:rsidR="00A26311" w:rsidRPr="009E30D1">
        <w:rPr>
          <w:rFonts w:ascii="Adobe Caslon Pro" w:hAnsi="Adobe Caslon Pro"/>
          <w:bCs/>
          <w:i/>
          <w:sz w:val="18"/>
          <w:szCs w:val="18"/>
          <w:lang w:val="es-ES_tradnl"/>
        </w:rPr>
        <w:t>uente: Elaboración propia con datos de la ENDIREH 2011, INEGI.</w:t>
      </w:r>
    </w:p>
    <w:p w:rsidR="0064400F" w:rsidRPr="009E30D1" w:rsidRDefault="0064400F" w:rsidP="00B85C0B">
      <w:pPr>
        <w:spacing w:after="120" w:line="240" w:lineRule="auto"/>
        <w:contextualSpacing/>
        <w:jc w:val="center"/>
        <w:rPr>
          <w:rFonts w:ascii="Adobe Caslon Pro" w:hAnsi="Adobe Caslon Pro"/>
          <w:bCs/>
          <w:i/>
          <w:sz w:val="18"/>
          <w:szCs w:val="18"/>
          <w:lang w:val="es-ES_tradnl"/>
        </w:rPr>
      </w:pPr>
    </w:p>
    <w:p w:rsidR="00B85C0B" w:rsidRPr="009E30D1" w:rsidRDefault="00A26311"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Por otro lado, la </w:t>
      </w:r>
      <w:r w:rsidRPr="009E30D1">
        <w:rPr>
          <w:rFonts w:ascii="Adobe Caslon Pro" w:hAnsi="Adobe Caslon Pro"/>
          <w:b/>
          <w:lang w:val="es-ES_tradnl"/>
        </w:rPr>
        <w:t xml:space="preserve">mayor violación de los derechos humanos de las mujeres y la descomposición del tejido social </w:t>
      </w:r>
      <w:r w:rsidRPr="009E30D1">
        <w:rPr>
          <w:rFonts w:ascii="Adobe Caslon Pro" w:hAnsi="Adobe Caslon Pro"/>
          <w:lang w:val="es-ES_tradnl"/>
        </w:rPr>
        <w:t xml:space="preserve">contribuyen al </w:t>
      </w:r>
      <w:r w:rsidRPr="009E30D1">
        <w:rPr>
          <w:rFonts w:ascii="Adobe Caslon Pro" w:hAnsi="Adobe Caslon Pro"/>
          <w:b/>
          <w:lang w:val="es-ES_tradnl"/>
        </w:rPr>
        <w:t>aumento de los niveles de violencia,</w:t>
      </w:r>
      <w:r w:rsidR="00D12115" w:rsidRPr="009E30D1">
        <w:rPr>
          <w:rFonts w:ascii="Adobe Caslon Pro" w:hAnsi="Adobe Caslon Pro"/>
          <w:b/>
          <w:lang w:val="es-ES_tradnl"/>
        </w:rPr>
        <w:t xml:space="preserve"> </w:t>
      </w:r>
      <w:r w:rsidR="00D12115" w:rsidRPr="009E30D1">
        <w:rPr>
          <w:rFonts w:ascii="Adobe Caslon Pro" w:hAnsi="Adobe Caslon Pro"/>
          <w:lang w:val="es-ES_tradnl"/>
        </w:rPr>
        <w:t xml:space="preserve">es así </w:t>
      </w:r>
      <w:r w:rsidRPr="009E30D1">
        <w:rPr>
          <w:rFonts w:ascii="Adobe Caslon Pro" w:hAnsi="Adobe Caslon Pro"/>
          <w:lang w:val="es-ES_tradnl"/>
        </w:rPr>
        <w:t>que las agresiones contra las mujeres han pasado de los golpes disfrazados de accidentes</w:t>
      </w:r>
      <w:r w:rsidR="002C29A2" w:rsidRPr="009E30D1">
        <w:rPr>
          <w:rFonts w:ascii="Adobe Caslon Pro" w:hAnsi="Adobe Caslon Pro"/>
          <w:lang w:val="es-ES_tradnl"/>
        </w:rPr>
        <w:t>,</w:t>
      </w:r>
      <w:r w:rsidRPr="009E30D1">
        <w:rPr>
          <w:rFonts w:ascii="Adobe Caslon Pro" w:hAnsi="Adobe Caslon Pro"/>
          <w:lang w:val="es-ES_tradnl"/>
        </w:rPr>
        <w:t xml:space="preserve"> insultos y las amenazas más sutiles, al uso de las armas para ejercer el control sobre la pareja, ya sean novias o esposas. Muchas veces quedan en amenazas de muerte, otros culminan en homicidio</w:t>
      </w:r>
      <w:r w:rsidR="00A21C8C" w:rsidRPr="009E30D1">
        <w:rPr>
          <w:rFonts w:ascii="Adobe Caslon Pro" w:hAnsi="Adobe Caslon Pro"/>
          <w:lang w:val="es-ES_tradnl"/>
        </w:rPr>
        <w:t xml:space="preserve"> (IIDH, 2008)</w:t>
      </w:r>
      <w:r w:rsidRPr="009E30D1">
        <w:rPr>
          <w:rFonts w:ascii="Adobe Caslon Pro" w:hAnsi="Adobe Caslon Pro"/>
          <w:lang w:val="es-ES_tradnl"/>
        </w:rPr>
        <w:t>. La</w:t>
      </w:r>
      <w:r w:rsidR="00B52185" w:rsidRPr="009E30D1">
        <w:rPr>
          <w:rFonts w:ascii="Adobe Caslon Pro" w:hAnsi="Adobe Caslon Pro"/>
          <w:lang w:val="es-ES_tradnl"/>
        </w:rPr>
        <w:t xml:space="preserve"> CONAVIM</w:t>
      </w:r>
      <w:r w:rsidRPr="009E30D1">
        <w:rPr>
          <w:rFonts w:ascii="Adobe Caslon Pro" w:hAnsi="Adobe Caslon Pro"/>
          <w:lang w:val="es-ES_tradnl"/>
        </w:rPr>
        <w:t xml:space="preserve">, de la </w:t>
      </w:r>
      <w:r w:rsidR="00B52185" w:rsidRPr="009E30D1">
        <w:rPr>
          <w:rFonts w:ascii="Adobe Caslon Pro" w:hAnsi="Adobe Caslon Pro"/>
          <w:lang w:val="es-ES_tradnl"/>
        </w:rPr>
        <w:t>SEGOB</w:t>
      </w:r>
      <w:r w:rsidRPr="009E30D1">
        <w:rPr>
          <w:rFonts w:ascii="Adobe Caslon Pro" w:hAnsi="Adobe Caslon Pro"/>
          <w:lang w:val="es-ES_tradnl"/>
        </w:rPr>
        <w:t xml:space="preserve"> en el año 2012 detectó un aumento en el homicidio de mujeres con armas de fuego y punzocortantes, así como estrangulación y ahogamiento. Dichos argumentos se basan en estadísticas que indican que la tasa de mortandad de mujeres por ataques con armas de fuego creció de 7.8 en 2001 a 23.8 en 2010; las ocasionadas por golpes y violación aumentaron de 8.2 en 2001 a 18.7 en 2010 y las originadas por ahorcamiento, estrangulación y ahogamiento o ataques con instrumentos punzante tuvieron la misma tendencia al pasar de 8 a 12.5 en </w:t>
      </w:r>
      <w:r w:rsidR="00B52185" w:rsidRPr="009E30D1">
        <w:rPr>
          <w:rFonts w:ascii="Adobe Caslon Pro" w:hAnsi="Adobe Caslon Pro"/>
          <w:lang w:val="es-ES_tradnl"/>
        </w:rPr>
        <w:t xml:space="preserve">el </w:t>
      </w:r>
      <w:r w:rsidRPr="009E30D1">
        <w:rPr>
          <w:rFonts w:ascii="Adobe Caslon Pro" w:hAnsi="Adobe Caslon Pro"/>
          <w:lang w:val="es-ES_tradnl"/>
        </w:rPr>
        <w:t xml:space="preserve">mismo periodo de tiempo. Los estados con mayor incidencia de violencia extrema contra las mujeres son </w:t>
      </w:r>
      <w:r w:rsidR="00B52185" w:rsidRPr="009E30D1">
        <w:rPr>
          <w:rFonts w:ascii="Adobe Caslon Pro" w:hAnsi="Adobe Caslon Pro"/>
          <w:lang w:val="es-ES_tradnl"/>
        </w:rPr>
        <w:t xml:space="preserve">el </w:t>
      </w:r>
      <w:r w:rsidRPr="009E30D1">
        <w:rPr>
          <w:rFonts w:ascii="Adobe Caslon Pro" w:hAnsi="Adobe Caslon Pro"/>
          <w:lang w:val="es-ES_tradnl"/>
        </w:rPr>
        <w:t>Estado de México, Guerrero, Chihuahua, Oaxaca, Chiapas, Sinaloa, Durango, Sonora, Morelos, Guanajuato y el Distrito Federal.</w:t>
      </w:r>
    </w:p>
    <w:p w:rsidR="00A36924" w:rsidRPr="009E30D1" w:rsidRDefault="00A36924" w:rsidP="00B85C0B">
      <w:pPr>
        <w:spacing w:after="120" w:line="240" w:lineRule="auto"/>
        <w:jc w:val="both"/>
        <w:rPr>
          <w:rFonts w:ascii="Adobe Caslon Pro" w:hAnsi="Adobe Caslon Pro"/>
          <w:b/>
          <w:bCs/>
          <w:i/>
          <w:iCs/>
          <w:lang w:val="es-ES_tradnl"/>
        </w:rPr>
      </w:pPr>
      <w:r w:rsidRPr="009E30D1">
        <w:rPr>
          <w:rFonts w:ascii="Adobe Caslon Pro" w:hAnsi="Adobe Caslon Pro"/>
          <w:b/>
          <w:lang w:val="es-ES_tradnl"/>
        </w:rPr>
        <w:lastRenderedPageBreak/>
        <w:t>Sociedad desigual en el ejercicio de sus derechos sociales</w:t>
      </w:r>
    </w:p>
    <w:p w:rsidR="00975006" w:rsidRPr="009E30D1" w:rsidRDefault="002C29A2"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El conjunto de las causas antes descritas </w:t>
      </w:r>
      <w:r w:rsidR="00A36924" w:rsidRPr="009E30D1">
        <w:rPr>
          <w:rFonts w:ascii="Adobe Caslon Pro" w:hAnsi="Adobe Caslon Pro"/>
          <w:lang w:val="es-ES_tradnl"/>
        </w:rPr>
        <w:t xml:space="preserve">tienen como efecto directo que las mujeres no tengan garantizado el acceso a una vida libre de violencia, con ello se fomenta una </w:t>
      </w:r>
      <w:r w:rsidR="00A36924" w:rsidRPr="009E30D1">
        <w:rPr>
          <w:rFonts w:ascii="Adobe Caslon Pro" w:hAnsi="Adobe Caslon Pro"/>
          <w:b/>
          <w:lang w:val="es-ES_tradnl"/>
        </w:rPr>
        <w:t>sociedad desigual en el ejercicio de sus derechos sociales</w:t>
      </w:r>
      <w:r w:rsidR="00A36924" w:rsidRPr="009E30D1">
        <w:rPr>
          <w:rFonts w:ascii="Adobe Caslon Pro" w:hAnsi="Adobe Caslon Pro"/>
          <w:lang w:val="es-ES_tradnl"/>
        </w:rPr>
        <w:t xml:space="preserve">. </w:t>
      </w:r>
      <w:r w:rsidR="00096746" w:rsidRPr="009E30D1">
        <w:rPr>
          <w:rFonts w:ascii="Adobe Caslon Pro" w:hAnsi="Adobe Caslon Pro"/>
          <w:lang w:val="es-ES_tradnl"/>
        </w:rPr>
        <w:t xml:space="preserve">Es así que en la actualidad se cuenta con diversos datos que evidencian los rezagos en el </w:t>
      </w:r>
      <w:r w:rsidR="00975006" w:rsidRPr="009E30D1">
        <w:rPr>
          <w:rFonts w:ascii="Adobe Caslon Pro" w:hAnsi="Adobe Caslon Pro"/>
          <w:lang w:val="es-ES_tradnl"/>
        </w:rPr>
        <w:t>ejercicio paritario de derechos.</w:t>
      </w:r>
    </w:p>
    <w:p w:rsidR="00975006" w:rsidRPr="009E30D1" w:rsidRDefault="00975006" w:rsidP="00B85C0B">
      <w:pPr>
        <w:spacing w:after="120" w:line="240" w:lineRule="auto"/>
        <w:jc w:val="both"/>
        <w:rPr>
          <w:rFonts w:ascii="Adobe Caslon Pro" w:hAnsi="Adobe Caslon Pro"/>
          <w:lang w:val="es-ES_tradnl"/>
        </w:rPr>
      </w:pPr>
    </w:p>
    <w:p w:rsidR="00F52701" w:rsidRPr="009E30D1" w:rsidRDefault="00096746"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 </w:t>
      </w:r>
    </w:p>
    <w:p w:rsidR="00A36924" w:rsidRPr="009E30D1" w:rsidRDefault="00A36924" w:rsidP="00B85C0B">
      <w:pPr>
        <w:spacing w:after="120" w:line="240" w:lineRule="auto"/>
        <w:jc w:val="both"/>
        <w:rPr>
          <w:rFonts w:ascii="Adobe Caslon Pro" w:hAnsi="Adobe Caslon Pro"/>
          <w:b/>
          <w:i/>
          <w:lang w:val="es-ES_tradnl"/>
        </w:rPr>
      </w:pPr>
      <w:r w:rsidRPr="009E30D1">
        <w:rPr>
          <w:rFonts w:ascii="Adobe Caslon Pro" w:hAnsi="Adobe Caslon Pro"/>
          <w:b/>
          <w:i/>
          <w:iCs/>
          <w:lang w:val="es-ES_tradnl"/>
        </w:rPr>
        <w:t>Educación</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De acuerdo a la información de MCS-ENIGH, en 2012, el 20% de la población femenina de México se encontraba en rezago educativo, comparado con el 18.4% de la población masculina. Este rezago educativo genera que el promedio de escolaridad de la población mayor de 15 años sea de 8.5 años en mujeres y 8.8 años en hombres, lo que muestra que además de que no se logra la educación básica obligatoria (primaria y secundaria), existe una brecha entre ambos grupos. De la misma forma, 87.3% de las mujeres y 83.6% de los hombres mayores de 14 años que hablan lengua indígena no tienen terminada la secundaria. Asimismo, la distribución dentro del </w:t>
      </w:r>
      <w:r w:rsidR="00B52185" w:rsidRPr="009E30D1">
        <w:rPr>
          <w:rFonts w:ascii="Adobe Caslon Pro" w:hAnsi="Adobe Caslon Pro"/>
          <w:lang w:val="es-ES_tradnl"/>
        </w:rPr>
        <w:t>SNI</w:t>
      </w:r>
      <w:r w:rsidRPr="009E30D1">
        <w:rPr>
          <w:rFonts w:ascii="Adobe Caslon Pro" w:hAnsi="Adobe Caslon Pro"/>
          <w:lang w:val="es-ES_tradnl"/>
        </w:rPr>
        <w:t xml:space="preserve"> señala que apenas 34.1% de sus afiliadas son mujeres y 65.9% son hombres. </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t>En relación con la violencia escolar, el informe SEP-UNICEF señala que alrededor de 90% del alumnado de primaria y de secundaria declaró haber sufrido humillaciones o insultos en la escuela. Del personal docente, 43.2% ha detectado casos de violencia en su escuela, lo que implica que en las escuelas existe una práctica generalizada de la violencia que debe ser erradicada; asimismo, 43% de las mujeres víctimas de violencia escolar indican que los agresores son maestros y autoridades.</w:t>
      </w:r>
    </w:p>
    <w:p w:rsidR="00A36924" w:rsidRPr="009E30D1" w:rsidRDefault="00A36924" w:rsidP="00B85C0B">
      <w:pPr>
        <w:spacing w:after="120" w:line="240" w:lineRule="auto"/>
        <w:jc w:val="both"/>
        <w:rPr>
          <w:rFonts w:ascii="Adobe Caslon Pro" w:hAnsi="Adobe Caslon Pro"/>
          <w:b/>
          <w:i/>
          <w:iCs/>
          <w:lang w:val="es-ES_tradnl"/>
        </w:rPr>
      </w:pPr>
      <w:r w:rsidRPr="009E30D1">
        <w:rPr>
          <w:rFonts w:ascii="Adobe Caslon Pro" w:hAnsi="Adobe Caslon Pro"/>
          <w:lang w:val="es-ES_tradnl"/>
        </w:rPr>
        <w:t xml:space="preserve">Si se toma en cuenta que la población de entre 15 y 24 años debe estar estudiando o incorporada al trabajo remunerado, se tiene que hay 4.4 millones de jóvenes que ni estudian ni trabajan: 76.7% son mujeres cuya mayoría (casi tres millones) se dedican al trabajo doméstico y </w:t>
      </w:r>
      <w:r w:rsidR="00096746" w:rsidRPr="009E30D1">
        <w:rPr>
          <w:rFonts w:ascii="Adobe Caslon Pro" w:hAnsi="Adobe Caslon Pro"/>
          <w:lang w:val="es-ES_tradnl"/>
        </w:rPr>
        <w:t xml:space="preserve">a actividades </w:t>
      </w:r>
      <w:r w:rsidRPr="009E30D1">
        <w:rPr>
          <w:rFonts w:ascii="Adobe Caslon Pro" w:hAnsi="Adobe Caslon Pro"/>
          <w:lang w:val="es-ES_tradnl"/>
        </w:rPr>
        <w:t>de cuidado.</w:t>
      </w:r>
    </w:p>
    <w:p w:rsidR="00A36924" w:rsidRPr="009E30D1" w:rsidRDefault="00A36924" w:rsidP="00B85C0B">
      <w:pPr>
        <w:spacing w:after="120" w:line="240" w:lineRule="auto"/>
        <w:jc w:val="both"/>
        <w:rPr>
          <w:rFonts w:ascii="Adobe Caslon Pro" w:hAnsi="Adobe Caslon Pro"/>
          <w:b/>
          <w:i/>
          <w:iCs/>
          <w:lang w:val="es-ES_tradnl"/>
        </w:rPr>
      </w:pPr>
      <w:r w:rsidRPr="009E30D1">
        <w:rPr>
          <w:rFonts w:ascii="Adobe Caslon Pro" w:hAnsi="Adobe Caslon Pro"/>
          <w:b/>
          <w:i/>
          <w:iCs/>
          <w:lang w:val="es-ES_tradnl"/>
        </w:rPr>
        <w:t>Salud</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t>El acceso de las mujeres a los servicios de salud proviene mayoritariamente de "vías no asociadas al trabajo o a una contratación propia del servicio", 161 mujeres por cada 100 hombres tienen acceso indirecto, mientras que sólo 58 mujeres por cada 100 hombres tienen acceso directo. La magnitud de esta brecha es similar entre población pobre y no pobre. Asimismo, el 42.3% de las mujeres hablantes de lengua indígena en edad fértil no tiene acceso a servicios de salud. Lo anterior refleja la exclusión del sistema de salud que enfrentan diversos grupos de mujeres.</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lastRenderedPageBreak/>
        <w:t xml:space="preserve">A su vez, la fecundidad adolescente va en aumento, debido en gran parte al bajo nivel de acciones preventivas, educativas y de acceso a los servicios de salud, especialmente de salud sexual y reproductiva; anualmente se registran alrededor de 475 mil nacimientos de madres adolescentes, con notables diferencias por nivel de instrucción, tamaño de localidad y origen étnico. La mayoría de los embarazos de adolescentes no son deseados y ocurren por desconocimiento sobre relaciones sexuales seguras, </w:t>
      </w:r>
      <w:r w:rsidR="00096746" w:rsidRPr="009E30D1">
        <w:rPr>
          <w:rFonts w:ascii="Adobe Caslon Pro" w:hAnsi="Adobe Caslon Pro"/>
          <w:lang w:val="es-ES_tradnl"/>
        </w:rPr>
        <w:t>est</w:t>
      </w:r>
      <w:r w:rsidRPr="009E30D1">
        <w:rPr>
          <w:rFonts w:ascii="Adobe Caslon Pro" w:hAnsi="Adobe Caslon Pro"/>
          <w:lang w:val="es-ES_tradnl"/>
        </w:rPr>
        <w:t>a ide</w:t>
      </w:r>
      <w:r w:rsidR="00B52185" w:rsidRPr="009E30D1">
        <w:rPr>
          <w:rFonts w:ascii="Adobe Caslon Pro" w:hAnsi="Adobe Caslon Pro"/>
          <w:lang w:val="es-ES_tradnl"/>
        </w:rPr>
        <w:t>a se reafirma debido a que 66.6</w:t>
      </w:r>
      <w:r w:rsidRPr="009E30D1">
        <w:rPr>
          <w:rFonts w:ascii="Adobe Caslon Pro" w:hAnsi="Adobe Caslon Pro"/>
          <w:lang w:val="es-ES_tradnl"/>
        </w:rPr>
        <w:t>% de las adolescentes no utilizaron algún método anticonceptivo en su primera relación sexual. En este sentido, la Encuesta Nacional de Valores en Juventud 2012 muestra que el 66% de los jóvenes sexualmente activos utilizan algún método anticonceptivo y 32.4% no lo hacen. A medida que se incrementa el nivel de escolaridad también asciende el uso de estos métodos y entre los motivos para no hacer uso de estos métodos el 46.1% y el 32.8% de las mujeres mencionan que no les gusta usarlos.</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t>Por su parte, la prevención y atención de las adicciones requiere particular atención. Específicamente, el consumo de drogas y alcohol se han incrementado en 20 y 40%, respectivamente, entre 2002 y 2011</w:t>
      </w:r>
      <w:r w:rsidR="00106B96" w:rsidRPr="009E30D1">
        <w:rPr>
          <w:rFonts w:ascii="Adobe Caslon Pro" w:hAnsi="Adobe Caslon Pro"/>
          <w:lang w:val="es-ES_tradnl"/>
        </w:rPr>
        <w:t xml:space="preserve"> (ENA, 2011)</w:t>
      </w:r>
      <w:r w:rsidRPr="009E30D1">
        <w:rPr>
          <w:rFonts w:ascii="Adobe Caslon Pro" w:hAnsi="Adobe Caslon Pro"/>
          <w:lang w:val="es-ES_tradnl"/>
        </w:rPr>
        <w:t>. Además, los problemas de depresión y salud mental afectan de manera diferencial a hombres y mujeres: las mujeres sufren más depresiones que los varones (14.4%, vs 8.9%).</w:t>
      </w:r>
    </w:p>
    <w:p w:rsidR="00A36924" w:rsidRPr="009E30D1" w:rsidRDefault="00A36924" w:rsidP="00B85C0B">
      <w:pPr>
        <w:spacing w:after="120" w:line="240" w:lineRule="auto"/>
        <w:jc w:val="both"/>
        <w:rPr>
          <w:rFonts w:ascii="Adobe Caslon Pro" w:hAnsi="Adobe Caslon Pro"/>
          <w:b/>
          <w:i/>
          <w:iCs/>
          <w:lang w:val="es-ES_tradnl"/>
        </w:rPr>
      </w:pPr>
      <w:r w:rsidRPr="009E30D1">
        <w:rPr>
          <w:rFonts w:ascii="Adobe Caslon Pro" w:hAnsi="Adobe Caslon Pro"/>
          <w:b/>
          <w:i/>
          <w:iCs/>
          <w:lang w:val="es-ES_tradnl"/>
        </w:rPr>
        <w:t>Vivienda</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t>En cuestión de carencias relacionadas con la vivienda, la ENUT 2009 muestra que en las viviendas sin acceso directo al agua entubada, las horas que dedican las mujeres a los quehaceres domésticos se incrementan en 15% y cuando es necesario acarrear el agua, e</w:t>
      </w:r>
      <w:r w:rsidR="00B52185" w:rsidRPr="009E30D1">
        <w:rPr>
          <w:rFonts w:ascii="Adobe Caslon Pro" w:hAnsi="Adobe Caslon Pro"/>
          <w:lang w:val="es-ES_tradnl"/>
        </w:rPr>
        <w:t>ste incremento llega al</w:t>
      </w:r>
      <w:r w:rsidRPr="009E30D1">
        <w:rPr>
          <w:rFonts w:ascii="Adobe Caslon Pro" w:hAnsi="Adobe Caslon Pro"/>
          <w:lang w:val="es-ES_tradnl"/>
        </w:rPr>
        <w:t xml:space="preserve"> 40%. La calidad de las viviendas también afecta el tiempo de las mujeres: cuando una de éstas tiene piso de tierra, los incrementos son de alrededor de 17%.</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t>En este mismo sentido, los grupos identificados como menos favorecidos por las políticas de vivienda son las mujeres jefas de hogar, las mujeres indígenas, las mujeres jóvenes y las mujeres adultas mayores. Esto se debe a las desigualdades de género que inciden en el acceso al mercado formal de trabajo y que en consecuencia tienen acceso a los créditos para vivienda: cerca del 35% de los créditos que el INFONAVIT otorga son para mujeres</w:t>
      </w:r>
    </w:p>
    <w:p w:rsidR="00A36924" w:rsidRPr="009E30D1" w:rsidRDefault="00A36924" w:rsidP="00B85C0B">
      <w:pPr>
        <w:spacing w:after="120" w:line="240" w:lineRule="auto"/>
        <w:jc w:val="both"/>
        <w:rPr>
          <w:rFonts w:ascii="Adobe Caslon Pro" w:hAnsi="Adobe Caslon Pro"/>
          <w:b/>
          <w:i/>
          <w:iCs/>
          <w:lang w:val="es-ES_tradnl"/>
        </w:rPr>
      </w:pPr>
      <w:r w:rsidRPr="009E30D1">
        <w:rPr>
          <w:rFonts w:ascii="Adobe Caslon Pro" w:hAnsi="Adobe Caslon Pro"/>
          <w:b/>
          <w:i/>
          <w:iCs/>
          <w:lang w:val="es-ES_tradnl"/>
        </w:rPr>
        <w:t>Participación política</w:t>
      </w:r>
    </w:p>
    <w:p w:rsidR="00A36924" w:rsidRPr="009E30D1" w:rsidRDefault="00A36924" w:rsidP="00B85C0B">
      <w:pPr>
        <w:spacing w:after="120" w:line="240" w:lineRule="auto"/>
        <w:jc w:val="both"/>
        <w:rPr>
          <w:rFonts w:ascii="Adobe Caslon Pro" w:hAnsi="Adobe Caslon Pro"/>
          <w:lang w:val="es-ES_tradnl"/>
        </w:rPr>
      </w:pPr>
      <w:r w:rsidRPr="009E30D1">
        <w:rPr>
          <w:rFonts w:ascii="Adobe Caslon Pro" w:hAnsi="Adobe Caslon Pro"/>
          <w:lang w:val="es-ES_tradnl"/>
        </w:rPr>
        <w:t xml:space="preserve">Las mujeres representan poco más de la mitad de la población, sin embargo, su participación en la administración pública se mantiene muy por debajo de la participación de los hombres, alcanzando apenas 20% en los puestos más altos del Gobierno Federal, cerca de 23% en Senadurías, en los niveles de regidurías y diputaciones la participación de las mujeres se elevan entre el 30 y 40%, esto </w:t>
      </w:r>
      <w:r w:rsidRPr="009E30D1">
        <w:rPr>
          <w:rFonts w:ascii="Adobe Caslon Pro" w:hAnsi="Adobe Caslon Pro"/>
          <w:lang w:val="es-ES_tradnl"/>
        </w:rPr>
        <w:lastRenderedPageBreak/>
        <w:t>gracias a las cuotas de género que establece el artículo 219</w:t>
      </w:r>
      <w:proofErr w:type="gramStart"/>
      <w:r w:rsidR="00417EF3" w:rsidRPr="009E30D1">
        <w:rPr>
          <w:rFonts w:ascii="Adobe Caslon Pro" w:hAnsi="Adobe Caslon Pro"/>
          <w:lang w:val="es-ES_tradnl"/>
        </w:rPr>
        <w:t>.°</w:t>
      </w:r>
      <w:proofErr w:type="gramEnd"/>
      <w:r w:rsidRPr="009E30D1">
        <w:rPr>
          <w:rFonts w:ascii="Adobe Caslon Pro" w:hAnsi="Adobe Caslon Pro"/>
          <w:lang w:val="es-ES_tradnl"/>
        </w:rPr>
        <w:t xml:space="preserve"> COFIPE. La distribución de la participación de las mujeres en la administración pública comparada con la de los hombres se muestra en la siguiente gráfica: </w:t>
      </w:r>
    </w:p>
    <w:p w:rsidR="00E04944" w:rsidRPr="009E30D1" w:rsidRDefault="0028589A" w:rsidP="00B85C0B">
      <w:pPr>
        <w:spacing w:after="120" w:line="240" w:lineRule="auto"/>
        <w:jc w:val="center"/>
        <w:rPr>
          <w:rFonts w:ascii="Adobe Caslon Pro" w:hAnsi="Adobe Caslon Pro"/>
          <w:b/>
          <w:lang w:val="es-ES_tradnl"/>
        </w:rPr>
      </w:pPr>
      <w:r w:rsidRPr="009E30D1">
        <w:rPr>
          <w:rFonts w:ascii="Adobe Caslon Pro" w:hAnsi="Adobe Caslon Pro"/>
          <w:b/>
          <w:lang w:val="es-ES_tradnl"/>
        </w:rPr>
        <w:t>Gráfica 4.</w:t>
      </w:r>
      <w:r w:rsidR="00A36924" w:rsidRPr="009E30D1">
        <w:rPr>
          <w:rFonts w:ascii="Adobe Caslon Pro" w:hAnsi="Adobe Caslon Pro"/>
          <w:b/>
          <w:lang w:val="es-ES_tradnl"/>
        </w:rPr>
        <w:t xml:space="preserve"> Distribución de la participación en la administración pública</w:t>
      </w:r>
    </w:p>
    <w:p w:rsidR="00A36924" w:rsidRPr="009E30D1" w:rsidRDefault="00E04944" w:rsidP="00B85C0B">
      <w:pPr>
        <w:spacing w:after="120" w:line="240" w:lineRule="auto"/>
        <w:jc w:val="center"/>
        <w:rPr>
          <w:rFonts w:ascii="Adobe Caslon Pro" w:hAnsi="Adobe Caslon Pro"/>
          <w:b/>
        </w:rPr>
      </w:pPr>
      <w:r w:rsidRPr="009E30D1">
        <w:rPr>
          <w:rFonts w:ascii="Adobe Caslon Pro" w:hAnsi="Adobe Caslon Pro"/>
          <w:b/>
          <w:lang w:val="es-ES_tradnl"/>
        </w:rPr>
        <w:t>(</w:t>
      </w:r>
      <w:proofErr w:type="gramStart"/>
      <w:r w:rsidR="00A36924" w:rsidRPr="009E30D1">
        <w:rPr>
          <w:rFonts w:ascii="Adobe Caslon Pro" w:hAnsi="Adobe Caslon Pro"/>
          <w:b/>
          <w:lang w:val="es-ES_tradnl"/>
        </w:rPr>
        <w:t>por</w:t>
      </w:r>
      <w:proofErr w:type="gramEnd"/>
      <w:r w:rsidRPr="009E30D1">
        <w:rPr>
          <w:rFonts w:ascii="Adobe Caslon Pro" w:hAnsi="Adobe Caslon Pro"/>
          <w:b/>
          <w:lang w:val="es-ES_tradnl"/>
        </w:rPr>
        <w:t xml:space="preserve"> género y cargo para el año 2012)</w:t>
      </w:r>
    </w:p>
    <w:p w:rsidR="00A36924" w:rsidRPr="009E30D1" w:rsidRDefault="00A36924" w:rsidP="00B85C0B">
      <w:pPr>
        <w:spacing w:after="120" w:line="240" w:lineRule="auto"/>
        <w:jc w:val="center"/>
        <w:rPr>
          <w:rFonts w:ascii="Adobe Caslon Pro" w:hAnsi="Adobe Caslon Pro"/>
          <w:bCs/>
          <w:lang w:val="es-ES_tradnl"/>
        </w:rPr>
      </w:pPr>
      <w:r w:rsidRPr="009E30D1">
        <w:rPr>
          <w:rFonts w:ascii="Adobe Caslon Pro" w:hAnsi="Adobe Caslon Pro"/>
          <w:noProof/>
          <w:lang w:eastAsia="es-MX"/>
        </w:rPr>
        <w:drawing>
          <wp:inline distT="0" distB="0" distL="0" distR="0" wp14:anchorId="216AD3ED" wp14:editId="1A50F0C9">
            <wp:extent cx="4500000" cy="2592000"/>
            <wp:effectExtent l="0" t="0" r="15240" b="18415"/>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2E2A" w:rsidRPr="009E30D1" w:rsidRDefault="00A36924" w:rsidP="002E27E4">
      <w:pPr>
        <w:spacing w:after="120" w:line="240" w:lineRule="auto"/>
        <w:jc w:val="center"/>
        <w:rPr>
          <w:rFonts w:ascii="Adobe Caslon Pro" w:hAnsi="Adobe Caslon Pro"/>
          <w:bCs/>
          <w:i/>
          <w:sz w:val="18"/>
          <w:szCs w:val="18"/>
          <w:lang w:val="es-ES_tradnl"/>
        </w:rPr>
      </w:pPr>
      <w:r w:rsidRPr="009E30D1">
        <w:rPr>
          <w:rFonts w:ascii="Adobe Caslon Pro" w:hAnsi="Adobe Caslon Pro"/>
          <w:bCs/>
          <w:i/>
          <w:sz w:val="18"/>
          <w:szCs w:val="18"/>
          <w:lang w:val="es-ES_tradnl"/>
        </w:rPr>
        <w:t>Fuente: Elaborac</w:t>
      </w:r>
      <w:r w:rsidR="002E27E4" w:rsidRPr="009E30D1">
        <w:rPr>
          <w:rFonts w:ascii="Adobe Caslon Pro" w:hAnsi="Adobe Caslon Pro"/>
          <w:bCs/>
          <w:i/>
          <w:sz w:val="18"/>
          <w:szCs w:val="18"/>
          <w:lang w:val="es-ES_tradnl"/>
        </w:rPr>
        <w:t>ión propia con datos de CEAMEG.</w:t>
      </w:r>
    </w:p>
    <w:p w:rsidR="00F958F2" w:rsidRPr="009E30D1" w:rsidRDefault="00DC3F30" w:rsidP="00B85C0B">
      <w:pPr>
        <w:pStyle w:val="Ttulo2"/>
        <w:spacing w:before="0" w:after="120"/>
        <w:rPr>
          <w:lang w:val="es-ES_tradnl"/>
        </w:rPr>
      </w:pPr>
      <w:bookmarkStart w:id="15" w:name="_Toc391883377"/>
      <w:r w:rsidRPr="009E30D1">
        <w:rPr>
          <w:lang w:val="es-ES_tradnl"/>
        </w:rPr>
        <w:t xml:space="preserve">2.3 </w:t>
      </w:r>
      <w:r w:rsidR="00F958F2" w:rsidRPr="009E30D1">
        <w:rPr>
          <w:lang w:val="es-ES_tradnl"/>
        </w:rPr>
        <w:t>Población potencial y objetivo del PAIMEF</w:t>
      </w:r>
      <w:bookmarkEnd w:id="15"/>
      <w:r w:rsidR="00F958F2" w:rsidRPr="009E30D1">
        <w:rPr>
          <w:lang w:val="es-ES_tradnl"/>
        </w:rPr>
        <w:tab/>
      </w:r>
    </w:p>
    <w:p w:rsidR="00F958F2" w:rsidRPr="009E30D1" w:rsidRDefault="00F958F2" w:rsidP="00975006">
      <w:pPr>
        <w:spacing w:after="120" w:line="240" w:lineRule="auto"/>
        <w:jc w:val="both"/>
        <w:rPr>
          <w:rFonts w:ascii="Adobe Caslon Pro" w:hAnsi="Adobe Caslon Pro" w:cs="Arial"/>
        </w:rPr>
      </w:pPr>
      <w:r w:rsidRPr="009E30D1">
        <w:rPr>
          <w:rFonts w:ascii="Adobe Caslon Pro" w:hAnsi="Adobe Caslon Pro" w:cs="Arial"/>
          <w:i/>
        </w:rPr>
        <w:t>La población potencial de un programa público es aquella que presenta el problema que un programa público busca resolver</w:t>
      </w:r>
      <w:r w:rsidRPr="009E30D1">
        <w:rPr>
          <w:rFonts w:ascii="Adobe Caslon Pro" w:hAnsi="Adobe Caslon Pro" w:cs="Arial"/>
        </w:rPr>
        <w:t xml:space="preserve">. Considerando esta definición, el análisis en el presente documento permite identificar la población potencial del PAIMEF, al establecer que el problema que el programa busca resolver es violencia contra las mujeres en el país. Por su parte, la población objetivo se define como el </w:t>
      </w:r>
      <w:r w:rsidRPr="009E30D1">
        <w:rPr>
          <w:rFonts w:ascii="Adobe Caslon Pro" w:hAnsi="Adobe Caslon Pro" w:cs="Arial"/>
          <w:i/>
        </w:rPr>
        <w:t>subconjunto de la población potencial que el programa público se propone atender en el corto o mediano plazo, teniendo en cuenta las limitaciones financieras e institucionales existentes</w:t>
      </w:r>
      <w:r w:rsidRPr="009E30D1">
        <w:rPr>
          <w:rFonts w:ascii="Adobe Caslon Pro" w:hAnsi="Adobe Caslon Pro" w:cs="Arial"/>
        </w:rPr>
        <w:t xml:space="preserve">. Sin embargo, para efectos del presente documento, se homologa la definición de población potencial a la objetivo del PAIMEF. Lo anterior, con base en el Artículo </w:t>
      </w:r>
      <w:r w:rsidR="00417EF3" w:rsidRPr="009E30D1">
        <w:rPr>
          <w:rFonts w:ascii="Adobe Caslon Pro" w:hAnsi="Adobe Caslon Pro" w:cs="Arial"/>
        </w:rPr>
        <w:t>1</w:t>
      </w:r>
      <w:proofErr w:type="gramStart"/>
      <w:r w:rsidR="00417EF3" w:rsidRPr="009E30D1">
        <w:rPr>
          <w:rFonts w:ascii="Adobe Caslon Pro" w:hAnsi="Adobe Caslon Pro" w:cs="Arial"/>
        </w:rPr>
        <w:t>.°</w:t>
      </w:r>
      <w:proofErr w:type="gramEnd"/>
      <w:r w:rsidRPr="009E30D1">
        <w:rPr>
          <w:rFonts w:ascii="Adobe Caslon Pro" w:hAnsi="Adobe Caslon Pro" w:cs="Arial"/>
        </w:rPr>
        <w:t xml:space="preserve"> Constitucional y en el Artículo</w:t>
      </w:r>
      <w:r w:rsidRPr="009E30D1">
        <w:rPr>
          <w:rFonts w:ascii="Adobe Caslon Pro" w:hAnsi="Adobe Caslon Pro"/>
        </w:rPr>
        <w:t xml:space="preserve"> 8</w:t>
      </w:r>
      <w:r w:rsidR="00417EF3" w:rsidRPr="009E30D1">
        <w:rPr>
          <w:rFonts w:ascii="Adobe Caslon Pro" w:hAnsi="Adobe Caslon Pro"/>
        </w:rPr>
        <w:t>.°</w:t>
      </w:r>
      <w:r w:rsidRPr="009E30D1">
        <w:rPr>
          <w:rFonts w:ascii="Adobe Caslon Pro" w:hAnsi="Adobe Caslon Pro"/>
        </w:rPr>
        <w:t xml:space="preserve"> de</w:t>
      </w:r>
      <w:r w:rsidRPr="009E30D1">
        <w:rPr>
          <w:rFonts w:ascii="Adobe Caslon Pro" w:hAnsi="Adobe Caslon Pro" w:cs="Arial"/>
        </w:rPr>
        <w:t xml:space="preserve"> LGAMVLV, mismos que refieren a la igualdad en el pleno ejercicio de los derechos humanos de las mujeres, particularmente el acces</w:t>
      </w:r>
      <w:r w:rsidR="002E27E4" w:rsidRPr="009E30D1">
        <w:rPr>
          <w:rFonts w:ascii="Adobe Caslon Pro" w:hAnsi="Adobe Caslon Pro" w:cs="Arial"/>
        </w:rPr>
        <w:t>o a una vida libre de violencia (mecanismos de prevención y atención).</w:t>
      </w:r>
      <w:r w:rsidRPr="009E30D1">
        <w:rPr>
          <w:rFonts w:ascii="Adobe Caslon Pro" w:hAnsi="Adobe Caslon Pro" w:cs="Arial"/>
        </w:rPr>
        <w:t xml:space="preserve"> </w:t>
      </w:r>
    </w:p>
    <w:p w:rsidR="00F958F2" w:rsidRPr="009E30D1" w:rsidRDefault="00F958F2" w:rsidP="00B85C0B">
      <w:pPr>
        <w:autoSpaceDE w:val="0"/>
        <w:autoSpaceDN w:val="0"/>
        <w:adjustRightInd w:val="0"/>
        <w:spacing w:after="120" w:line="240" w:lineRule="auto"/>
        <w:jc w:val="both"/>
        <w:rPr>
          <w:rFonts w:ascii="Adobe Caslon Pro" w:hAnsi="Adobe Caslon Pro" w:cs="Arial"/>
          <w:b/>
          <w:u w:val="single"/>
          <w:lang w:val="es-ES_tradnl"/>
        </w:rPr>
      </w:pPr>
      <w:r w:rsidRPr="009E30D1">
        <w:rPr>
          <w:rFonts w:ascii="Adobe Caslon Pro" w:hAnsi="Adobe Caslon Pro" w:cs="Arial"/>
          <w:b/>
          <w:u w:val="single"/>
          <w:lang w:val="es-ES_tradnl"/>
        </w:rPr>
        <w:t>Definición, identificación y cuantificación de la población potencial y objetivo del PAIMEF</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lastRenderedPageBreak/>
        <w:t xml:space="preserve">Para efectos del presente diagnóstico se entiende como </w:t>
      </w:r>
      <w:r w:rsidRPr="009E30D1">
        <w:rPr>
          <w:rFonts w:ascii="Adobe Caslon Pro" w:hAnsi="Adobe Caslon Pro" w:cs="Arial"/>
          <w:b/>
          <w:lang w:val="es-ES_tradnl"/>
        </w:rPr>
        <w:t>población potencial y objetivo</w:t>
      </w:r>
      <w:r w:rsidRPr="009E30D1">
        <w:rPr>
          <w:rFonts w:ascii="Adobe Caslon Pro" w:hAnsi="Adobe Caslon Pro" w:cs="Arial"/>
          <w:lang w:val="es-ES_tradnl"/>
        </w:rPr>
        <w:t xml:space="preserve"> a aquella que padece el problema, es decir, </w:t>
      </w:r>
      <w:r w:rsidRPr="009E30D1">
        <w:rPr>
          <w:rFonts w:ascii="Adobe Caslon Pro" w:hAnsi="Adobe Caslon Pro" w:cs="Arial"/>
          <w:b/>
          <w:lang w:val="es-ES_tradnl"/>
        </w:rPr>
        <w:t xml:space="preserve">las mujeres que han sufrido algún tipo de violencia </w:t>
      </w:r>
      <w:r w:rsidRPr="009E30D1">
        <w:rPr>
          <w:rFonts w:ascii="Adobe Caslon Pro" w:hAnsi="Adobe Caslon Pro" w:cs="Arial"/>
          <w:lang w:val="es-ES_tradnl"/>
        </w:rPr>
        <w:t xml:space="preserve">en el país. En este sentido </w:t>
      </w:r>
      <w:r w:rsidRPr="009E30D1">
        <w:rPr>
          <w:rFonts w:ascii="Adobe Caslon Pro" w:hAnsi="Adobe Caslon Pro" w:cs="Arial"/>
          <w:b/>
          <w:lang w:val="es-ES_tradnl"/>
        </w:rPr>
        <w:t>para identificar dicha población</w:t>
      </w:r>
      <w:r w:rsidRPr="009E30D1">
        <w:rPr>
          <w:rFonts w:ascii="Adobe Caslon Pro" w:hAnsi="Adobe Caslon Pro" w:cs="Arial"/>
          <w:lang w:val="es-ES_tradnl"/>
        </w:rPr>
        <w:t xml:space="preserve"> se utiliza la ENDIREH 2011, específicamente se obtuvo la cantidad de mujeres mayores de 15 años que declararon sufrir algún tipo de violencia (emocional, económica, física y/o sexual) a lo largo de la relación con su última pareja. Asimismo, se calculó la cantidad de mujeres que declararon sufrir algún tipo de violencia en el ámbito laboral, escolar y social a lo largo de su vida, </w:t>
      </w:r>
      <w:r w:rsidRPr="009E30D1">
        <w:rPr>
          <w:rFonts w:ascii="Adobe Caslon Pro" w:hAnsi="Adobe Caslon Pro" w:cs="Arial"/>
          <w:b/>
          <w:lang w:val="es-ES_tradnl"/>
        </w:rPr>
        <w:t>la cual asciende a 24.9 millones de mujeres.</w:t>
      </w:r>
      <w:r w:rsidRPr="009E30D1">
        <w:rPr>
          <w:rFonts w:ascii="Adobe Caslon Pro" w:hAnsi="Adobe Caslon Pro" w:cs="Arial"/>
          <w:lang w:val="es-ES_tradnl"/>
        </w:rPr>
        <w:t xml:space="preserve"> </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La ENDIREH 2011 señala que en México vivían 116.1 millones de habitantes, de los cuales 50.7% (58.8 millones) son mujeres; de éstas, 42.6 millones tienen 15 años o más, y representan 72% del total de mujeres. Por</w:t>
      </w:r>
      <w:r w:rsidR="00B52185" w:rsidRPr="009E30D1">
        <w:rPr>
          <w:rFonts w:ascii="Adobe Caslon Pro" w:hAnsi="Adobe Caslon Pro" w:cs="Arial"/>
          <w:lang w:val="es-ES_tradnl"/>
        </w:rPr>
        <w:t xml:space="preserve"> su </w:t>
      </w:r>
      <w:r w:rsidRPr="009E30D1">
        <w:rPr>
          <w:rFonts w:ascii="Adobe Caslon Pro" w:hAnsi="Adobe Caslon Pro" w:cs="Arial"/>
          <w:lang w:val="es-ES_tradnl"/>
        </w:rPr>
        <w:t xml:space="preserve">parte, </w:t>
      </w:r>
      <w:r w:rsidR="00B52185" w:rsidRPr="009E30D1">
        <w:rPr>
          <w:rFonts w:ascii="Adobe Caslon Pro" w:hAnsi="Adobe Caslon Pro" w:cs="Arial"/>
          <w:lang w:val="es-ES_tradnl"/>
        </w:rPr>
        <w:t>d</w:t>
      </w:r>
      <w:r w:rsidRPr="009E30D1">
        <w:rPr>
          <w:rFonts w:ascii="Adobe Caslon Pro" w:hAnsi="Adobe Caslon Pro" w:cs="Arial"/>
          <w:lang w:val="es-ES_tradnl"/>
        </w:rPr>
        <w:t xml:space="preserve">el total de las mujeres mayores de 15 años al momento de la encuesta (42.6 millones), 43.9% (18.7 millones) declararon haber sufrido al menos un acto de violencia contra ellas a lo largo de su última relación de pareja. De dicho grupo de mujeres, 40.3% (17.2 millones) fueron víctimas de violencia emocional, 22.9% (9.7 millones) de violencia económica, </w:t>
      </w:r>
      <w:r w:rsidR="00B52185" w:rsidRPr="009E30D1">
        <w:rPr>
          <w:rFonts w:ascii="Adobe Caslon Pro" w:hAnsi="Adobe Caslon Pro" w:cs="Arial"/>
          <w:lang w:val="es-ES_tradnl"/>
        </w:rPr>
        <w:t>13.1% (5.6 millones) y 6.7%</w:t>
      </w:r>
      <w:r w:rsidRPr="009E30D1">
        <w:rPr>
          <w:rFonts w:ascii="Adobe Caslon Pro" w:hAnsi="Adobe Caslon Pro" w:cs="Arial"/>
          <w:lang w:val="es-ES_tradnl"/>
        </w:rPr>
        <w:t xml:space="preserve"> (2.9 millones) de violencia física y sexual, respectivamente. </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Por otro lado, el 25.5% (10.9 millones) declararon haber sufrido en los últimos 12 meses al menos un acto de violencia contra ellas por parte de su pareja. De este grupo de mujeres en situación de violencia, 21.5% (9.2 millones) se debió a violencia emocional, 11.3% (4.8 millones) a violencia económica, 4.6% (1.9 millones) y 2.2% (0.9 millones) a violencia física y sexual. Asimismo, del total de las mujeres mayores de 15 años (42.6 millones), el 37% (15.8 millones) declaró haber sufrido al menos un acto de violencia contra ellas en el ámbito laboral, escolar o social. De dicho grupo de mujeres, 29.8% (12.7 millones) sufrió violencia emocional, 5.0% (2.1 millones) y 20.7% (8.8 millones) violencia física y sexual, respectivamente.</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En resumen, si se consideran todas las posibles formas de violencia contra la mujer (por su pareja, en el ámbito laboral, escolar o social) se tiene que 58.4% (24.9 millones) de las mujeres ha declarado al menos un acto de violencia contra ella</w:t>
      </w:r>
      <w:r w:rsidR="00B52185" w:rsidRPr="009E30D1">
        <w:rPr>
          <w:rFonts w:ascii="Adobe Caslon Pro" w:hAnsi="Adobe Caslon Pro" w:cs="Arial"/>
          <w:lang w:val="es-ES_tradnl"/>
        </w:rPr>
        <w:t>s</w:t>
      </w:r>
      <w:r w:rsidRPr="009E30D1">
        <w:rPr>
          <w:rFonts w:ascii="Adobe Caslon Pro" w:hAnsi="Adobe Caslon Pro" w:cs="Arial"/>
          <w:lang w:val="es-ES_tradnl"/>
        </w:rPr>
        <w:t xml:space="preserve"> </w:t>
      </w:r>
      <w:r w:rsidRPr="009E30D1">
        <w:rPr>
          <w:rFonts w:ascii="Adobe Caslon Pro" w:hAnsi="Adobe Caslon Pro" w:cs="Arial"/>
          <w:i/>
          <w:lang w:val="es-ES_tradnl"/>
        </w:rPr>
        <w:t>(población potencial/objetivo)</w:t>
      </w:r>
      <w:r w:rsidRPr="009E30D1">
        <w:rPr>
          <w:rFonts w:ascii="Adobe Caslon Pro" w:hAnsi="Adobe Caslon Pro" w:cs="Arial"/>
          <w:lang w:val="es-ES_tradnl"/>
        </w:rPr>
        <w:t>, 52.6% (22.4 millones) puede clasificarse como violencia emocional, 22.9% (9.7 millones) como violencia económica, y 16.7% (7.1 millones) y 24.7% (10.5 millones) como violencia física y sexual, respectivamente.</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 xml:space="preserve">Sin embargo, existe otra población relevante que debe ser identificada, que si bien no forma parte directa de la población potencial/objetivo, es una población vulnerable con alta probabilidad de sufrir, ya sea actualmente o en el futuro, algún tipo de violencia por su condición de mujer, éste se encuentra formado por las hijas menores de 15 años que habitan en hogares con madres en situación de violencia, ya que esto repercute en su condición de vida y en la propensión a la reproducción de la violencia contra ellas. Bajo la aseveración anterior, se estimó con la ENDIREH 2011 el número de </w:t>
      </w:r>
      <w:r w:rsidRPr="009E30D1">
        <w:rPr>
          <w:rFonts w:ascii="Adobe Caslon Pro" w:hAnsi="Adobe Caslon Pro" w:cs="Arial"/>
          <w:lang w:val="es-ES_tradnl"/>
        </w:rPr>
        <w:lastRenderedPageBreak/>
        <w:t xml:space="preserve">hijas de las mujeres que declararon situación de violencia por su pareja y/o derivada de la violencia en el ámbito laboral, escolar y social. Con ello, se obtuvo que 6.6 millones de niñas habitan en hogares con violencia contra las mujeres. </w:t>
      </w:r>
    </w:p>
    <w:p w:rsidR="00F958F2" w:rsidRPr="009E30D1" w:rsidRDefault="00F958F2" w:rsidP="00B85C0B">
      <w:pPr>
        <w:autoSpaceDE w:val="0"/>
        <w:autoSpaceDN w:val="0"/>
        <w:adjustRightInd w:val="0"/>
        <w:spacing w:after="120" w:line="240" w:lineRule="auto"/>
        <w:jc w:val="both"/>
        <w:rPr>
          <w:rFonts w:ascii="Adobe Caslon Pro" w:hAnsi="Adobe Caslon Pro" w:cs="Arial"/>
          <w:b/>
          <w:u w:val="single"/>
          <w:lang w:val="es-ES_tradnl"/>
        </w:rPr>
      </w:pPr>
      <w:bookmarkStart w:id="16" w:name="_Toc380844419"/>
      <w:r w:rsidRPr="009E30D1">
        <w:rPr>
          <w:rFonts w:ascii="Adobe Caslon Pro" w:hAnsi="Adobe Caslon Pro" w:cs="Arial"/>
          <w:b/>
          <w:u w:val="single"/>
          <w:lang w:val="es-ES_tradnl"/>
        </w:rPr>
        <w:t>Caracterización de la población objetivo</w:t>
      </w:r>
      <w:r w:rsidRPr="009E30D1">
        <w:rPr>
          <w:rStyle w:val="Refdenotaalpie"/>
          <w:rFonts w:ascii="Adobe Caslon Pro" w:hAnsi="Adobe Caslon Pro"/>
          <w:b/>
          <w:u w:val="single"/>
          <w:lang w:val="es-ES_tradnl"/>
        </w:rPr>
        <w:footnoteReference w:id="19"/>
      </w:r>
    </w:p>
    <w:bookmarkEnd w:id="16"/>
    <w:p w:rsidR="006E380D"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En esta sección, se presenta una descripción sobre las principales características de la población objetivo del PAIMEF. En este sentido, entidades como el Estado de México, Distrito Federal, Sonora, Colima, Nayarit, presentan los porcentajes más altos sobre mujeres que sufrieron al menos un tipo de violencia por parte de su pareja o ex pareja y/o en el ámbito laboral, escolar y social,</w:t>
      </w:r>
      <w:r w:rsidR="00975006" w:rsidRPr="009E30D1">
        <w:rPr>
          <w:rFonts w:ascii="Adobe Caslon Pro" w:hAnsi="Adobe Caslon Pro" w:cs="Arial"/>
          <w:lang w:val="es-ES_tradnl"/>
        </w:rPr>
        <w:t xml:space="preserve"> como se muestra en la gráfica 5</w:t>
      </w:r>
      <w:r w:rsidRPr="009E30D1">
        <w:rPr>
          <w:rFonts w:ascii="Adobe Caslon Pro" w:hAnsi="Adobe Caslon Pro" w:cs="Arial"/>
          <w:lang w:val="es-ES_tradnl"/>
        </w:rPr>
        <w:t xml:space="preserve"> (el Estado de México y el Distrito Federal se caracterizan por tener las concentraciones de población más grandes del país). Asimismo, tres son los estados con los porcentajes más bajos de violencia contra las mujeres (menor a 50%), entre los que destacan Tamaulipas, Baja California Sur y Chiapas; este último se encuentra entre los siete estados con mayor población, y cuenta con el porcentaje más bajo a nivel nacional (39.2%) de mujeres</w:t>
      </w:r>
      <w:r w:rsidR="006E380D" w:rsidRPr="009E30D1">
        <w:rPr>
          <w:rFonts w:ascii="Adobe Caslon Pro" w:hAnsi="Adobe Caslon Pro" w:cs="Arial"/>
          <w:lang w:val="es-ES_tradnl"/>
        </w:rPr>
        <w:t xml:space="preserve"> violentadas mayores de 15 años.</w:t>
      </w: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975006" w:rsidRPr="009E30D1" w:rsidRDefault="00975006" w:rsidP="00B85C0B">
      <w:pPr>
        <w:spacing w:after="120" w:line="240" w:lineRule="auto"/>
        <w:jc w:val="both"/>
        <w:rPr>
          <w:rFonts w:ascii="Adobe Caslon Pro" w:hAnsi="Adobe Caslon Pro" w:cs="Arial"/>
          <w:lang w:val="es-ES_tradnl"/>
        </w:rPr>
      </w:pPr>
    </w:p>
    <w:p w:rsidR="00B52185" w:rsidRPr="009E30D1" w:rsidRDefault="004C1828" w:rsidP="006E380D">
      <w:pPr>
        <w:spacing w:after="120" w:line="240" w:lineRule="auto"/>
        <w:contextualSpacing/>
        <w:jc w:val="center"/>
        <w:rPr>
          <w:rFonts w:ascii="Adobe Caslon Pro" w:hAnsi="Adobe Caslon Pro" w:cs="Arial"/>
          <w:b/>
          <w:spacing w:val="-4"/>
          <w:lang w:val="es-ES_tradnl"/>
        </w:rPr>
      </w:pPr>
      <w:r w:rsidRPr="009E30D1">
        <w:rPr>
          <w:rFonts w:ascii="Adobe Caslon Pro" w:hAnsi="Adobe Caslon Pro" w:cs="Arial"/>
          <w:b/>
          <w:spacing w:val="-4"/>
          <w:lang w:val="es-ES_tradnl"/>
        </w:rPr>
        <w:t xml:space="preserve">Gráfica </w:t>
      </w:r>
      <w:r w:rsidR="006E380D" w:rsidRPr="009E30D1">
        <w:rPr>
          <w:rFonts w:ascii="Adobe Caslon Pro" w:hAnsi="Adobe Caslon Pro" w:cs="Arial"/>
          <w:b/>
          <w:spacing w:val="-4"/>
          <w:lang w:val="es-ES_tradnl"/>
        </w:rPr>
        <w:t>5</w:t>
      </w:r>
      <w:r w:rsidR="00F958F2" w:rsidRPr="009E30D1">
        <w:rPr>
          <w:rFonts w:ascii="Adobe Caslon Pro" w:hAnsi="Adobe Caslon Pro" w:cs="Arial"/>
          <w:b/>
          <w:spacing w:val="-4"/>
          <w:lang w:val="es-ES_tradnl"/>
        </w:rPr>
        <w:t>. Porcentaje de mujeres mayores de 15</w:t>
      </w:r>
      <w:r w:rsidR="00B52185" w:rsidRPr="009E30D1">
        <w:rPr>
          <w:rFonts w:ascii="Adobe Caslon Pro" w:hAnsi="Adobe Caslon Pro" w:cs="Arial"/>
          <w:b/>
          <w:spacing w:val="-4"/>
          <w:lang w:val="es-ES_tradnl"/>
        </w:rPr>
        <w:t xml:space="preserve"> años</w:t>
      </w:r>
      <w:r w:rsidR="00F958F2" w:rsidRPr="009E30D1">
        <w:rPr>
          <w:rFonts w:ascii="Adobe Caslon Pro" w:hAnsi="Adobe Caslon Pro" w:cs="Arial"/>
          <w:b/>
          <w:spacing w:val="-4"/>
          <w:lang w:val="es-ES_tradnl"/>
        </w:rPr>
        <w:t xml:space="preserve"> que sufrieron al menos un tipo de violencia por parte de su pareja o ex pareja y/o en el ámbito laboral, escolar y social</w:t>
      </w:r>
    </w:p>
    <w:p w:rsidR="00F958F2" w:rsidRPr="009E30D1" w:rsidRDefault="00B52185" w:rsidP="006E380D">
      <w:pPr>
        <w:spacing w:after="120" w:line="240" w:lineRule="auto"/>
        <w:contextualSpacing/>
        <w:jc w:val="center"/>
        <w:rPr>
          <w:rFonts w:ascii="Adobe Caslon Pro" w:hAnsi="Adobe Caslon Pro" w:cs="Arial"/>
          <w:lang w:val="es-ES_tradnl"/>
        </w:rPr>
      </w:pPr>
      <w:r w:rsidRPr="009E30D1">
        <w:rPr>
          <w:rFonts w:ascii="Adobe Caslon Pro" w:hAnsi="Adobe Caslon Pro" w:cs="Arial"/>
          <w:b/>
          <w:spacing w:val="-4"/>
          <w:lang w:val="es-ES_tradnl"/>
        </w:rPr>
        <w:t>(</w:t>
      </w:r>
      <w:proofErr w:type="gramStart"/>
      <w:r w:rsidR="00F958F2" w:rsidRPr="009E30D1">
        <w:rPr>
          <w:rFonts w:ascii="Adobe Caslon Pro" w:hAnsi="Adobe Caslon Pro" w:cs="Arial"/>
          <w:b/>
          <w:spacing w:val="-4"/>
          <w:lang w:val="es-ES_tradnl"/>
        </w:rPr>
        <w:t>por</w:t>
      </w:r>
      <w:proofErr w:type="gramEnd"/>
      <w:r w:rsidR="00F958F2" w:rsidRPr="009E30D1">
        <w:rPr>
          <w:rFonts w:ascii="Adobe Caslon Pro" w:hAnsi="Adobe Caslon Pro" w:cs="Arial"/>
          <w:b/>
          <w:spacing w:val="-4"/>
          <w:lang w:val="es-ES_tradnl"/>
        </w:rPr>
        <w:t xml:space="preserve"> entidad federativa</w:t>
      </w:r>
      <w:r w:rsidRPr="009E30D1">
        <w:rPr>
          <w:rFonts w:ascii="Adobe Caslon Pro" w:hAnsi="Adobe Caslon Pro" w:cs="Arial"/>
          <w:b/>
          <w:spacing w:val="-4"/>
          <w:lang w:val="es-ES_tradnl"/>
        </w:rPr>
        <w:t>)</w:t>
      </w:r>
    </w:p>
    <w:p w:rsidR="00B52185" w:rsidRPr="009E30D1" w:rsidRDefault="00B52185"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noProof/>
          <w:lang w:eastAsia="es-MX"/>
        </w:rPr>
        <w:lastRenderedPageBreak/>
        <w:drawing>
          <wp:inline distT="0" distB="0" distL="0" distR="0" wp14:anchorId="2E31FFA6" wp14:editId="4F2958B9">
            <wp:extent cx="3743864" cy="6814868"/>
            <wp:effectExtent l="0" t="0" r="9525" b="24130"/>
            <wp:docPr id="13" name="Gráfico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jc w:val="center"/>
        <w:rPr>
          <w:rFonts w:ascii="Adobe Caslon Pro" w:hAnsi="Adobe Caslon Pro" w:cs="Arial"/>
          <w:lang w:val="es-ES_tradnl"/>
        </w:rPr>
      </w:pPr>
    </w:p>
    <w:p w:rsidR="0064400F" w:rsidRPr="009E30D1" w:rsidRDefault="00F958F2" w:rsidP="00B85C0B">
      <w:pPr>
        <w:spacing w:after="120" w:line="240" w:lineRule="auto"/>
        <w:jc w:val="both"/>
        <w:rPr>
          <w:rFonts w:ascii="Adobe Caslon Pro" w:hAnsi="Adobe Caslon Pro" w:cs="Arial"/>
          <w:bCs/>
          <w:lang w:val="es-ES_tradnl"/>
        </w:rPr>
      </w:pPr>
      <w:r w:rsidRPr="009E30D1">
        <w:rPr>
          <w:rFonts w:ascii="Adobe Caslon Pro" w:hAnsi="Adobe Caslon Pro" w:cs="Arial"/>
          <w:bCs/>
          <w:lang w:val="es-ES_tradnl"/>
        </w:rPr>
        <w:t xml:space="preserve">La violencia sexual es una de las agresiones más severas para las mujeres; se presenta con mayor incidencia en los estados ya mencionados, a excepción del Distrito Federal, sin embargo, destacan </w:t>
      </w:r>
      <w:r w:rsidRPr="009E30D1">
        <w:rPr>
          <w:rFonts w:ascii="Adobe Caslon Pro" w:hAnsi="Adobe Caslon Pro" w:cs="Arial"/>
          <w:bCs/>
          <w:lang w:val="es-ES_tradnl"/>
        </w:rPr>
        <w:lastRenderedPageBreak/>
        <w:t>Michoacán</w:t>
      </w:r>
      <w:r w:rsidRPr="009E30D1">
        <w:rPr>
          <w:rStyle w:val="Refdenotaalpie"/>
          <w:rFonts w:ascii="Adobe Caslon Pro" w:hAnsi="Adobe Caslon Pro" w:cs="Arial"/>
          <w:bCs/>
          <w:lang w:val="es-ES_tradnl"/>
        </w:rPr>
        <w:footnoteReference w:id="20"/>
      </w:r>
      <w:r w:rsidRPr="009E30D1">
        <w:rPr>
          <w:rFonts w:ascii="Adobe Caslon Pro" w:hAnsi="Adobe Caslon Pro" w:cs="Arial"/>
          <w:bCs/>
          <w:lang w:val="es-ES_tradnl"/>
        </w:rPr>
        <w:t>, Oaxaca</w:t>
      </w:r>
      <w:r w:rsidRPr="009E30D1">
        <w:rPr>
          <w:rStyle w:val="Refdenotaalpie"/>
          <w:rFonts w:ascii="Adobe Caslon Pro" w:hAnsi="Adobe Caslon Pro" w:cs="Arial"/>
          <w:bCs/>
          <w:lang w:val="es-ES_tradnl"/>
        </w:rPr>
        <w:footnoteReference w:id="21"/>
      </w:r>
      <w:r w:rsidRPr="009E30D1">
        <w:rPr>
          <w:rFonts w:ascii="Adobe Caslon Pro" w:hAnsi="Adobe Caslon Pro" w:cs="Arial"/>
          <w:bCs/>
          <w:lang w:val="es-ES_tradnl"/>
        </w:rPr>
        <w:t xml:space="preserve"> y Zacatecas</w:t>
      </w:r>
      <w:r w:rsidRPr="009E30D1">
        <w:rPr>
          <w:rStyle w:val="Refdenotaalpie"/>
          <w:rFonts w:ascii="Adobe Caslon Pro" w:hAnsi="Adobe Caslon Pro" w:cs="Arial"/>
          <w:bCs/>
          <w:lang w:val="es-ES_tradnl"/>
        </w:rPr>
        <w:footnoteReference w:id="22"/>
      </w:r>
      <w:r w:rsidRPr="009E30D1">
        <w:rPr>
          <w:rFonts w:ascii="Adobe Caslon Pro" w:hAnsi="Adobe Caslon Pro" w:cs="Arial"/>
          <w:bCs/>
          <w:lang w:val="es-ES_tradnl"/>
        </w:rPr>
        <w:t>. Además, en cuanto a violencia física, sobresalen Guerrero</w:t>
      </w:r>
      <w:r w:rsidRPr="009E30D1">
        <w:rPr>
          <w:rStyle w:val="Refdenotaalpie"/>
          <w:rFonts w:ascii="Adobe Caslon Pro" w:hAnsi="Adobe Caslon Pro" w:cs="Arial"/>
          <w:bCs/>
          <w:lang w:val="es-ES_tradnl"/>
        </w:rPr>
        <w:footnoteReference w:id="23"/>
      </w:r>
      <w:r w:rsidRPr="009E30D1">
        <w:rPr>
          <w:rFonts w:ascii="Adobe Caslon Pro" w:hAnsi="Adobe Caslon Pro" w:cs="Arial"/>
          <w:bCs/>
          <w:lang w:val="es-ES_tradnl"/>
        </w:rPr>
        <w:t>, Tlaxcala</w:t>
      </w:r>
      <w:r w:rsidRPr="009E30D1">
        <w:rPr>
          <w:rStyle w:val="Refdenotaalpie"/>
          <w:rFonts w:ascii="Adobe Caslon Pro" w:hAnsi="Adobe Caslon Pro" w:cs="Arial"/>
          <w:bCs/>
          <w:lang w:val="es-ES_tradnl"/>
        </w:rPr>
        <w:footnoteReference w:id="24"/>
      </w:r>
      <w:r w:rsidRPr="009E30D1">
        <w:rPr>
          <w:rFonts w:ascii="Adobe Caslon Pro" w:hAnsi="Adobe Caslon Pro" w:cs="Arial"/>
          <w:bCs/>
          <w:lang w:val="es-ES_tradnl"/>
        </w:rPr>
        <w:t xml:space="preserve"> y Campeche</w:t>
      </w:r>
      <w:r w:rsidRPr="009E30D1">
        <w:rPr>
          <w:rStyle w:val="Refdenotaalpie"/>
          <w:rFonts w:ascii="Adobe Caslon Pro" w:hAnsi="Adobe Caslon Pro" w:cs="Arial"/>
          <w:bCs/>
          <w:lang w:val="es-ES_tradnl"/>
        </w:rPr>
        <w:footnoteReference w:id="25"/>
      </w:r>
      <w:r w:rsidRPr="009E30D1">
        <w:rPr>
          <w:rFonts w:ascii="Adobe Caslon Pro" w:hAnsi="Adobe Caslon Pro" w:cs="Arial"/>
          <w:bCs/>
          <w:lang w:val="es-ES_tradnl"/>
        </w:rPr>
        <w:t>.</w:t>
      </w:r>
    </w:p>
    <w:p w:rsidR="00F958F2" w:rsidRPr="009E30D1" w:rsidRDefault="00A862B5" w:rsidP="00B85C0B">
      <w:pPr>
        <w:spacing w:after="120" w:line="240" w:lineRule="auto"/>
        <w:jc w:val="both"/>
        <w:rPr>
          <w:rFonts w:ascii="Adobe Caslon Pro" w:hAnsi="Adobe Caslon Pro" w:cs="Arial"/>
          <w:b/>
          <w:lang w:val="es-ES_tradnl"/>
        </w:rPr>
      </w:pPr>
      <w:r w:rsidRPr="009E30D1">
        <w:rPr>
          <w:rFonts w:ascii="Adobe Caslon Pro" w:hAnsi="Adobe Caslon Pro" w:cs="Arial"/>
          <w:b/>
          <w:lang w:val="es-ES_tradnl"/>
        </w:rPr>
        <w:t>Figura 4</w:t>
      </w:r>
      <w:r w:rsidR="00F958F2" w:rsidRPr="009E30D1">
        <w:rPr>
          <w:rFonts w:ascii="Adobe Caslon Pro" w:hAnsi="Adobe Caslon Pro" w:cs="Arial"/>
          <w:b/>
          <w:lang w:val="es-ES_tradnl"/>
        </w:rPr>
        <w:t>. Incidencia de víctimas por tipo de violencia contra las mujeres por entidad federativas</w:t>
      </w:r>
      <w:r w:rsidR="00F958F2" w:rsidRPr="009E30D1">
        <w:rPr>
          <w:rFonts w:ascii="Adobe Caslon Pro" w:hAnsi="Adobe Caslon Pro" w:cs="Arial"/>
          <w:b/>
          <w:noProof/>
          <w:lang w:eastAsia="es-MX"/>
        </w:rPr>
        <w:drawing>
          <wp:inline distT="0" distB="0" distL="0" distR="0" wp14:anchorId="003D8DBF" wp14:editId="54739860">
            <wp:extent cx="4660667" cy="5766836"/>
            <wp:effectExtent l="0" t="635" r="6350" b="6350"/>
            <wp:docPr id="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668953" cy="5777089"/>
                    </a:xfrm>
                    <a:prstGeom prst="rect">
                      <a:avLst/>
                    </a:prstGeom>
                    <a:noFill/>
                    <a:ln>
                      <a:noFill/>
                    </a:ln>
                  </pic:spPr>
                </pic:pic>
              </a:graphicData>
            </a:graphic>
          </wp:inline>
        </w:drawing>
      </w:r>
    </w:p>
    <w:p w:rsidR="00F958F2" w:rsidRPr="009E30D1" w:rsidRDefault="00F958F2" w:rsidP="00B85C0B">
      <w:pPr>
        <w:spacing w:after="120" w:line="240" w:lineRule="auto"/>
        <w:jc w:val="center"/>
        <w:rPr>
          <w:rFonts w:ascii="Adobe Caslon Pro" w:hAnsi="Adobe Caslon Pro" w:cs="Arial"/>
          <w:i/>
          <w:sz w:val="18"/>
          <w:lang w:val="es-ES_tradnl"/>
        </w:rPr>
      </w:pPr>
      <w:r w:rsidRPr="009E30D1">
        <w:rPr>
          <w:rFonts w:ascii="Adobe Caslon Pro" w:hAnsi="Adobe Caslon Pro" w:cs="Arial"/>
          <w:i/>
          <w:sz w:val="18"/>
          <w:lang w:val="es-ES_tradnl"/>
        </w:rPr>
        <w:t>Fuente: Elaboración propia con datos de la ENDIREH 2011, INEGI.</w:t>
      </w:r>
    </w:p>
    <w:p w:rsidR="00F958F2" w:rsidRPr="009E30D1" w:rsidRDefault="00F958F2" w:rsidP="0082753F">
      <w:pPr>
        <w:pStyle w:val="Ttulo2"/>
        <w:keepLines w:val="0"/>
        <w:widowControl w:val="0"/>
        <w:numPr>
          <w:ilvl w:val="2"/>
          <w:numId w:val="5"/>
        </w:numPr>
        <w:overflowPunct w:val="0"/>
        <w:adjustRightInd w:val="0"/>
        <w:spacing w:before="0" w:after="120" w:line="240" w:lineRule="auto"/>
        <w:ind w:left="1418" w:hanging="709"/>
        <w:jc w:val="both"/>
        <w:rPr>
          <w:caps/>
          <w:sz w:val="22"/>
          <w:szCs w:val="22"/>
        </w:rPr>
        <w:sectPr w:rsidR="00F958F2" w:rsidRPr="009E30D1" w:rsidSect="009C25DB">
          <w:footerReference w:type="default" r:id="rId22"/>
          <w:pgSz w:w="12240" w:h="15840" w:code="1"/>
          <w:pgMar w:top="1418" w:right="1701" w:bottom="1418" w:left="1701" w:header="357" w:footer="907" w:gutter="0"/>
          <w:cols w:space="708"/>
          <w:titlePg/>
          <w:docGrid w:linePitch="360"/>
        </w:sectPr>
      </w:pPr>
    </w:p>
    <w:p w:rsidR="00F958F2" w:rsidRPr="009E30D1" w:rsidRDefault="00F958F2" w:rsidP="00B85C0B">
      <w:pPr>
        <w:autoSpaceDE w:val="0"/>
        <w:autoSpaceDN w:val="0"/>
        <w:adjustRightInd w:val="0"/>
        <w:spacing w:after="120" w:line="240" w:lineRule="auto"/>
        <w:jc w:val="both"/>
        <w:rPr>
          <w:rFonts w:ascii="Adobe Caslon Pro" w:hAnsi="Adobe Caslon Pro" w:cs="Arial"/>
          <w:b/>
          <w:lang w:val="es-ES_tradnl"/>
        </w:rPr>
      </w:pPr>
      <w:r w:rsidRPr="009E30D1">
        <w:rPr>
          <w:rFonts w:ascii="Adobe Caslon Pro" w:hAnsi="Adobe Caslon Pro" w:cs="Arial"/>
          <w:b/>
          <w:lang w:val="es-ES_tradnl"/>
        </w:rPr>
        <w:lastRenderedPageBreak/>
        <w:t>Tamaño de localidad</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 xml:space="preserve">En las localidades urbanas la violencia contra las mujeres </w:t>
      </w:r>
      <w:r w:rsidR="001D5AB8" w:rsidRPr="009E30D1">
        <w:rPr>
          <w:rFonts w:ascii="Adobe Caslon Pro" w:hAnsi="Adobe Caslon Pro" w:cs="Arial"/>
          <w:lang w:val="es-ES_tradnl"/>
        </w:rPr>
        <w:t>es más reconocida por las mujeres que respondieron la encuesta</w:t>
      </w:r>
      <w:r w:rsidRPr="009E30D1">
        <w:rPr>
          <w:rFonts w:ascii="Adobe Caslon Pro" w:hAnsi="Adobe Caslon Pro" w:cs="Arial"/>
          <w:lang w:val="es-ES_tradnl"/>
        </w:rPr>
        <w:t xml:space="preserve"> (términos absolutos y relativos), en comparación con las localidades rurales. En las primeras habitan 31.1 millones de mujeres mayores de 15 años, de éstas, 20.2 millones (61.7%) han sufrido algún tipo de violencia; mientras que en las rurales residen 9.5 millones, de las cuales 4.5 millones (46.9%) ha sufrido algún </w:t>
      </w:r>
      <w:r w:rsidR="00614846" w:rsidRPr="009E30D1">
        <w:rPr>
          <w:rFonts w:ascii="Adobe Caslon Pro" w:hAnsi="Adobe Caslon Pro" w:cs="Arial"/>
          <w:lang w:val="es-ES_tradnl"/>
        </w:rPr>
        <w:t>tipo d</w:t>
      </w:r>
      <w:r w:rsidR="00A862B5" w:rsidRPr="009E30D1">
        <w:rPr>
          <w:rFonts w:ascii="Adobe Caslon Pro" w:hAnsi="Adobe Caslon Pro" w:cs="Arial"/>
          <w:lang w:val="es-ES_tradnl"/>
        </w:rPr>
        <w:t>e violencia (ver gráfica 6</w:t>
      </w:r>
      <w:r w:rsidRPr="009E30D1">
        <w:rPr>
          <w:rFonts w:ascii="Adobe Caslon Pro" w:hAnsi="Adobe Caslon Pro" w:cs="Arial"/>
          <w:lang w:val="es-ES_tradnl"/>
        </w:rPr>
        <w:t xml:space="preserve">). </w:t>
      </w:r>
    </w:p>
    <w:p w:rsidR="00E04944" w:rsidRPr="009E30D1" w:rsidRDefault="006E380D"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Gráfica 6</w:t>
      </w:r>
      <w:r w:rsidR="00F958F2" w:rsidRPr="009E30D1">
        <w:rPr>
          <w:rFonts w:ascii="Adobe Caslon Pro" w:hAnsi="Adobe Caslon Pro" w:cs="Arial"/>
          <w:b/>
          <w:lang w:val="es-ES_tradnl"/>
        </w:rPr>
        <w:t>. Distribución porcentual de mujeres</w:t>
      </w:r>
      <w:r w:rsidR="00E04944" w:rsidRPr="009E30D1">
        <w:rPr>
          <w:rFonts w:ascii="Adobe Caslon Pro" w:hAnsi="Adobe Caslon Pro" w:cs="Arial"/>
          <w:b/>
          <w:lang w:val="es-ES_tradnl"/>
        </w:rPr>
        <w:t xml:space="preserve"> según</w:t>
      </w:r>
      <w:r w:rsidR="0037462C" w:rsidRPr="009E30D1">
        <w:rPr>
          <w:rFonts w:ascii="Adobe Caslon Pro" w:hAnsi="Adobe Caslon Pro" w:cs="Arial"/>
          <w:b/>
          <w:lang w:val="es-ES_tradnl"/>
        </w:rPr>
        <w:t xml:space="preserve"> situación de violencia</w:t>
      </w:r>
      <w:r w:rsidR="00F958F2" w:rsidRPr="009E30D1">
        <w:rPr>
          <w:rFonts w:ascii="Adobe Caslon Pro" w:hAnsi="Adobe Caslon Pro" w:cs="Arial"/>
          <w:b/>
          <w:lang w:val="es-ES_tradnl"/>
        </w:rPr>
        <w:t xml:space="preserve"> </w:t>
      </w:r>
    </w:p>
    <w:p w:rsidR="00F958F2" w:rsidRPr="009E30D1" w:rsidRDefault="00E04944"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w:t>
      </w:r>
      <w:proofErr w:type="gramStart"/>
      <w:r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localidad de residencia)</w:t>
      </w:r>
      <w:r w:rsidR="00F958F2" w:rsidRPr="009E30D1">
        <w:rPr>
          <w:rFonts w:ascii="Adobe Caslon Pro" w:hAnsi="Adobe Caslon Pro"/>
          <w:noProof/>
          <w:lang w:eastAsia="es-MX"/>
        </w:rPr>
        <w:drawing>
          <wp:inline distT="0" distB="0" distL="0" distR="0" wp14:anchorId="71A9795C" wp14:editId="0DA1A886">
            <wp:extent cx="5605145" cy="2197100"/>
            <wp:effectExtent l="0" t="0" r="14605" b="12700"/>
            <wp:docPr id="15" name="Gráfico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jc w:val="center"/>
        <w:rPr>
          <w:rFonts w:ascii="Adobe Caslon Pro" w:hAnsi="Adobe Caslon Pro" w:cs="Arial"/>
          <w:b/>
          <w:lang w:val="es-ES_tradnl"/>
        </w:rPr>
      </w:pP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En las localidades rurales y urbanas, la violencia emocional contra las mujeres pertenecientes a la población objetivo es la de mayor ocurrencia. En todos los tipos de violencia el porcentaje es marcadamente discrepante, a excepción de la violencia física contra las mujeres, en donde las proporciones son similares en ambas zonas</w:t>
      </w:r>
      <w:r w:rsidR="00614846" w:rsidRPr="009E30D1">
        <w:rPr>
          <w:rFonts w:ascii="Adobe Caslon Pro" w:hAnsi="Adobe Caslon Pro" w:cs="Arial"/>
          <w:lang w:val="es-ES_tradnl"/>
        </w:rPr>
        <w:t>.</w:t>
      </w:r>
    </w:p>
    <w:p w:rsidR="00F958F2" w:rsidRPr="009E30D1" w:rsidRDefault="006E380D"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Gráfica 7</w:t>
      </w:r>
      <w:r w:rsidR="00F958F2" w:rsidRPr="009E30D1">
        <w:rPr>
          <w:rFonts w:ascii="Adobe Caslon Pro" w:hAnsi="Adobe Caslon Pro" w:cs="Arial"/>
          <w:b/>
          <w:lang w:val="es-ES_tradnl"/>
        </w:rPr>
        <w:t xml:space="preserve">. Distribución porcentual de las mujeres en situación de violencia </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cs="Arial"/>
          <w:b/>
          <w:lang w:val="es-ES_tradnl"/>
        </w:rPr>
        <w:t>(</w:t>
      </w:r>
      <w:proofErr w:type="gramStart"/>
      <w:r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tipo de violencia y según localidad de residencia)</w:t>
      </w:r>
      <w:r w:rsidRPr="009E30D1">
        <w:rPr>
          <w:rFonts w:ascii="Adobe Caslon Pro" w:hAnsi="Adobe Caslon Pro"/>
          <w:noProof/>
          <w:lang w:eastAsia="es-MX"/>
        </w:rPr>
        <w:drawing>
          <wp:inline distT="0" distB="0" distL="0" distR="0" wp14:anchorId="0DCAD7F4" wp14:editId="39CB52C1">
            <wp:extent cx="5186477" cy="1784909"/>
            <wp:effectExtent l="0" t="0" r="14605" b="25400"/>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58F2" w:rsidRPr="009E30D1" w:rsidRDefault="00F958F2" w:rsidP="00B85C0B">
      <w:pPr>
        <w:spacing w:after="120" w:line="240" w:lineRule="auto"/>
        <w:ind w:left="567" w:right="476"/>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ind w:left="567" w:right="476"/>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Nota: El porcentaje no suma 100%, porque alguna mujer pudo ser víctima de más de un tipo de violencia.</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p>
    <w:p w:rsidR="00F958F2" w:rsidRPr="009E30D1" w:rsidRDefault="00F958F2" w:rsidP="00B85C0B">
      <w:pPr>
        <w:autoSpaceDE w:val="0"/>
        <w:autoSpaceDN w:val="0"/>
        <w:adjustRightInd w:val="0"/>
        <w:spacing w:after="120" w:line="240" w:lineRule="auto"/>
        <w:jc w:val="both"/>
        <w:rPr>
          <w:rFonts w:ascii="Adobe Caslon Pro" w:hAnsi="Adobe Caslon Pro" w:cs="Arial"/>
          <w:b/>
          <w:lang w:val="es-ES_tradnl"/>
        </w:rPr>
      </w:pPr>
      <w:r w:rsidRPr="009E30D1">
        <w:rPr>
          <w:rFonts w:ascii="Adobe Caslon Pro" w:hAnsi="Adobe Caslon Pro" w:cs="Arial"/>
          <w:b/>
          <w:lang w:val="es-ES_tradnl"/>
        </w:rPr>
        <w:t>Hablantes de lengua indígena</w:t>
      </w:r>
    </w:p>
    <w:p w:rsidR="00F958F2" w:rsidRPr="009E30D1" w:rsidRDefault="00F958F2" w:rsidP="00B85C0B">
      <w:pPr>
        <w:autoSpaceDE w:val="0"/>
        <w:autoSpaceDN w:val="0"/>
        <w:adjustRightInd w:val="0"/>
        <w:spacing w:after="120" w:line="240" w:lineRule="auto"/>
        <w:jc w:val="both"/>
        <w:rPr>
          <w:rFonts w:ascii="Adobe Caslon Pro" w:hAnsi="Adobe Caslon Pro" w:cs="Arial"/>
          <w:b/>
          <w:lang w:val="es-ES_tradnl"/>
        </w:rPr>
      </w:pPr>
      <w:r w:rsidRPr="009E30D1">
        <w:rPr>
          <w:rFonts w:ascii="Adobe Caslon Pro" w:hAnsi="Adobe Caslon Pro" w:cs="Arial"/>
          <w:lang w:val="es-ES_tradnl"/>
        </w:rPr>
        <w:t>Del total de mujeres mayores de 15 años, 6.5% corresponden a hablantes de lengua indígena. De éstas, 1.3 millones (48.6%) ha sufrido algún tipo de violencia, mientras que del total de mujeres que no hablan lengua indígena en ese rango de edad, 23.4 millones (59.1%) han sufrido algún tipo de violencia (v</w:t>
      </w:r>
      <w:r w:rsidR="00F47935" w:rsidRPr="009E30D1">
        <w:rPr>
          <w:rFonts w:ascii="Adobe Caslon Pro" w:hAnsi="Adobe Caslon Pro" w:cs="Arial"/>
          <w:lang w:val="es-ES_tradnl"/>
        </w:rPr>
        <w:t>er gráfica 8</w:t>
      </w:r>
      <w:r w:rsidRPr="009E30D1">
        <w:rPr>
          <w:rFonts w:ascii="Adobe Caslon Pro" w:hAnsi="Adobe Caslon Pro" w:cs="Arial"/>
          <w:lang w:val="es-ES_tradnl"/>
        </w:rPr>
        <w:t xml:space="preserve">). </w:t>
      </w:r>
    </w:p>
    <w:p w:rsidR="00F47C9C" w:rsidRPr="009E30D1" w:rsidRDefault="00F47935"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Gráfica 8</w:t>
      </w:r>
      <w:r w:rsidR="00F958F2" w:rsidRPr="009E30D1">
        <w:rPr>
          <w:rFonts w:ascii="Adobe Caslon Pro" w:hAnsi="Adobe Caslon Pro" w:cs="Arial"/>
          <w:b/>
          <w:lang w:val="es-ES_tradnl"/>
        </w:rPr>
        <w:t xml:space="preserve">. Distribución porcentual del total de mujeres y mujeres hablantes de lengua indígena </w:t>
      </w:r>
    </w:p>
    <w:p w:rsidR="00F958F2" w:rsidRPr="009E30D1" w:rsidRDefault="00F47C9C"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w:t>
      </w:r>
      <w:proofErr w:type="gramStart"/>
      <w:r w:rsidRPr="009E30D1">
        <w:rPr>
          <w:rFonts w:ascii="Adobe Caslon Pro" w:hAnsi="Adobe Caslon Pro" w:cs="Arial"/>
          <w:b/>
          <w:lang w:val="es-ES_tradnl"/>
        </w:rPr>
        <w:t>por</w:t>
      </w:r>
      <w:proofErr w:type="gramEnd"/>
      <w:r w:rsidR="00F958F2" w:rsidRPr="009E30D1">
        <w:rPr>
          <w:rFonts w:ascii="Adobe Caslon Pro" w:hAnsi="Adobe Caslon Pro" w:cs="Arial"/>
          <w:b/>
          <w:lang w:val="es-ES_tradnl"/>
        </w:rPr>
        <w:t xml:space="preserve"> situación de violencia</w:t>
      </w:r>
      <w:r w:rsidRPr="009E30D1">
        <w:rPr>
          <w:rFonts w:ascii="Adobe Caslon Pro" w:hAnsi="Adobe Caslon Pro" w:cs="Arial"/>
          <w:b/>
          <w:lang w:val="es-ES_tradnl"/>
        </w:rPr>
        <w:t>)</w:t>
      </w:r>
    </w:p>
    <w:p w:rsidR="00F958F2" w:rsidRPr="009E30D1" w:rsidRDefault="00F958F2" w:rsidP="00B85C0B">
      <w:pPr>
        <w:tabs>
          <w:tab w:val="left" w:pos="2020"/>
        </w:tabs>
        <w:spacing w:after="12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483288E9" wp14:editId="55BB2178">
            <wp:extent cx="4740250" cy="1901952"/>
            <wp:effectExtent l="0" t="0" r="22860" b="22225"/>
            <wp:docPr id="16" name="Gráfico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58F2" w:rsidRPr="009E30D1" w:rsidRDefault="00F958F2" w:rsidP="00B85C0B">
      <w:pPr>
        <w:spacing w:after="120" w:line="240" w:lineRule="auto"/>
        <w:ind w:left="993"/>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ind w:left="993"/>
        <w:jc w:val="center"/>
        <w:rPr>
          <w:rFonts w:ascii="Adobe Caslon Pro" w:hAnsi="Adobe Caslon Pro" w:cs="Arial"/>
          <w:lang w:val="es-ES_tradnl"/>
        </w:rPr>
      </w:pPr>
    </w:p>
    <w:p w:rsidR="00F958F2" w:rsidRPr="009E30D1" w:rsidRDefault="0028589A"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Al igual que en la g</w:t>
      </w:r>
      <w:r w:rsidR="00F47935" w:rsidRPr="009E30D1">
        <w:rPr>
          <w:rFonts w:ascii="Adobe Caslon Pro" w:hAnsi="Adobe Caslon Pro" w:cs="Arial"/>
          <w:lang w:val="es-ES_tradnl"/>
        </w:rPr>
        <w:t>ráfica 8</w:t>
      </w:r>
      <w:r w:rsidR="00F958F2" w:rsidRPr="009E30D1">
        <w:rPr>
          <w:rFonts w:ascii="Adobe Caslon Pro" w:hAnsi="Adobe Caslon Pro" w:cs="Arial"/>
          <w:lang w:val="es-ES_tradnl"/>
        </w:rPr>
        <w:t>, tanto en el total de mujeres de la población objetivo hablantes de lengua indígena y las no hablantes (mayores de 15 años), la violencia emocional es la de mayor ocurrencia. Sin embargo, la violencia física ocurre en mayor proporción en mujeres hablantes de</w:t>
      </w:r>
      <w:r w:rsidR="00F47935" w:rsidRPr="009E30D1">
        <w:rPr>
          <w:rFonts w:ascii="Adobe Caslon Pro" w:hAnsi="Adobe Caslon Pro" w:cs="Arial"/>
          <w:lang w:val="es-ES_tradnl"/>
        </w:rPr>
        <w:t xml:space="preserve"> lengua indígena (ver gráfica 9</w:t>
      </w:r>
      <w:r w:rsidR="00F958F2" w:rsidRPr="009E30D1">
        <w:rPr>
          <w:rFonts w:ascii="Adobe Caslon Pro" w:hAnsi="Adobe Caslon Pro" w:cs="Arial"/>
          <w:lang w:val="es-ES_tradnl"/>
        </w:rPr>
        <w:t>).</w:t>
      </w:r>
    </w:p>
    <w:p w:rsidR="00F47C9C" w:rsidRPr="009E30D1" w:rsidRDefault="00F47935" w:rsidP="00B85C0B">
      <w:pPr>
        <w:spacing w:after="120" w:line="240" w:lineRule="auto"/>
        <w:ind w:left="993" w:right="900"/>
        <w:contextualSpacing/>
        <w:jc w:val="center"/>
        <w:rPr>
          <w:rFonts w:ascii="Adobe Caslon Pro" w:hAnsi="Adobe Caslon Pro" w:cs="Arial"/>
          <w:b/>
          <w:lang w:val="es-ES_tradnl"/>
        </w:rPr>
      </w:pPr>
      <w:r w:rsidRPr="009E30D1">
        <w:rPr>
          <w:rFonts w:ascii="Adobe Caslon Pro" w:hAnsi="Adobe Caslon Pro" w:cs="Arial"/>
          <w:b/>
          <w:lang w:val="es-ES_tradnl"/>
        </w:rPr>
        <w:t>Gráfica 9</w:t>
      </w:r>
      <w:r w:rsidR="00F958F2" w:rsidRPr="009E30D1">
        <w:rPr>
          <w:rFonts w:ascii="Adobe Caslon Pro" w:hAnsi="Adobe Caslon Pro" w:cs="Arial"/>
          <w:b/>
          <w:lang w:val="es-ES_tradnl"/>
        </w:rPr>
        <w:t>.</w:t>
      </w:r>
      <w:r w:rsidR="00F958F2" w:rsidRPr="009E30D1">
        <w:rPr>
          <w:rFonts w:ascii="Adobe Caslon Pro" w:hAnsi="Adobe Caslon Pro" w:cs="Arial"/>
          <w:lang w:val="es-ES_tradnl"/>
        </w:rPr>
        <w:t xml:space="preserve"> </w:t>
      </w:r>
      <w:r w:rsidR="00F958F2" w:rsidRPr="009E30D1">
        <w:rPr>
          <w:rFonts w:ascii="Adobe Caslon Pro" w:hAnsi="Adobe Caslon Pro" w:cs="Arial"/>
          <w:b/>
          <w:lang w:val="es-ES_tradnl"/>
        </w:rPr>
        <w:t xml:space="preserve">Distribución porcentual las mujeres hablantes y </w:t>
      </w:r>
      <w:r w:rsidR="00F47C9C" w:rsidRPr="009E30D1">
        <w:rPr>
          <w:rFonts w:ascii="Adobe Caslon Pro" w:hAnsi="Adobe Caslon Pro" w:cs="Arial"/>
          <w:b/>
          <w:lang w:val="es-ES_tradnl"/>
        </w:rPr>
        <w:t>no hablantes de lengua indígena</w:t>
      </w:r>
    </w:p>
    <w:p w:rsidR="00F958F2" w:rsidRPr="009E30D1" w:rsidRDefault="00F47C9C" w:rsidP="00B85C0B">
      <w:pPr>
        <w:spacing w:after="120" w:line="240" w:lineRule="auto"/>
        <w:ind w:left="993" w:right="900"/>
        <w:contextualSpacing/>
        <w:jc w:val="center"/>
        <w:rPr>
          <w:rFonts w:ascii="Adobe Caslon Pro" w:hAnsi="Adobe Caslon Pro" w:cs="Arial"/>
          <w:lang w:val="es-ES_tradnl"/>
        </w:rPr>
      </w:pPr>
      <w:r w:rsidRPr="009E30D1">
        <w:rPr>
          <w:rFonts w:ascii="Adobe Caslon Pro" w:hAnsi="Adobe Caslon Pro" w:cs="Arial"/>
          <w:b/>
          <w:lang w:val="es-ES_tradnl"/>
        </w:rPr>
        <w:t>(</w:t>
      </w:r>
      <w:proofErr w:type="gramStart"/>
      <w:r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w:t>
      </w:r>
      <w:r w:rsidR="00F958F2" w:rsidRPr="009E30D1">
        <w:rPr>
          <w:rFonts w:ascii="Adobe Caslon Pro" w:hAnsi="Adobe Caslon Pro" w:cs="Arial"/>
          <w:b/>
          <w:lang w:val="es-ES_tradnl"/>
        </w:rPr>
        <w:t>tipo de violencia</w:t>
      </w:r>
      <w:r w:rsidRPr="009E30D1">
        <w:rPr>
          <w:rFonts w:ascii="Adobe Caslon Pro" w:hAnsi="Adobe Caslon Pro" w:cs="Arial"/>
          <w:b/>
          <w:lang w:val="es-ES_tradnl"/>
        </w:rPr>
        <w:t>)</w:t>
      </w:r>
    </w:p>
    <w:p w:rsidR="00F958F2" w:rsidRPr="009E30D1" w:rsidRDefault="00F958F2" w:rsidP="00B85C0B">
      <w:pPr>
        <w:tabs>
          <w:tab w:val="left" w:pos="2020"/>
        </w:tabs>
        <w:spacing w:after="12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06FFD5BC" wp14:editId="1FB7384F">
            <wp:extent cx="5559552" cy="1770279"/>
            <wp:effectExtent l="0" t="0" r="22225" b="20955"/>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58F2" w:rsidRPr="009E30D1" w:rsidRDefault="00F958F2" w:rsidP="00B85C0B">
      <w:pPr>
        <w:spacing w:after="120" w:line="240" w:lineRule="auto"/>
        <w:ind w:left="993"/>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jc w:val="both"/>
        <w:rPr>
          <w:rFonts w:ascii="Adobe Caslon Pro" w:hAnsi="Adobe Caslon Pro" w:cs="Arial"/>
          <w:lang w:val="es-ES_tradnl"/>
        </w:rPr>
      </w:pPr>
    </w:p>
    <w:p w:rsidR="00F958F2" w:rsidRPr="009E30D1" w:rsidRDefault="00F958F2" w:rsidP="00B85C0B">
      <w:pPr>
        <w:autoSpaceDE w:val="0"/>
        <w:autoSpaceDN w:val="0"/>
        <w:adjustRightInd w:val="0"/>
        <w:spacing w:after="120" w:line="240" w:lineRule="auto"/>
        <w:jc w:val="both"/>
        <w:rPr>
          <w:rFonts w:ascii="Adobe Caslon Pro" w:hAnsi="Adobe Caslon Pro" w:cs="Arial"/>
          <w:b/>
          <w:lang w:val="es-ES_tradnl"/>
        </w:rPr>
      </w:pPr>
      <w:r w:rsidRPr="009E30D1">
        <w:rPr>
          <w:rFonts w:ascii="Adobe Caslon Pro" w:hAnsi="Adobe Caslon Pro" w:cs="Arial"/>
          <w:b/>
          <w:lang w:val="es-ES_tradnl"/>
        </w:rPr>
        <w:lastRenderedPageBreak/>
        <w:t xml:space="preserve">Grupos de edad </w:t>
      </w:r>
    </w:p>
    <w:p w:rsidR="00F52701" w:rsidRPr="009E30D1" w:rsidRDefault="0028589A" w:rsidP="00B85C0B">
      <w:pPr>
        <w:autoSpaceDE w:val="0"/>
        <w:autoSpaceDN w:val="0"/>
        <w:adjustRightInd w:val="0"/>
        <w:spacing w:after="120" w:line="240" w:lineRule="auto"/>
        <w:jc w:val="both"/>
        <w:rPr>
          <w:rFonts w:ascii="Adobe Caslon Pro" w:hAnsi="Adobe Caslon Pro" w:cs="Arial"/>
          <w:lang w:val="es-ES_tradnl"/>
        </w:rPr>
      </w:pPr>
      <w:r w:rsidRPr="009E30D1">
        <w:rPr>
          <w:rFonts w:ascii="Adobe Caslon Pro" w:hAnsi="Adobe Caslon Pro" w:cs="Arial"/>
          <w:lang w:val="es-ES_tradnl"/>
        </w:rPr>
        <w:t>En la gráf</w:t>
      </w:r>
      <w:r w:rsidR="00F47935" w:rsidRPr="009E30D1">
        <w:rPr>
          <w:rFonts w:ascii="Adobe Caslon Pro" w:hAnsi="Adobe Caslon Pro" w:cs="Arial"/>
          <w:lang w:val="es-ES_tradnl"/>
        </w:rPr>
        <w:t>ica 10</w:t>
      </w:r>
      <w:r w:rsidR="00F958F2" w:rsidRPr="009E30D1">
        <w:rPr>
          <w:rFonts w:ascii="Adobe Caslon Pro" w:hAnsi="Adobe Caslon Pro" w:cs="Arial"/>
          <w:lang w:val="es-ES_tradnl"/>
        </w:rPr>
        <w:t xml:space="preserve"> se presentan por grupo de edad las mujeres en situación de violencia y no violentadas mayores de 15 años, se puede observar la mayor incidencia de violencia se da entre las mujeres de 20 y 44 años</w:t>
      </w:r>
      <w:r w:rsidR="00F47935" w:rsidRPr="009E30D1">
        <w:rPr>
          <w:rFonts w:ascii="Adobe Caslon Pro" w:hAnsi="Adobe Caslon Pro" w:cs="Arial"/>
          <w:lang w:val="es-ES_tradnl"/>
        </w:rPr>
        <w:t>.</w:t>
      </w:r>
    </w:p>
    <w:p w:rsidR="00F47C9C" w:rsidRPr="009E30D1" w:rsidRDefault="00F958F2" w:rsidP="00B85C0B">
      <w:pPr>
        <w:autoSpaceDE w:val="0"/>
        <w:autoSpaceDN w:val="0"/>
        <w:adjustRightInd w:val="0"/>
        <w:spacing w:after="120" w:line="240" w:lineRule="auto"/>
        <w:contextualSpacing/>
        <w:jc w:val="center"/>
        <w:rPr>
          <w:rFonts w:ascii="Adobe Caslon Pro" w:hAnsi="Adobe Caslon Pro" w:cs="Arial"/>
          <w:b/>
          <w:bCs/>
          <w:lang w:val="es-ES_tradnl"/>
        </w:rPr>
      </w:pPr>
      <w:r w:rsidRPr="009E30D1">
        <w:rPr>
          <w:rFonts w:ascii="Adobe Caslon Pro" w:hAnsi="Adobe Caslon Pro" w:cs="Arial"/>
          <w:b/>
          <w:bCs/>
          <w:lang w:val="es-ES_tradnl"/>
        </w:rPr>
        <w:t>Gráfica 1</w:t>
      </w:r>
      <w:r w:rsidR="00F47935" w:rsidRPr="009E30D1">
        <w:rPr>
          <w:rFonts w:ascii="Adobe Caslon Pro" w:hAnsi="Adobe Caslon Pro" w:cs="Arial"/>
          <w:b/>
          <w:bCs/>
          <w:lang w:val="es-ES_tradnl"/>
        </w:rPr>
        <w:t>0</w:t>
      </w:r>
      <w:r w:rsidRPr="009E30D1">
        <w:rPr>
          <w:rFonts w:ascii="Adobe Caslon Pro" w:hAnsi="Adobe Caslon Pro" w:cs="Arial"/>
          <w:b/>
          <w:bCs/>
          <w:lang w:val="es-ES_tradnl"/>
        </w:rPr>
        <w:t>. Incidencia de violencia contra la mujer</w:t>
      </w:r>
    </w:p>
    <w:p w:rsidR="00F958F2" w:rsidRPr="009E30D1" w:rsidRDefault="00F47C9C" w:rsidP="00B85C0B">
      <w:pPr>
        <w:autoSpaceDE w:val="0"/>
        <w:autoSpaceDN w:val="0"/>
        <w:adjustRightInd w:val="0"/>
        <w:spacing w:after="120" w:line="240" w:lineRule="auto"/>
        <w:contextualSpacing/>
        <w:jc w:val="center"/>
        <w:rPr>
          <w:rFonts w:ascii="Adobe Caslon Pro" w:hAnsi="Adobe Caslon Pro" w:cs="Arial"/>
          <w:b/>
          <w:bCs/>
          <w:lang w:val="es-ES_tradnl"/>
        </w:rPr>
      </w:pPr>
      <w:r w:rsidRPr="009E30D1">
        <w:rPr>
          <w:rFonts w:ascii="Adobe Caslon Pro" w:hAnsi="Adobe Caslon Pro" w:cs="Arial"/>
          <w:b/>
          <w:bCs/>
          <w:lang w:val="es-ES_tradnl"/>
        </w:rPr>
        <w:t>(</w:t>
      </w:r>
      <w:proofErr w:type="gramStart"/>
      <w:r w:rsidR="00F958F2" w:rsidRPr="009E30D1">
        <w:rPr>
          <w:rFonts w:ascii="Adobe Caslon Pro" w:hAnsi="Adobe Caslon Pro" w:cs="Arial"/>
          <w:b/>
          <w:bCs/>
          <w:lang w:val="es-ES_tradnl"/>
        </w:rPr>
        <w:t>por</w:t>
      </w:r>
      <w:proofErr w:type="gramEnd"/>
      <w:r w:rsidR="00F958F2" w:rsidRPr="009E30D1">
        <w:rPr>
          <w:rFonts w:ascii="Adobe Caslon Pro" w:hAnsi="Adobe Caslon Pro" w:cs="Arial"/>
          <w:b/>
          <w:bCs/>
          <w:lang w:val="es-ES_tradnl"/>
        </w:rPr>
        <w:t xml:space="preserve"> grupo de edad</w:t>
      </w:r>
      <w:r w:rsidRPr="009E30D1">
        <w:rPr>
          <w:rFonts w:ascii="Adobe Caslon Pro" w:hAnsi="Adobe Caslon Pro" w:cs="Arial"/>
          <w:b/>
          <w:bCs/>
          <w:lang w:val="es-ES_tradnl"/>
        </w:rPr>
        <w:t>)</w:t>
      </w:r>
      <w:r w:rsidR="00F958F2" w:rsidRPr="009E30D1">
        <w:rPr>
          <w:rFonts w:ascii="Adobe Caslon Pro" w:hAnsi="Adobe Caslon Pro" w:cs="Arial"/>
          <w:b/>
          <w:bCs/>
          <w:lang w:val="es-ES_tradnl"/>
        </w:rPr>
        <w:t xml:space="preserve"> </w:t>
      </w:r>
    </w:p>
    <w:p w:rsidR="00F958F2" w:rsidRPr="009E30D1" w:rsidRDefault="00F958F2" w:rsidP="00B85C0B">
      <w:pPr>
        <w:autoSpaceDE w:val="0"/>
        <w:autoSpaceDN w:val="0"/>
        <w:adjustRightInd w:val="0"/>
        <w:spacing w:after="120" w:line="240" w:lineRule="auto"/>
        <w:contextualSpacing/>
        <w:jc w:val="center"/>
        <w:rPr>
          <w:rFonts w:ascii="Adobe Caslon Pro" w:hAnsi="Adobe Caslon Pro"/>
          <w:lang w:val="es-ES_tradnl"/>
        </w:rPr>
      </w:pPr>
      <w:r w:rsidRPr="009E30D1">
        <w:rPr>
          <w:rFonts w:ascii="Adobe Caslon Pro" w:hAnsi="Adobe Caslon Pro"/>
          <w:noProof/>
          <w:lang w:eastAsia="es-MX"/>
        </w:rPr>
        <w:drawing>
          <wp:inline distT="0" distB="0" distL="0" distR="0" wp14:anchorId="52F7EC37" wp14:editId="0C2DD8B1">
            <wp:extent cx="4660711" cy="2388358"/>
            <wp:effectExtent l="0" t="0" r="698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58F2" w:rsidRPr="009E30D1" w:rsidRDefault="00F958F2" w:rsidP="00B85C0B">
      <w:pPr>
        <w:spacing w:after="120" w:line="240" w:lineRule="auto"/>
        <w:ind w:left="993"/>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autoSpaceDE w:val="0"/>
        <w:autoSpaceDN w:val="0"/>
        <w:adjustRightInd w:val="0"/>
        <w:spacing w:after="120" w:line="240" w:lineRule="auto"/>
        <w:jc w:val="both"/>
        <w:rPr>
          <w:rFonts w:ascii="Adobe Caslon Pro" w:hAnsi="Adobe Caslon Pro" w:cs="Arial"/>
          <w:lang w:val="es-ES_tradnl"/>
        </w:rPr>
      </w:pPr>
    </w:p>
    <w:p w:rsidR="00B85C0B" w:rsidRPr="009E30D1" w:rsidRDefault="00F958F2" w:rsidP="00D12115">
      <w:pPr>
        <w:autoSpaceDE w:val="0"/>
        <w:autoSpaceDN w:val="0"/>
        <w:adjustRightInd w:val="0"/>
        <w:spacing w:after="120" w:line="240" w:lineRule="auto"/>
        <w:jc w:val="both"/>
        <w:rPr>
          <w:rFonts w:ascii="Adobe Caslon Pro" w:hAnsi="Adobe Caslon Pro" w:cs="Arial"/>
          <w:b/>
          <w:bCs/>
          <w:spacing w:val="-4"/>
          <w:lang w:val="es-ES_tradnl"/>
        </w:rPr>
      </w:pPr>
      <w:r w:rsidRPr="009E30D1">
        <w:rPr>
          <w:rFonts w:ascii="Adobe Caslon Pro" w:hAnsi="Adobe Caslon Pro" w:cs="Arial"/>
          <w:lang w:val="es-ES_tradnl"/>
        </w:rPr>
        <w:t xml:space="preserve">La violencia emocional se presenta principalmente en los grupos de edad de entre 15 y 24 años, presentando una tendencia a la baja para las edades subsecuentes; a su vez, la violencia sexual se presenta entre los 20 y 54 años; a partir de los 30 y hasta los 59 años la violencia económica es la más común, y la física cobra relevancia a partir de los 35 años con una tendencia a la alza para los siguientes </w:t>
      </w:r>
      <w:r w:rsidR="0028589A" w:rsidRPr="009E30D1">
        <w:rPr>
          <w:rFonts w:ascii="Adobe Caslon Pro" w:hAnsi="Adobe Caslon Pro" w:cs="Arial"/>
          <w:lang w:val="es-ES_tradnl"/>
        </w:rPr>
        <w:t>cohortes de edad (ver gráfica 1</w:t>
      </w:r>
      <w:r w:rsidR="00F47935" w:rsidRPr="009E30D1">
        <w:rPr>
          <w:rFonts w:ascii="Adobe Caslon Pro" w:hAnsi="Adobe Caslon Pro" w:cs="Arial"/>
          <w:lang w:val="es-ES_tradnl"/>
        </w:rPr>
        <w:t>1</w:t>
      </w:r>
      <w:r w:rsidRPr="009E30D1">
        <w:rPr>
          <w:rFonts w:ascii="Adobe Caslon Pro" w:hAnsi="Adobe Caslon Pro" w:cs="Arial"/>
          <w:lang w:val="es-ES_tradnl"/>
        </w:rPr>
        <w:t xml:space="preserve">). </w:t>
      </w:r>
      <w:r w:rsidR="00B85C0B" w:rsidRPr="009E30D1">
        <w:rPr>
          <w:rFonts w:ascii="Adobe Caslon Pro" w:hAnsi="Adobe Caslon Pro" w:cs="Arial"/>
          <w:b/>
          <w:bCs/>
          <w:spacing w:val="-4"/>
          <w:lang w:val="es-ES_tradnl"/>
        </w:rPr>
        <w:br w:type="page"/>
      </w:r>
    </w:p>
    <w:p w:rsidR="00F47C9C" w:rsidRPr="009E30D1" w:rsidRDefault="00F958F2" w:rsidP="00B85C0B">
      <w:pPr>
        <w:spacing w:after="120" w:line="240" w:lineRule="auto"/>
        <w:jc w:val="center"/>
        <w:rPr>
          <w:rFonts w:ascii="Adobe Caslon Pro" w:hAnsi="Adobe Caslon Pro" w:cs="Arial"/>
          <w:b/>
          <w:bCs/>
          <w:spacing w:val="-4"/>
          <w:lang w:val="es-ES_tradnl"/>
        </w:rPr>
      </w:pPr>
      <w:r w:rsidRPr="009E30D1">
        <w:rPr>
          <w:rFonts w:ascii="Adobe Caslon Pro" w:hAnsi="Adobe Caslon Pro" w:cs="Arial"/>
          <w:b/>
          <w:bCs/>
          <w:spacing w:val="-4"/>
          <w:lang w:val="es-ES_tradnl"/>
        </w:rPr>
        <w:lastRenderedPageBreak/>
        <w:t>Gráfica 1</w:t>
      </w:r>
      <w:r w:rsidR="00F47935" w:rsidRPr="009E30D1">
        <w:rPr>
          <w:rFonts w:ascii="Adobe Caslon Pro" w:hAnsi="Adobe Caslon Pro" w:cs="Arial"/>
          <w:b/>
          <w:bCs/>
          <w:spacing w:val="-4"/>
          <w:lang w:val="es-ES_tradnl"/>
        </w:rPr>
        <w:t>1</w:t>
      </w:r>
      <w:r w:rsidRPr="009E30D1">
        <w:rPr>
          <w:rFonts w:ascii="Adobe Caslon Pro" w:hAnsi="Adobe Caslon Pro" w:cs="Arial"/>
          <w:b/>
          <w:bCs/>
          <w:spacing w:val="-4"/>
          <w:lang w:val="es-ES_tradnl"/>
        </w:rPr>
        <w:t>. Inci</w:t>
      </w:r>
      <w:r w:rsidR="00F47C9C" w:rsidRPr="009E30D1">
        <w:rPr>
          <w:rFonts w:ascii="Adobe Caslon Pro" w:hAnsi="Adobe Caslon Pro" w:cs="Arial"/>
          <w:b/>
          <w:bCs/>
          <w:spacing w:val="-4"/>
          <w:lang w:val="es-ES_tradnl"/>
        </w:rPr>
        <w:t>dencia de víctimas de violencia</w:t>
      </w:r>
    </w:p>
    <w:p w:rsidR="00F958F2" w:rsidRPr="009E30D1" w:rsidRDefault="00F47C9C" w:rsidP="00B85C0B">
      <w:pPr>
        <w:spacing w:after="120" w:line="240" w:lineRule="auto"/>
        <w:jc w:val="center"/>
        <w:rPr>
          <w:rFonts w:ascii="Adobe Caslon Pro" w:hAnsi="Adobe Caslon Pro" w:cs="Arial"/>
          <w:lang w:val="es-ES_tradnl"/>
        </w:rPr>
      </w:pPr>
      <w:r w:rsidRPr="009E30D1">
        <w:rPr>
          <w:rFonts w:ascii="Adobe Caslon Pro" w:hAnsi="Adobe Caslon Pro" w:cs="Arial"/>
          <w:b/>
          <w:bCs/>
          <w:spacing w:val="-4"/>
          <w:lang w:val="es-ES_tradnl"/>
        </w:rPr>
        <w:t>(</w:t>
      </w:r>
      <w:r w:rsidR="00F958F2" w:rsidRPr="009E30D1">
        <w:rPr>
          <w:rFonts w:ascii="Adobe Caslon Pro" w:hAnsi="Adobe Caslon Pro" w:cs="Arial"/>
          <w:b/>
          <w:bCs/>
          <w:spacing w:val="-4"/>
          <w:lang w:val="es-ES_tradnl"/>
        </w:rPr>
        <w:t xml:space="preserve"> </w:t>
      </w:r>
      <w:proofErr w:type="gramStart"/>
      <w:r w:rsidR="00F958F2" w:rsidRPr="009E30D1">
        <w:rPr>
          <w:rFonts w:ascii="Adobe Caslon Pro" w:hAnsi="Adobe Caslon Pro" w:cs="Arial"/>
          <w:b/>
          <w:bCs/>
          <w:spacing w:val="-4"/>
          <w:lang w:val="es-ES_tradnl"/>
        </w:rPr>
        <w:t>por</w:t>
      </w:r>
      <w:proofErr w:type="gramEnd"/>
      <w:r w:rsidR="00F958F2" w:rsidRPr="009E30D1">
        <w:rPr>
          <w:rFonts w:ascii="Adobe Caslon Pro" w:hAnsi="Adobe Caslon Pro" w:cs="Arial"/>
          <w:b/>
          <w:bCs/>
          <w:spacing w:val="-4"/>
          <w:lang w:val="es-ES_tradnl"/>
        </w:rPr>
        <w:t xml:space="preserve"> grupos de edad y tipo de violencia</w:t>
      </w:r>
      <w:r w:rsidRPr="009E30D1">
        <w:rPr>
          <w:rFonts w:ascii="Adobe Caslon Pro" w:hAnsi="Adobe Caslon Pro" w:cs="Arial"/>
          <w:b/>
          <w:bCs/>
          <w:spacing w:val="-4"/>
          <w:lang w:val="es-ES_tradnl"/>
        </w:rPr>
        <w:t>)</w:t>
      </w:r>
    </w:p>
    <w:p w:rsidR="00F958F2" w:rsidRPr="009E30D1" w:rsidRDefault="00F958F2" w:rsidP="00B85C0B">
      <w:pPr>
        <w:spacing w:after="120" w:line="240" w:lineRule="auto"/>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55DEC88E" wp14:editId="5EC0C9A6">
            <wp:extent cx="5667375" cy="31051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jc w:val="center"/>
        <w:rPr>
          <w:rFonts w:ascii="Adobe Caslon Pro" w:hAnsi="Adobe Caslon Pro" w:cs="Arial"/>
          <w:lang w:val="es-ES_tradnl"/>
        </w:rPr>
      </w:pPr>
    </w:p>
    <w:p w:rsidR="00F958F2" w:rsidRPr="009E30D1" w:rsidRDefault="00F958F2" w:rsidP="00B85C0B">
      <w:pPr>
        <w:spacing w:after="120" w:line="240" w:lineRule="auto"/>
        <w:jc w:val="both"/>
        <w:rPr>
          <w:rFonts w:ascii="Adobe Caslon Pro" w:hAnsi="Adobe Caslon Pro" w:cs="Arial"/>
          <w:b/>
          <w:lang w:val="es-ES_tradnl"/>
        </w:rPr>
      </w:pPr>
      <w:r w:rsidRPr="009E30D1">
        <w:rPr>
          <w:rFonts w:ascii="Adobe Caslon Pro" w:hAnsi="Adobe Caslon Pro" w:cs="Arial"/>
          <w:b/>
          <w:lang w:val="es-ES_tradnl"/>
        </w:rPr>
        <w:t>Nivel de Instrucción</w:t>
      </w:r>
    </w:p>
    <w:p w:rsidR="00B85C0B" w:rsidRPr="009E30D1" w:rsidRDefault="00F958F2" w:rsidP="00B85C0B">
      <w:pPr>
        <w:tabs>
          <w:tab w:val="left" w:pos="2992"/>
          <w:tab w:val="center" w:pos="4419"/>
        </w:tabs>
        <w:spacing w:after="120" w:line="240" w:lineRule="auto"/>
        <w:jc w:val="both"/>
        <w:rPr>
          <w:rFonts w:ascii="Adobe Caslon Pro" w:hAnsi="Adobe Caslon Pro" w:cs="Arial"/>
          <w:lang w:val="es-ES_tradnl"/>
        </w:rPr>
      </w:pPr>
      <w:r w:rsidRPr="009E30D1">
        <w:rPr>
          <w:rFonts w:ascii="Adobe Caslon Pro" w:hAnsi="Adobe Caslon Pro" w:cs="Arial"/>
          <w:lang w:val="es-ES_tradnl"/>
        </w:rPr>
        <w:t>En cuanto a mujeres mayores de 18 años que sufren de violencia, 8.4 millones (36.3%) no tiene instrucción o se encuentran en el nivel primaria completa o incompleta, y sólo 3.7 millones (16.2%) de ellas tienen nivel de instrucción superior y posgrado. Mientras que de las mujeres mayores de 18 años sin violencia, 7.2 millones (44.7%) tienen un nivel de instrucción mínimo, en comparación con las mujeres con violencia esta cantidad es mayor en términos absolutos. Asimismo, sólo 2.1 millones (13.2%) de mujeres sin violencia cuentan con un nivel instrucción superior y posgrado. De esta manera podemos ver que la violencia contra las mujeres se presenta en todos los niveles de instrucción (v</w:t>
      </w:r>
      <w:r w:rsidR="0028589A" w:rsidRPr="009E30D1">
        <w:rPr>
          <w:rFonts w:ascii="Adobe Caslon Pro" w:hAnsi="Adobe Caslon Pro" w:cs="Arial"/>
          <w:lang w:val="es-ES_tradnl"/>
        </w:rPr>
        <w:t>er gráfica 1</w:t>
      </w:r>
      <w:r w:rsidR="00F47935" w:rsidRPr="009E30D1">
        <w:rPr>
          <w:rFonts w:ascii="Adobe Caslon Pro" w:hAnsi="Adobe Caslon Pro" w:cs="Arial"/>
          <w:lang w:val="es-ES_tradnl"/>
        </w:rPr>
        <w:t>2</w:t>
      </w:r>
      <w:r w:rsidRPr="009E30D1">
        <w:rPr>
          <w:rFonts w:ascii="Adobe Caslon Pro" w:hAnsi="Adobe Caslon Pro" w:cs="Arial"/>
          <w:lang w:val="es-ES_tradnl"/>
        </w:rPr>
        <w:t>), sin emb</w:t>
      </w:r>
      <w:r w:rsidR="00B52185" w:rsidRPr="009E30D1">
        <w:rPr>
          <w:rFonts w:ascii="Adobe Caslon Pro" w:hAnsi="Adobe Caslon Pro" w:cs="Arial"/>
          <w:lang w:val="es-ES_tradnl"/>
        </w:rPr>
        <w:t>argo, el tipo de violencia</w:t>
      </w:r>
      <w:r w:rsidRPr="009E30D1">
        <w:rPr>
          <w:rFonts w:ascii="Adobe Caslon Pro" w:hAnsi="Adobe Caslon Pro" w:cs="Arial"/>
          <w:lang w:val="es-ES_tradnl"/>
        </w:rPr>
        <w:t xml:space="preserve"> que enfrentan puede ser diferente, como se muestra más adelante.</w:t>
      </w:r>
    </w:p>
    <w:p w:rsidR="00B85C0B" w:rsidRPr="009E30D1" w:rsidRDefault="00B85C0B">
      <w:pPr>
        <w:rPr>
          <w:rFonts w:ascii="Adobe Caslon Pro" w:hAnsi="Adobe Caslon Pro" w:cs="Arial"/>
          <w:lang w:val="es-ES_tradnl"/>
        </w:rPr>
      </w:pPr>
      <w:r w:rsidRPr="009E30D1">
        <w:rPr>
          <w:rFonts w:ascii="Adobe Caslon Pro" w:hAnsi="Adobe Caslon Pro" w:cs="Arial"/>
          <w:lang w:val="es-ES_tradnl"/>
        </w:rPr>
        <w:br w:type="page"/>
      </w:r>
    </w:p>
    <w:p w:rsidR="00F958F2" w:rsidRPr="009E30D1" w:rsidRDefault="00F958F2" w:rsidP="00B85C0B">
      <w:pPr>
        <w:tabs>
          <w:tab w:val="left" w:pos="2992"/>
          <w:tab w:val="center" w:pos="4419"/>
        </w:tabs>
        <w:spacing w:after="120" w:line="240" w:lineRule="auto"/>
        <w:jc w:val="both"/>
        <w:rPr>
          <w:rFonts w:ascii="Adobe Caslon Pro" w:hAnsi="Adobe Caslon Pro" w:cs="Arial"/>
          <w:lang w:val="es-ES_tradnl"/>
        </w:rPr>
      </w:pPr>
    </w:p>
    <w:p w:rsidR="00F958F2" w:rsidRPr="009E30D1" w:rsidRDefault="00F958F2"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w:t>
      </w:r>
      <w:r w:rsidR="00F47C9C" w:rsidRPr="009E30D1">
        <w:rPr>
          <w:rFonts w:ascii="Adobe Caslon Pro" w:hAnsi="Adobe Caslon Pro" w:cs="Arial"/>
          <w:b/>
          <w:lang w:val="es-ES_tradnl"/>
        </w:rPr>
        <w:t>ráfica 1</w:t>
      </w:r>
      <w:r w:rsidR="00F47935" w:rsidRPr="009E30D1">
        <w:rPr>
          <w:rFonts w:ascii="Adobe Caslon Pro" w:hAnsi="Adobe Caslon Pro" w:cs="Arial"/>
          <w:b/>
          <w:lang w:val="es-ES_tradnl"/>
        </w:rPr>
        <w:t>2</w:t>
      </w:r>
      <w:r w:rsidRPr="009E30D1">
        <w:rPr>
          <w:rFonts w:ascii="Adobe Caslon Pro" w:hAnsi="Adobe Caslon Pro" w:cs="Arial"/>
          <w:b/>
          <w:lang w:val="es-ES_tradnl"/>
        </w:rPr>
        <w:t>. Distribución porcentual de las mujeres mayores de 18 años con y sin violencia</w:t>
      </w:r>
    </w:p>
    <w:p w:rsidR="00F958F2" w:rsidRPr="009E30D1" w:rsidRDefault="00F958F2" w:rsidP="00B85C0B">
      <w:pPr>
        <w:spacing w:after="120" w:line="240" w:lineRule="auto"/>
        <w:contextualSpacing/>
        <w:jc w:val="center"/>
        <w:rPr>
          <w:rFonts w:ascii="Adobe Caslon Pro" w:hAnsi="Adobe Caslon Pro"/>
          <w:lang w:val="es-ES_tradnl"/>
        </w:rPr>
      </w:pPr>
      <w:r w:rsidRPr="009E30D1">
        <w:rPr>
          <w:rFonts w:ascii="Adobe Caslon Pro" w:hAnsi="Adobe Caslon Pro" w:cs="Arial"/>
          <w:b/>
          <w:lang w:val="es-ES_tradnl"/>
        </w:rPr>
        <w:t>(</w:t>
      </w:r>
      <w:proofErr w:type="gramStart"/>
      <w:r w:rsidR="00F47C9C"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nivel de instrucción)</w:t>
      </w:r>
      <w:r w:rsidRPr="009E30D1">
        <w:rPr>
          <w:rFonts w:ascii="Adobe Caslon Pro" w:hAnsi="Adobe Caslon Pro"/>
          <w:lang w:val="es-ES_tradnl"/>
        </w:rPr>
        <w:t xml:space="preserve"> </w:t>
      </w:r>
    </w:p>
    <w:p w:rsidR="00F958F2" w:rsidRPr="009E30D1" w:rsidRDefault="00F958F2" w:rsidP="00B85C0B">
      <w:pPr>
        <w:spacing w:after="120" w:line="240" w:lineRule="auto"/>
        <w:contextualSpacing/>
        <w:jc w:val="center"/>
        <w:rPr>
          <w:rFonts w:ascii="Adobe Caslon Pro" w:hAnsi="Adobe Caslon Pro"/>
          <w:lang w:val="es-ES_tradnl"/>
        </w:rPr>
      </w:pPr>
      <w:r w:rsidRPr="009E30D1">
        <w:rPr>
          <w:rFonts w:ascii="Adobe Caslon Pro" w:hAnsi="Adobe Caslon Pro"/>
          <w:noProof/>
          <w:lang w:eastAsia="es-MX"/>
        </w:rPr>
        <w:drawing>
          <wp:inline distT="0" distB="0" distL="0" distR="0" wp14:anchorId="2504CBE2" wp14:editId="440E6A21">
            <wp:extent cx="4913906" cy="2663687"/>
            <wp:effectExtent l="0" t="0" r="20320" b="22860"/>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 xml:space="preserve">Las mujeres en situación de violencia sin instrucción, con primaria incompleta y completa, sufren con mayor ocurrencia la violencia física y económica; asimismo, la violencia emocional y sexual la sufren con mayor frecuencia las mujeres con instrucción secundaria </w:t>
      </w:r>
      <w:r w:rsidR="00F47C9C" w:rsidRPr="009E30D1">
        <w:rPr>
          <w:rFonts w:ascii="Adobe Caslon Pro" w:hAnsi="Adobe Caslon Pro" w:cs="Arial"/>
          <w:lang w:val="es-ES_tradnl"/>
        </w:rPr>
        <w:t xml:space="preserve">y media superior (ver gráfica </w:t>
      </w:r>
      <w:r w:rsidR="00F47935" w:rsidRPr="009E30D1">
        <w:rPr>
          <w:rFonts w:ascii="Adobe Caslon Pro" w:hAnsi="Adobe Caslon Pro" w:cs="Arial"/>
          <w:lang w:val="es-ES_tradnl"/>
        </w:rPr>
        <w:t>13</w:t>
      </w:r>
      <w:r w:rsidRPr="009E30D1">
        <w:rPr>
          <w:rFonts w:ascii="Adobe Caslon Pro" w:hAnsi="Adobe Caslon Pro" w:cs="Arial"/>
          <w:lang w:val="es-ES_tradnl"/>
        </w:rPr>
        <w:t xml:space="preserve">). </w:t>
      </w:r>
    </w:p>
    <w:p w:rsidR="00EE0143" w:rsidRPr="009E30D1" w:rsidRDefault="00EE0143" w:rsidP="00B85C0B">
      <w:pPr>
        <w:spacing w:after="120" w:line="240" w:lineRule="auto"/>
        <w:jc w:val="both"/>
        <w:rPr>
          <w:rFonts w:ascii="Adobe Caslon Pro" w:hAnsi="Adobe Caslon Pro" w:cs="Arial"/>
          <w:lang w:val="es-ES_tradnl"/>
        </w:rPr>
      </w:pPr>
    </w:p>
    <w:p w:rsidR="00F958F2" w:rsidRPr="009E30D1" w:rsidRDefault="00F47935"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Gráfica 13</w:t>
      </w:r>
      <w:r w:rsidR="00F958F2" w:rsidRPr="009E30D1">
        <w:rPr>
          <w:rFonts w:ascii="Adobe Caslon Pro" w:hAnsi="Adobe Caslon Pro" w:cs="Arial"/>
          <w:b/>
          <w:lang w:val="es-ES_tradnl"/>
        </w:rPr>
        <w:t>. Distribución porcentual de las mujeres mayores de 18 años en la población objetivo</w:t>
      </w:r>
    </w:p>
    <w:p w:rsidR="00F958F2" w:rsidRPr="009E30D1" w:rsidRDefault="00F958F2" w:rsidP="00B85C0B">
      <w:pPr>
        <w:spacing w:after="120" w:line="240" w:lineRule="auto"/>
        <w:contextualSpacing/>
        <w:jc w:val="center"/>
        <w:rPr>
          <w:rFonts w:ascii="Adobe Caslon Pro" w:hAnsi="Adobe Caslon Pro" w:cs="Arial"/>
          <w:vertAlign w:val="superscript"/>
          <w:lang w:val="es-ES_tradnl"/>
        </w:rPr>
      </w:pPr>
      <w:r w:rsidRPr="009E30D1">
        <w:rPr>
          <w:rFonts w:ascii="Adobe Caslon Pro" w:hAnsi="Adobe Caslon Pro" w:cs="Arial"/>
          <w:b/>
          <w:lang w:val="es-ES_tradnl"/>
        </w:rPr>
        <w:t>(</w:t>
      </w:r>
      <w:proofErr w:type="gramStart"/>
      <w:r w:rsidR="008E413D"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nivel de instrucción y tipo de violencia)</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780A4356" wp14:editId="3CC621CB">
            <wp:extent cx="4694829" cy="2122227"/>
            <wp:effectExtent l="0" t="0" r="10795" b="11430"/>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B52185"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 xml:space="preserve"> </w:t>
      </w:r>
      <w:r w:rsidR="00F958F2" w:rsidRPr="009E30D1">
        <w:rPr>
          <w:rFonts w:ascii="Adobe Caslon Pro" w:hAnsi="Adobe Caslon Pro" w:cs="Arial"/>
          <w:i/>
          <w:sz w:val="18"/>
          <w:szCs w:val="18"/>
          <w:lang w:val="es-ES_tradnl"/>
        </w:rPr>
        <w:t>Nota a/</w:t>
      </w:r>
      <w:r w:rsidR="009051CC" w:rsidRPr="009E30D1">
        <w:rPr>
          <w:rFonts w:ascii="Adobe Caslon Pro" w:hAnsi="Adobe Caslon Pro" w:cs="Arial"/>
          <w:i/>
          <w:sz w:val="18"/>
          <w:szCs w:val="18"/>
          <w:lang w:val="es-ES_tradnl"/>
        </w:rPr>
        <w:t xml:space="preserve"> </w:t>
      </w:r>
      <w:r w:rsidR="00F958F2" w:rsidRPr="009E30D1">
        <w:rPr>
          <w:rFonts w:ascii="Adobe Caslon Pro" w:hAnsi="Adobe Caslon Pro" w:cs="Arial"/>
          <w:i/>
          <w:sz w:val="18"/>
          <w:szCs w:val="18"/>
          <w:lang w:val="es-ES_tradnl"/>
        </w:rPr>
        <w:t>Las mujeres de</w:t>
      </w:r>
      <w:r w:rsidRPr="009E30D1">
        <w:rPr>
          <w:rFonts w:ascii="Adobe Caslon Pro" w:hAnsi="Adobe Caslon Pro" w:cs="Arial"/>
          <w:i/>
          <w:sz w:val="18"/>
          <w:szCs w:val="18"/>
          <w:lang w:val="es-ES_tradnl"/>
        </w:rPr>
        <w:t xml:space="preserve"> </w:t>
      </w:r>
      <w:r w:rsidR="00F958F2" w:rsidRPr="009E30D1">
        <w:rPr>
          <w:rFonts w:ascii="Adobe Caslon Pro" w:hAnsi="Adobe Caslon Pro" w:cs="Arial"/>
          <w:i/>
          <w:sz w:val="18"/>
          <w:szCs w:val="18"/>
          <w:lang w:val="es-ES_tradnl"/>
        </w:rPr>
        <w:t>15 a 17 años no tienen edad para haber cursado la educación superior de posgrado, por lo que no se les consideró en este cálculo.</w:t>
      </w:r>
    </w:p>
    <w:p w:rsidR="00F958F2" w:rsidRPr="009E30D1" w:rsidRDefault="00F958F2" w:rsidP="00B85C0B">
      <w:pPr>
        <w:spacing w:after="120" w:line="240" w:lineRule="auto"/>
        <w:jc w:val="center"/>
        <w:rPr>
          <w:rFonts w:ascii="Adobe Caslon Pro" w:hAnsi="Adobe Caslon Pro" w:cs="Arial"/>
          <w:lang w:val="es-ES_tradnl"/>
        </w:rPr>
      </w:pPr>
    </w:p>
    <w:p w:rsidR="00F958F2" w:rsidRPr="009E30D1" w:rsidRDefault="00F958F2" w:rsidP="00B85C0B">
      <w:pPr>
        <w:spacing w:after="120" w:line="240" w:lineRule="auto"/>
        <w:jc w:val="both"/>
        <w:rPr>
          <w:rFonts w:ascii="Adobe Caslon Pro" w:hAnsi="Adobe Caslon Pro" w:cs="Arial"/>
          <w:b/>
          <w:lang w:val="es-ES_tradnl"/>
        </w:rPr>
      </w:pPr>
      <w:r w:rsidRPr="009E30D1">
        <w:rPr>
          <w:rFonts w:ascii="Adobe Caslon Pro" w:hAnsi="Adobe Caslon Pro" w:cs="Arial"/>
          <w:b/>
          <w:lang w:val="es-ES_tradnl"/>
        </w:rPr>
        <w:br w:type="page"/>
      </w:r>
      <w:r w:rsidRPr="009E30D1">
        <w:rPr>
          <w:rFonts w:ascii="Adobe Caslon Pro" w:hAnsi="Adobe Caslon Pro" w:cs="Arial"/>
          <w:b/>
          <w:lang w:val="es-ES_tradnl"/>
        </w:rPr>
        <w:lastRenderedPageBreak/>
        <w:t>Condición de actividad</w:t>
      </w:r>
    </w:p>
    <w:p w:rsidR="00EE0143" w:rsidRPr="009E30D1" w:rsidRDefault="00F958F2" w:rsidP="00B85C0B">
      <w:pPr>
        <w:tabs>
          <w:tab w:val="left" w:pos="2992"/>
          <w:tab w:val="center" w:pos="4419"/>
        </w:tabs>
        <w:spacing w:after="120" w:line="240" w:lineRule="auto"/>
        <w:jc w:val="both"/>
        <w:rPr>
          <w:rFonts w:ascii="Adobe Caslon Pro" w:hAnsi="Adobe Caslon Pro" w:cs="Arial"/>
          <w:lang w:val="es-ES_tradnl"/>
        </w:rPr>
      </w:pPr>
      <w:r w:rsidRPr="009E30D1">
        <w:rPr>
          <w:rFonts w:ascii="Adobe Caslon Pro" w:hAnsi="Adobe Caslon Pro" w:cs="Arial"/>
          <w:lang w:val="es-ES_tradnl"/>
        </w:rPr>
        <w:t>De las 24.9 millones de mujeres pertenecientes a la población objetivo, 10.4 millones (41.8%) se dedican de tiempo completo a los quehaceres del hogar y 11.6 millones (46.7%) son activas económicamente; sin embargo, de las 17.7 millones de mujeres no violentadas, 8.7 millones (49.4%) se encuentran dedicadas al hogar, mientras que 6.6 millones (37.5%) realizan alguna actividad económica (ver g</w:t>
      </w:r>
      <w:r w:rsidR="00F47935" w:rsidRPr="009E30D1">
        <w:rPr>
          <w:rFonts w:ascii="Adobe Caslon Pro" w:hAnsi="Adobe Caslon Pro" w:cs="Arial"/>
          <w:lang w:val="es-ES_tradnl"/>
        </w:rPr>
        <w:t>ráfica 14</w:t>
      </w:r>
      <w:r w:rsidRPr="009E30D1">
        <w:rPr>
          <w:rFonts w:ascii="Adobe Caslon Pro" w:hAnsi="Adobe Caslon Pro" w:cs="Arial"/>
          <w:lang w:val="es-ES_tradnl"/>
        </w:rPr>
        <w:t>).</w:t>
      </w:r>
    </w:p>
    <w:p w:rsidR="00F958F2" w:rsidRPr="009E30D1" w:rsidRDefault="00F958F2"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Gráfica 1</w:t>
      </w:r>
      <w:r w:rsidR="00F47935" w:rsidRPr="009E30D1">
        <w:rPr>
          <w:rFonts w:ascii="Adobe Caslon Pro" w:hAnsi="Adobe Caslon Pro" w:cs="Arial"/>
          <w:b/>
          <w:lang w:val="es-ES_tradnl"/>
        </w:rPr>
        <w:t>4</w:t>
      </w:r>
      <w:r w:rsidRPr="009E30D1">
        <w:rPr>
          <w:rFonts w:ascii="Adobe Caslon Pro" w:hAnsi="Adobe Caslon Pro" w:cs="Arial"/>
          <w:b/>
          <w:lang w:val="es-ES_tradnl"/>
        </w:rPr>
        <w:t xml:space="preserve">. Distribución porcentual de las mujeres </w:t>
      </w:r>
      <w:r w:rsidR="00E04944" w:rsidRPr="009E30D1">
        <w:rPr>
          <w:rFonts w:ascii="Adobe Caslon Pro" w:hAnsi="Adobe Caslon Pro" w:cs="Arial"/>
          <w:b/>
          <w:lang w:val="es-ES_tradnl"/>
        </w:rPr>
        <w:t>según situación de violencia</w:t>
      </w:r>
      <w:r w:rsidRPr="009E30D1">
        <w:rPr>
          <w:rFonts w:ascii="Adobe Caslon Pro" w:hAnsi="Adobe Caslon Pro" w:cs="Arial"/>
          <w:b/>
          <w:lang w:val="es-ES_tradnl"/>
        </w:rPr>
        <w:t xml:space="preserve"> </w:t>
      </w:r>
    </w:p>
    <w:p w:rsidR="00F958F2" w:rsidRPr="009E30D1" w:rsidRDefault="00F958F2"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w:t>
      </w:r>
      <w:proofErr w:type="gramStart"/>
      <w:r w:rsidR="00E04944"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condición de actividad)</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180B43C9" wp14:editId="03344419">
            <wp:extent cx="4572000" cy="2552369"/>
            <wp:effectExtent l="0" t="0" r="19050" b="19685"/>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4C1828" w:rsidRPr="009E30D1" w:rsidRDefault="004C1828" w:rsidP="00B85C0B">
      <w:pPr>
        <w:spacing w:after="120" w:line="240" w:lineRule="auto"/>
        <w:contextualSpacing/>
        <w:jc w:val="center"/>
        <w:rPr>
          <w:rFonts w:ascii="Adobe Caslon Pro" w:hAnsi="Adobe Caslon Pro" w:cs="Arial"/>
          <w:i/>
          <w:sz w:val="18"/>
          <w:szCs w:val="18"/>
          <w:lang w:val="es-ES_tradnl"/>
        </w:rPr>
      </w:pPr>
    </w:p>
    <w:p w:rsidR="00F958F2"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Las mujeres económicamente activas en situación de violencia presentan igual o mayor proporción de violencia sexual, física y emocional, en contraste con las mujeres dedicadas al hogar, quienes sufren en mayor medida de violencia económica, aunque los porcentajes de los restantes tipos de violencia son considerables, debido a que superan el 4</w:t>
      </w:r>
      <w:r w:rsidR="004C1828" w:rsidRPr="009E30D1">
        <w:rPr>
          <w:rFonts w:ascii="Adobe Caslon Pro" w:hAnsi="Adobe Caslon Pro" w:cs="Arial"/>
          <w:lang w:val="es-ES_tradnl"/>
        </w:rPr>
        <w:t xml:space="preserve">0% de </w:t>
      </w:r>
      <w:r w:rsidR="00F47935" w:rsidRPr="009E30D1">
        <w:rPr>
          <w:rFonts w:ascii="Adobe Caslon Pro" w:hAnsi="Adobe Caslon Pro" w:cs="Arial"/>
          <w:lang w:val="es-ES_tradnl"/>
        </w:rPr>
        <w:t>incidencia (ver gráfica 15</w:t>
      </w:r>
      <w:r w:rsidRPr="009E30D1">
        <w:rPr>
          <w:rFonts w:ascii="Adobe Caslon Pro" w:hAnsi="Adobe Caslon Pro" w:cs="Arial"/>
          <w:lang w:val="es-ES_tradnl"/>
        </w:rPr>
        <w:t xml:space="preserve">). </w:t>
      </w:r>
    </w:p>
    <w:p w:rsidR="00B85C0B" w:rsidRPr="009E30D1" w:rsidRDefault="00B85C0B">
      <w:pPr>
        <w:rPr>
          <w:rFonts w:ascii="Adobe Caslon Pro" w:hAnsi="Adobe Caslon Pro" w:cs="Arial"/>
          <w:b/>
          <w:lang w:val="es-ES_tradnl"/>
        </w:rPr>
      </w:pPr>
      <w:r w:rsidRPr="009E30D1">
        <w:rPr>
          <w:rFonts w:ascii="Adobe Caslon Pro" w:hAnsi="Adobe Caslon Pro" w:cs="Arial"/>
          <w:b/>
          <w:lang w:val="es-ES_tradnl"/>
        </w:rPr>
        <w:br w:type="page"/>
      </w:r>
    </w:p>
    <w:p w:rsidR="00EE0143" w:rsidRPr="009E30D1" w:rsidRDefault="00EE0143" w:rsidP="00B85C0B">
      <w:pPr>
        <w:spacing w:after="120" w:line="240" w:lineRule="auto"/>
        <w:jc w:val="both"/>
        <w:rPr>
          <w:rFonts w:ascii="Adobe Caslon Pro" w:hAnsi="Adobe Caslon Pro" w:cs="Arial"/>
          <w:b/>
          <w:lang w:val="es-ES_tradnl"/>
        </w:rPr>
      </w:pPr>
    </w:p>
    <w:p w:rsidR="00F958F2" w:rsidRPr="009E30D1" w:rsidRDefault="0028589A"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Gráfica 1</w:t>
      </w:r>
      <w:r w:rsidR="00F47935" w:rsidRPr="009E30D1">
        <w:rPr>
          <w:rFonts w:ascii="Adobe Caslon Pro" w:hAnsi="Adobe Caslon Pro" w:cs="Arial"/>
          <w:b/>
          <w:lang w:val="es-ES_tradnl"/>
        </w:rPr>
        <w:t>5</w:t>
      </w:r>
      <w:r w:rsidR="00F958F2" w:rsidRPr="009E30D1">
        <w:rPr>
          <w:rFonts w:ascii="Adobe Caslon Pro" w:hAnsi="Adobe Caslon Pro" w:cs="Arial"/>
          <w:lang w:val="es-ES_tradnl"/>
        </w:rPr>
        <w:t xml:space="preserve">. </w:t>
      </w:r>
      <w:r w:rsidR="00F958F2" w:rsidRPr="009E30D1">
        <w:rPr>
          <w:rFonts w:ascii="Adobe Caslon Pro" w:hAnsi="Adobe Caslon Pro" w:cs="Arial"/>
          <w:b/>
          <w:lang w:val="es-ES_tradnl"/>
        </w:rPr>
        <w:t xml:space="preserve">Distribución porcentual de las mujeres </w:t>
      </w:r>
      <w:r w:rsidR="00E04944" w:rsidRPr="009E30D1">
        <w:rPr>
          <w:rFonts w:ascii="Adobe Caslon Pro" w:hAnsi="Adobe Caslon Pro" w:cs="Arial"/>
          <w:b/>
          <w:lang w:val="es-ES_tradnl"/>
        </w:rPr>
        <w:t>según</w:t>
      </w:r>
      <w:r w:rsidR="00F958F2" w:rsidRPr="009E30D1">
        <w:rPr>
          <w:rFonts w:ascii="Adobe Caslon Pro" w:hAnsi="Adobe Caslon Pro" w:cs="Arial"/>
          <w:b/>
          <w:lang w:val="es-ES_tradnl"/>
        </w:rPr>
        <w:t xml:space="preserve"> situación de violencia </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cs="Arial"/>
          <w:b/>
          <w:lang w:val="es-ES_tradnl"/>
        </w:rPr>
        <w:t>(</w:t>
      </w:r>
      <w:proofErr w:type="gramStart"/>
      <w:r w:rsidR="00F47C9C"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condición de actividad y tipo</w:t>
      </w:r>
      <w:r w:rsidRPr="009E30D1">
        <w:rPr>
          <w:rFonts w:ascii="Adobe Caslon Pro" w:hAnsi="Adobe Caslon Pro"/>
          <w:b/>
          <w:lang w:val="es-ES_tradnl"/>
        </w:rPr>
        <w:t xml:space="preserve"> </w:t>
      </w:r>
      <w:r w:rsidRPr="009E30D1">
        <w:rPr>
          <w:rFonts w:ascii="Adobe Caslon Pro" w:hAnsi="Adobe Caslon Pro" w:cs="Arial"/>
          <w:b/>
          <w:lang w:val="es-ES_tradnl"/>
        </w:rPr>
        <w:t>de violencia)</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072530E7" wp14:editId="38D1BBC7">
            <wp:extent cx="4335517" cy="2963917"/>
            <wp:effectExtent l="0" t="0" r="27305" b="2730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De los 12 millones de mujeres pertenecientes a la población objetivo con actividad económica, 7.4 millones son empleadas u obreras, mientras que sólo 0.3 millones son patronas, empresarias, jornaleras o peonas. En las mujeres no violentadas que realizan alguna actividad económica, los porcent</w:t>
      </w:r>
      <w:r w:rsidR="00F47935" w:rsidRPr="009E30D1">
        <w:rPr>
          <w:rFonts w:ascii="Adobe Caslon Pro" w:hAnsi="Adobe Caslon Pro" w:cs="Arial"/>
          <w:lang w:val="es-ES_tradnl"/>
        </w:rPr>
        <w:t>ajes son mayores (ver gráfica 16</w:t>
      </w:r>
      <w:r w:rsidRPr="009E30D1">
        <w:rPr>
          <w:rFonts w:ascii="Adobe Caslon Pro" w:hAnsi="Adobe Caslon Pro" w:cs="Arial"/>
          <w:lang w:val="es-ES_tradnl"/>
        </w:rPr>
        <w:t>).</w:t>
      </w:r>
    </w:p>
    <w:p w:rsidR="00F958F2" w:rsidRPr="009E30D1" w:rsidRDefault="00F47935" w:rsidP="00D12115">
      <w:pPr>
        <w:spacing w:after="0"/>
        <w:contextualSpacing/>
        <w:jc w:val="center"/>
        <w:rPr>
          <w:rFonts w:ascii="Adobe Caslon Pro" w:hAnsi="Adobe Caslon Pro" w:cs="Arial"/>
          <w:b/>
          <w:spacing w:val="-4"/>
          <w:lang w:val="es-ES_tradnl"/>
        </w:rPr>
      </w:pPr>
      <w:r w:rsidRPr="009E30D1">
        <w:rPr>
          <w:rFonts w:ascii="Adobe Caslon Pro" w:hAnsi="Adobe Caslon Pro" w:cs="Arial"/>
          <w:b/>
          <w:spacing w:val="-4"/>
          <w:lang w:val="es-ES_tradnl"/>
        </w:rPr>
        <w:t>Gráfica 16</w:t>
      </w:r>
      <w:r w:rsidR="00F958F2" w:rsidRPr="009E30D1">
        <w:rPr>
          <w:rFonts w:ascii="Adobe Caslon Pro" w:hAnsi="Adobe Caslon Pro" w:cs="Arial"/>
          <w:b/>
          <w:spacing w:val="-4"/>
          <w:lang w:val="es-ES_tradnl"/>
        </w:rPr>
        <w:t xml:space="preserve">. Distribución porcentual de las mujeres </w:t>
      </w:r>
      <w:r w:rsidR="00E04944" w:rsidRPr="009E30D1">
        <w:rPr>
          <w:rFonts w:ascii="Adobe Caslon Pro" w:hAnsi="Adobe Caslon Pro" w:cs="Arial"/>
          <w:b/>
          <w:spacing w:val="-4"/>
          <w:lang w:val="es-ES_tradnl"/>
        </w:rPr>
        <w:t>según situación de violencia</w:t>
      </w:r>
    </w:p>
    <w:p w:rsidR="00F958F2" w:rsidRPr="009E30D1" w:rsidRDefault="00F958F2" w:rsidP="00D12115">
      <w:pPr>
        <w:spacing w:after="0" w:line="240" w:lineRule="auto"/>
        <w:contextualSpacing/>
        <w:jc w:val="center"/>
        <w:rPr>
          <w:rFonts w:ascii="Adobe Caslon Pro" w:hAnsi="Adobe Caslon Pro" w:cs="Arial"/>
          <w:spacing w:val="-4"/>
          <w:lang w:val="es-ES_tradnl"/>
        </w:rPr>
      </w:pPr>
      <w:r w:rsidRPr="009E30D1">
        <w:rPr>
          <w:rFonts w:ascii="Adobe Caslon Pro" w:hAnsi="Adobe Caslon Pro" w:cs="Arial"/>
          <w:b/>
          <w:spacing w:val="-4"/>
          <w:lang w:val="es-ES_tradnl"/>
        </w:rPr>
        <w:t>(</w:t>
      </w:r>
      <w:proofErr w:type="gramStart"/>
      <w:r w:rsidR="00E04944" w:rsidRPr="009E30D1">
        <w:rPr>
          <w:rFonts w:ascii="Adobe Caslon Pro" w:hAnsi="Adobe Caslon Pro" w:cs="Arial"/>
          <w:b/>
          <w:spacing w:val="-4"/>
          <w:lang w:val="es-ES_tradnl"/>
        </w:rPr>
        <w:t>por</w:t>
      </w:r>
      <w:proofErr w:type="gramEnd"/>
      <w:r w:rsidRPr="009E30D1">
        <w:rPr>
          <w:rFonts w:ascii="Adobe Caslon Pro" w:hAnsi="Adobe Caslon Pro" w:cs="Arial"/>
          <w:b/>
          <w:spacing w:val="-4"/>
          <w:lang w:val="es-ES_tradnl"/>
        </w:rPr>
        <w:t xml:space="preserve"> condición de la ocupación en el trabajo)</w:t>
      </w:r>
    </w:p>
    <w:p w:rsidR="00F958F2" w:rsidRPr="009E30D1" w:rsidRDefault="00F958F2" w:rsidP="00D12115">
      <w:pPr>
        <w:spacing w:after="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611D920E" wp14:editId="46790CA9">
            <wp:extent cx="3889612" cy="2763672"/>
            <wp:effectExtent l="0" t="0" r="15875" b="17780"/>
            <wp:docPr id="24" name="Gráfico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958F2" w:rsidRPr="009E30D1" w:rsidRDefault="00F958F2" w:rsidP="00D12115">
      <w:pPr>
        <w:spacing w:after="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B85C0B" w:rsidRPr="009E30D1" w:rsidRDefault="00B85C0B" w:rsidP="00B85C0B">
      <w:pPr>
        <w:spacing w:after="120" w:line="240" w:lineRule="auto"/>
        <w:contextualSpacing/>
        <w:jc w:val="center"/>
        <w:rPr>
          <w:rFonts w:ascii="Adobe Caslon Pro" w:hAnsi="Adobe Caslon Pro" w:cs="Arial"/>
          <w:i/>
          <w:sz w:val="18"/>
          <w:szCs w:val="18"/>
          <w:lang w:val="es-ES_tradnl"/>
        </w:rPr>
      </w:pPr>
    </w:p>
    <w:p w:rsidR="00F958F2"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Las mujeres en situación de violencia que son empleadas u obreras sufren en mayor proporción violencia (en sus diferentes tipos); en contraste, las mujeres que sufren menos violencia son las patronas, las empresarias, las jornaleras o las peonas, lo c</w:t>
      </w:r>
      <w:r w:rsidR="004C1828" w:rsidRPr="009E30D1">
        <w:rPr>
          <w:rFonts w:ascii="Adobe Caslon Pro" w:hAnsi="Adobe Caslon Pro" w:cs="Arial"/>
          <w:lang w:val="es-ES_tradnl"/>
        </w:rPr>
        <w:t xml:space="preserve">ual se evidencia en la </w:t>
      </w:r>
      <w:r w:rsidR="00F47935" w:rsidRPr="009E30D1">
        <w:rPr>
          <w:rFonts w:ascii="Adobe Caslon Pro" w:hAnsi="Adobe Caslon Pro" w:cs="Arial"/>
          <w:lang w:val="es-ES_tradnl"/>
        </w:rPr>
        <w:t>gráfica 17</w:t>
      </w:r>
      <w:r w:rsidRPr="009E30D1">
        <w:rPr>
          <w:rFonts w:ascii="Adobe Caslon Pro" w:hAnsi="Adobe Caslon Pro" w:cs="Arial"/>
          <w:lang w:val="es-ES_tradnl"/>
        </w:rPr>
        <w:t>.</w:t>
      </w:r>
    </w:p>
    <w:p w:rsidR="00B85C0B" w:rsidRPr="009E30D1" w:rsidRDefault="00B85C0B" w:rsidP="00B85C0B">
      <w:pPr>
        <w:spacing w:after="120" w:line="240" w:lineRule="auto"/>
        <w:jc w:val="both"/>
        <w:rPr>
          <w:rFonts w:ascii="Adobe Caslon Pro" w:hAnsi="Adobe Caslon Pro" w:cs="Arial"/>
          <w:lang w:val="es-ES_tradnl"/>
        </w:rPr>
      </w:pPr>
    </w:p>
    <w:p w:rsidR="00F958F2" w:rsidRPr="009E30D1" w:rsidRDefault="00F958F2"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 xml:space="preserve">Gráfica </w:t>
      </w:r>
      <w:r w:rsidR="00F47935" w:rsidRPr="009E30D1">
        <w:rPr>
          <w:rFonts w:ascii="Adobe Caslon Pro" w:hAnsi="Adobe Caslon Pro" w:cs="Arial"/>
          <w:b/>
          <w:lang w:val="es-ES_tradnl"/>
        </w:rPr>
        <w:t>17</w:t>
      </w:r>
      <w:r w:rsidRPr="009E30D1">
        <w:rPr>
          <w:rFonts w:ascii="Adobe Caslon Pro" w:hAnsi="Adobe Caslon Pro" w:cs="Arial"/>
          <w:b/>
          <w:lang w:val="es-ES_tradnl"/>
        </w:rPr>
        <w:t xml:space="preserve">. Distribución porcentual de las mujeres </w:t>
      </w:r>
      <w:r w:rsidR="00E04944" w:rsidRPr="009E30D1">
        <w:rPr>
          <w:rFonts w:ascii="Adobe Caslon Pro" w:hAnsi="Adobe Caslon Pro" w:cs="Arial"/>
          <w:b/>
          <w:lang w:val="es-ES_tradnl"/>
        </w:rPr>
        <w:t>en</w:t>
      </w:r>
      <w:r w:rsidRPr="009E30D1">
        <w:rPr>
          <w:rFonts w:ascii="Adobe Caslon Pro" w:hAnsi="Adobe Caslon Pro" w:cs="Arial"/>
          <w:b/>
          <w:lang w:val="es-ES_tradnl"/>
        </w:rPr>
        <w:t xml:space="preserve"> situación de violencia</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cs="Arial"/>
          <w:b/>
          <w:lang w:val="es-ES_tradnl"/>
        </w:rPr>
        <w:t>(</w:t>
      </w:r>
      <w:proofErr w:type="gramStart"/>
      <w:r w:rsidR="00E04944"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su ocupación en el trabajo y tipo de violencia)</w:t>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noProof/>
          <w:lang w:eastAsia="es-MX"/>
        </w:rPr>
        <w:drawing>
          <wp:inline distT="0" distB="0" distL="0" distR="0" wp14:anchorId="2CE7869D" wp14:editId="4923F8FF">
            <wp:extent cx="4183039" cy="2511189"/>
            <wp:effectExtent l="0" t="0" r="27305" b="22860"/>
            <wp:docPr id="233" name="Gráfico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cs="Arial"/>
          <w:i/>
          <w:sz w:val="18"/>
          <w:szCs w:val="18"/>
          <w:lang w:val="es-ES_tradnl"/>
        </w:rPr>
        <w:t>Fuente: Elaboración propia con datos de la ENDIREH 2011, INEGI.</w:t>
      </w:r>
    </w:p>
    <w:p w:rsidR="00F958F2" w:rsidRPr="009E30D1" w:rsidRDefault="00F958F2" w:rsidP="00B85C0B">
      <w:pPr>
        <w:spacing w:after="120" w:line="240" w:lineRule="auto"/>
        <w:rPr>
          <w:rFonts w:ascii="Adobe Caslon Pro" w:hAnsi="Adobe Caslon Pro" w:cs="Arial"/>
          <w:lang w:val="es-ES_tradnl"/>
        </w:rPr>
      </w:pPr>
      <w:r w:rsidRPr="009E30D1">
        <w:rPr>
          <w:rFonts w:ascii="Adobe Caslon Pro" w:hAnsi="Adobe Caslon Pro" w:cs="Arial"/>
          <w:b/>
          <w:lang w:val="es-ES_tradnl"/>
        </w:rPr>
        <w:t>Ingresos por su trabajo</w:t>
      </w:r>
    </w:p>
    <w:p w:rsidR="00F52701"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Como se</w:t>
      </w:r>
      <w:r w:rsidR="004C1828" w:rsidRPr="009E30D1">
        <w:rPr>
          <w:rFonts w:ascii="Adobe Caslon Pro" w:hAnsi="Adobe Caslon Pro" w:cs="Arial"/>
          <w:lang w:val="es-ES_tradnl"/>
        </w:rPr>
        <w:t xml:space="preserve"> puede observar </w:t>
      </w:r>
      <w:r w:rsidR="00F47935" w:rsidRPr="009E30D1">
        <w:rPr>
          <w:rFonts w:ascii="Adobe Caslon Pro" w:hAnsi="Adobe Caslon Pro" w:cs="Arial"/>
          <w:lang w:val="es-ES_tradnl"/>
        </w:rPr>
        <w:t xml:space="preserve">en la gráfica </w:t>
      </w:r>
      <w:r w:rsidR="004C1828" w:rsidRPr="009E30D1">
        <w:rPr>
          <w:rFonts w:ascii="Adobe Caslon Pro" w:hAnsi="Adobe Caslon Pro" w:cs="Arial"/>
          <w:lang w:val="es-ES_tradnl"/>
        </w:rPr>
        <w:t>1</w:t>
      </w:r>
      <w:r w:rsidR="00F47935" w:rsidRPr="009E30D1">
        <w:rPr>
          <w:rFonts w:ascii="Adobe Caslon Pro" w:hAnsi="Adobe Caslon Pro" w:cs="Arial"/>
          <w:lang w:val="es-ES_tradnl"/>
        </w:rPr>
        <w:t>8</w:t>
      </w:r>
      <w:r w:rsidRPr="009E30D1">
        <w:rPr>
          <w:rFonts w:ascii="Adobe Caslon Pro" w:hAnsi="Adobe Caslon Pro" w:cs="Arial"/>
          <w:lang w:val="es-ES_tradnl"/>
        </w:rPr>
        <w:t>, las mujeres mayores de 15 años sufren o no violencia independientemente del ingreso que reciban por la actividad económica que desarrollen. Aunque se acentúa un poco en el grupo de mujeres que percibe como ingreso de 1 a 5 salarios mínimos (SM).</w:t>
      </w:r>
    </w:p>
    <w:p w:rsidR="00F958F2"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 xml:space="preserve"> </w:t>
      </w:r>
    </w:p>
    <w:p w:rsidR="00D12115" w:rsidRPr="009E30D1" w:rsidRDefault="00D12115">
      <w:pPr>
        <w:rPr>
          <w:rFonts w:ascii="Adobe Caslon Pro" w:hAnsi="Adobe Caslon Pro" w:cs="Arial"/>
          <w:b/>
          <w:lang w:val="es-ES_tradnl"/>
        </w:rPr>
      </w:pPr>
      <w:r w:rsidRPr="009E30D1">
        <w:rPr>
          <w:rFonts w:ascii="Adobe Caslon Pro" w:hAnsi="Adobe Caslon Pro" w:cs="Arial"/>
          <w:b/>
          <w:lang w:val="es-ES_tradnl"/>
        </w:rPr>
        <w:br w:type="page"/>
      </w:r>
    </w:p>
    <w:p w:rsidR="00F958F2" w:rsidRPr="009E30D1" w:rsidRDefault="00F47935"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lastRenderedPageBreak/>
        <w:t xml:space="preserve">Gráfica </w:t>
      </w:r>
      <w:r w:rsidR="004C1828" w:rsidRPr="009E30D1">
        <w:rPr>
          <w:rFonts w:ascii="Adobe Caslon Pro" w:hAnsi="Adobe Caslon Pro" w:cs="Arial"/>
          <w:b/>
          <w:lang w:val="es-ES_tradnl"/>
        </w:rPr>
        <w:t>1</w:t>
      </w:r>
      <w:r w:rsidRPr="009E30D1">
        <w:rPr>
          <w:rFonts w:ascii="Adobe Caslon Pro" w:hAnsi="Adobe Caslon Pro" w:cs="Arial"/>
          <w:b/>
          <w:lang w:val="es-ES_tradnl"/>
        </w:rPr>
        <w:t>8</w:t>
      </w:r>
      <w:r w:rsidR="00F958F2" w:rsidRPr="009E30D1">
        <w:rPr>
          <w:rFonts w:ascii="Adobe Caslon Pro" w:hAnsi="Adobe Caslon Pro" w:cs="Arial"/>
          <w:b/>
          <w:lang w:val="es-ES_tradnl"/>
        </w:rPr>
        <w:t xml:space="preserve">. Distribución porcentual de las mujeres </w:t>
      </w:r>
      <w:r w:rsidR="00E04944" w:rsidRPr="009E30D1">
        <w:rPr>
          <w:rFonts w:ascii="Adobe Caslon Pro" w:hAnsi="Adobe Caslon Pro" w:cs="Arial"/>
          <w:b/>
          <w:spacing w:val="-4"/>
          <w:lang w:val="es-ES_tradnl"/>
        </w:rPr>
        <w:t xml:space="preserve">según situación de violencia </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cs="Arial"/>
          <w:b/>
          <w:lang w:val="es-ES_tradnl"/>
        </w:rPr>
        <w:t>(</w:t>
      </w:r>
      <w:proofErr w:type="gramStart"/>
      <w:r w:rsidR="00E04944"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ingreso por su trabajo)</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04141ED0" wp14:editId="12EED2AE">
            <wp:extent cx="3705367" cy="2395182"/>
            <wp:effectExtent l="0" t="0" r="9525" b="24765"/>
            <wp:docPr id="26" name="Gráfico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E04944" w:rsidRPr="009E30D1" w:rsidRDefault="00E04944" w:rsidP="00B85C0B">
      <w:pPr>
        <w:spacing w:after="120" w:line="240" w:lineRule="auto"/>
        <w:contextualSpacing/>
        <w:jc w:val="center"/>
        <w:rPr>
          <w:rFonts w:ascii="Adobe Caslon Pro" w:hAnsi="Adobe Caslon Pro" w:cs="Arial"/>
          <w:i/>
          <w:sz w:val="18"/>
          <w:szCs w:val="18"/>
          <w:lang w:val="es-ES_tradnl"/>
        </w:rPr>
      </w:pPr>
    </w:p>
    <w:p w:rsidR="00F958F2" w:rsidRPr="009E30D1" w:rsidRDefault="00F47935" w:rsidP="00B85C0B">
      <w:pPr>
        <w:spacing w:after="120" w:line="240" w:lineRule="auto"/>
        <w:jc w:val="both"/>
        <w:rPr>
          <w:rFonts w:ascii="Adobe Caslon Pro" w:hAnsi="Adobe Caslon Pro" w:cs="Arial"/>
        </w:rPr>
      </w:pPr>
      <w:r w:rsidRPr="009E30D1">
        <w:rPr>
          <w:rFonts w:ascii="Adobe Caslon Pro" w:hAnsi="Adobe Caslon Pro" w:cs="Arial"/>
          <w:lang w:val="es-ES_tradnl"/>
        </w:rPr>
        <w:t>La gráfica 19</w:t>
      </w:r>
      <w:r w:rsidR="00F958F2" w:rsidRPr="009E30D1">
        <w:rPr>
          <w:rFonts w:ascii="Adobe Caslon Pro" w:hAnsi="Adobe Caslon Pro" w:cs="Arial"/>
          <w:lang w:val="es-ES_tradnl"/>
        </w:rPr>
        <w:t xml:space="preserve"> muestra que entre los niveles bajos de ingresos de la población objetivo, la mayor incidencia se observa en violencia física y económica; en los ingresos medio y altos (más de dos salarios mínimos), la mayor incidencia relativa entre tipos de violencia se observa en la emocional y la sexual. De esta manera podemos suponer que las mujeres con menores ingresos presentan un bajo empoderamiento y por lo tanto son más susceptibles a ser víctimas de violencia física y económica, mientras que las mujeres que perciben mayores ingresos tienden a ser mujeres que se desarrollan en el mercado laboral, por lo que se presenta en menor medida la violencia económica y en mayor la sexual.</w:t>
      </w:r>
    </w:p>
    <w:p w:rsidR="00F958F2" w:rsidRPr="009E30D1" w:rsidRDefault="00F47935" w:rsidP="00B85C0B">
      <w:pPr>
        <w:spacing w:after="120" w:line="240" w:lineRule="auto"/>
        <w:contextualSpacing/>
        <w:jc w:val="center"/>
        <w:rPr>
          <w:rFonts w:ascii="Adobe Caslon Pro" w:hAnsi="Adobe Caslon Pro" w:cs="Arial"/>
          <w:b/>
          <w:lang w:val="es-ES_tradnl"/>
        </w:rPr>
      </w:pPr>
      <w:r w:rsidRPr="009E30D1">
        <w:rPr>
          <w:rFonts w:ascii="Adobe Caslon Pro" w:hAnsi="Adobe Caslon Pro" w:cs="Arial"/>
          <w:b/>
          <w:lang w:val="es-ES_tradnl"/>
        </w:rPr>
        <w:t>Gráfica 19</w:t>
      </w:r>
      <w:r w:rsidR="00F958F2" w:rsidRPr="009E30D1">
        <w:rPr>
          <w:rFonts w:ascii="Adobe Caslon Pro" w:hAnsi="Adobe Caslon Pro" w:cs="Arial"/>
          <w:b/>
          <w:lang w:val="es-ES_tradnl"/>
        </w:rPr>
        <w:t>. Distribución porcentual de las mujeres en situación de violencia</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cs="Arial"/>
          <w:b/>
          <w:lang w:val="es-ES_tradnl"/>
        </w:rPr>
        <w:t>(</w:t>
      </w:r>
      <w:proofErr w:type="gramStart"/>
      <w:r w:rsidR="00E04944" w:rsidRPr="009E30D1">
        <w:rPr>
          <w:rFonts w:ascii="Adobe Caslon Pro" w:hAnsi="Adobe Caslon Pro" w:cs="Arial"/>
          <w:b/>
          <w:lang w:val="es-ES_tradnl"/>
        </w:rPr>
        <w:t>por</w:t>
      </w:r>
      <w:proofErr w:type="gramEnd"/>
      <w:r w:rsidR="00E04944" w:rsidRPr="009E30D1">
        <w:rPr>
          <w:rFonts w:ascii="Adobe Caslon Pro" w:hAnsi="Adobe Caslon Pro" w:cs="Arial"/>
          <w:b/>
          <w:lang w:val="es-ES_tradnl"/>
        </w:rPr>
        <w:t xml:space="preserve"> </w:t>
      </w:r>
      <w:r w:rsidRPr="009E30D1">
        <w:rPr>
          <w:rFonts w:ascii="Adobe Caslon Pro" w:hAnsi="Adobe Caslon Pro" w:cs="Arial"/>
          <w:b/>
          <w:lang w:val="es-ES_tradnl"/>
        </w:rPr>
        <w:t>ingreso por su trabajo y tipo de violencia)</w:t>
      </w:r>
    </w:p>
    <w:p w:rsidR="00F958F2" w:rsidRPr="009E30D1" w:rsidRDefault="00F958F2" w:rsidP="00B85C0B">
      <w:pPr>
        <w:spacing w:after="120" w:line="240" w:lineRule="auto"/>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6F150AC4" wp14:editId="154AEBD4">
            <wp:extent cx="3964675" cy="2606723"/>
            <wp:effectExtent l="0" t="0" r="17145" b="22225"/>
            <wp:docPr id="234" name="Gráfico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EE0143" w:rsidRPr="009E30D1" w:rsidRDefault="00EE0143" w:rsidP="00B85C0B">
      <w:pPr>
        <w:spacing w:after="120" w:line="240" w:lineRule="auto"/>
        <w:jc w:val="both"/>
        <w:rPr>
          <w:rFonts w:ascii="Adobe Caslon Pro" w:hAnsi="Adobe Caslon Pro" w:cs="Arial"/>
          <w:b/>
          <w:lang w:val="es-ES_tradnl"/>
        </w:rPr>
      </w:pPr>
    </w:p>
    <w:p w:rsidR="00F958F2" w:rsidRPr="009E30D1" w:rsidRDefault="00F958F2" w:rsidP="00B85C0B">
      <w:pPr>
        <w:spacing w:after="120" w:line="240" w:lineRule="auto"/>
        <w:jc w:val="both"/>
        <w:rPr>
          <w:rFonts w:ascii="Adobe Caslon Pro" w:hAnsi="Adobe Caslon Pro" w:cs="Arial"/>
          <w:b/>
          <w:lang w:val="es-ES_tradnl"/>
        </w:rPr>
      </w:pPr>
      <w:r w:rsidRPr="009E30D1">
        <w:rPr>
          <w:rFonts w:ascii="Adobe Caslon Pro" w:hAnsi="Adobe Caslon Pro" w:cs="Arial"/>
          <w:b/>
          <w:lang w:val="es-ES_tradnl"/>
        </w:rPr>
        <w:t>Servicios básicos de la vivienda</w:t>
      </w:r>
    </w:p>
    <w:p w:rsidR="00F958F2" w:rsidRPr="009E30D1" w:rsidRDefault="00F958F2" w:rsidP="00B85C0B">
      <w:pPr>
        <w:spacing w:after="120" w:line="240" w:lineRule="auto"/>
        <w:jc w:val="both"/>
        <w:rPr>
          <w:rFonts w:ascii="Adobe Caslon Pro" w:hAnsi="Adobe Caslon Pro" w:cs="Arial"/>
          <w:lang w:val="es-ES_tradnl"/>
        </w:rPr>
      </w:pPr>
      <w:r w:rsidRPr="009E30D1">
        <w:rPr>
          <w:rFonts w:ascii="Adobe Caslon Pro" w:hAnsi="Adobe Caslon Pro" w:cs="Arial"/>
          <w:lang w:val="es-ES_tradnl"/>
        </w:rPr>
        <w:t xml:space="preserve">En cuanto a las condiciones de la vivienda que habitan, tanto las mujeres no violentadas como las violentadas mayores de 15 años cuentan agua entubada, drenaje y piso firme, en proporciones similares en ambas situaciones, y es esta última condición (piso firme) la de mayor presencia en sus viviendas (ver gráfica </w:t>
      </w:r>
      <w:r w:rsidR="00F47935" w:rsidRPr="009E30D1">
        <w:rPr>
          <w:rFonts w:ascii="Adobe Caslon Pro" w:hAnsi="Adobe Caslon Pro" w:cs="Arial"/>
          <w:lang w:val="es-ES_tradnl"/>
        </w:rPr>
        <w:t>20</w:t>
      </w:r>
      <w:r w:rsidRPr="009E30D1">
        <w:rPr>
          <w:rFonts w:ascii="Adobe Caslon Pro" w:hAnsi="Adobe Caslon Pro" w:cs="Arial"/>
          <w:lang w:val="es-ES_tradnl"/>
        </w:rPr>
        <w:t>).</w:t>
      </w:r>
    </w:p>
    <w:p w:rsidR="00F958F2" w:rsidRPr="009E30D1" w:rsidRDefault="00F958F2" w:rsidP="00B85C0B">
      <w:pPr>
        <w:spacing w:after="120" w:line="240" w:lineRule="auto"/>
        <w:jc w:val="center"/>
        <w:rPr>
          <w:rFonts w:ascii="Adobe Caslon Pro" w:hAnsi="Adobe Caslon Pro" w:cs="Arial"/>
          <w:b/>
          <w:lang w:val="es-ES_tradnl"/>
        </w:rPr>
      </w:pPr>
      <w:r w:rsidRPr="009E30D1">
        <w:rPr>
          <w:rFonts w:ascii="Adobe Caslon Pro" w:hAnsi="Adobe Caslon Pro" w:cs="Arial"/>
          <w:b/>
          <w:lang w:val="es-ES_tradnl"/>
        </w:rPr>
        <w:t>Gráfica 2</w:t>
      </w:r>
      <w:r w:rsidR="00F47935" w:rsidRPr="009E30D1">
        <w:rPr>
          <w:rFonts w:ascii="Adobe Caslon Pro" w:hAnsi="Adobe Caslon Pro" w:cs="Arial"/>
          <w:b/>
          <w:lang w:val="es-ES_tradnl"/>
        </w:rPr>
        <w:t>0</w:t>
      </w:r>
      <w:r w:rsidRPr="009E30D1">
        <w:rPr>
          <w:rFonts w:ascii="Adobe Caslon Pro" w:hAnsi="Adobe Caslon Pro" w:cs="Arial"/>
          <w:b/>
          <w:lang w:val="es-ES_tradnl"/>
        </w:rPr>
        <w:t xml:space="preserve">. Distribución porcentual de las mujeres </w:t>
      </w:r>
      <w:r w:rsidR="00E04944" w:rsidRPr="009E30D1">
        <w:rPr>
          <w:rFonts w:ascii="Adobe Caslon Pro" w:hAnsi="Adobe Caslon Pro" w:cs="Arial"/>
          <w:b/>
          <w:lang w:val="es-ES_tradnl"/>
        </w:rPr>
        <w:t>según situación de violencia</w:t>
      </w:r>
      <w:r w:rsidR="00C73D3C" w:rsidRPr="009E30D1">
        <w:rPr>
          <w:rFonts w:ascii="Adobe Caslon Pro" w:hAnsi="Adobe Caslon Pro" w:cs="Arial"/>
          <w:b/>
          <w:lang w:val="es-ES_tradnl"/>
        </w:rPr>
        <w:t xml:space="preserve"> </w:t>
      </w:r>
    </w:p>
    <w:p w:rsidR="00F958F2" w:rsidRPr="009E30D1" w:rsidRDefault="00E04944" w:rsidP="00B85C0B">
      <w:pPr>
        <w:spacing w:after="120" w:line="240" w:lineRule="auto"/>
        <w:jc w:val="center"/>
        <w:rPr>
          <w:rFonts w:ascii="Adobe Caslon Pro" w:hAnsi="Adobe Caslon Pro" w:cs="Arial"/>
          <w:b/>
          <w:lang w:val="es-ES_tradnl"/>
        </w:rPr>
      </w:pPr>
      <w:r w:rsidRPr="009E30D1">
        <w:rPr>
          <w:rFonts w:ascii="Adobe Caslon Pro" w:hAnsi="Adobe Caslon Pro" w:cs="Arial"/>
          <w:b/>
          <w:lang w:val="es-ES_tradnl"/>
        </w:rPr>
        <w:t>(</w:t>
      </w:r>
      <w:proofErr w:type="gramStart"/>
      <w:r w:rsidRPr="009E30D1">
        <w:rPr>
          <w:rFonts w:ascii="Adobe Caslon Pro" w:hAnsi="Adobe Caslon Pro" w:cs="Arial"/>
          <w:b/>
          <w:lang w:val="es-ES_tradnl"/>
        </w:rPr>
        <w:t>por</w:t>
      </w:r>
      <w:proofErr w:type="gramEnd"/>
      <w:r w:rsidR="00F958F2" w:rsidRPr="009E30D1">
        <w:rPr>
          <w:rFonts w:ascii="Adobe Caslon Pro" w:hAnsi="Adobe Caslon Pro" w:cs="Arial"/>
          <w:b/>
          <w:lang w:val="es-ES_tradnl"/>
        </w:rPr>
        <w:t xml:space="preserve"> condiciones de la vivienda que habitan)</w:t>
      </w:r>
    </w:p>
    <w:p w:rsidR="00F958F2" w:rsidRPr="009E30D1" w:rsidRDefault="00F958F2" w:rsidP="00B85C0B">
      <w:pPr>
        <w:spacing w:after="120" w:line="240" w:lineRule="auto"/>
        <w:jc w:val="center"/>
        <w:rPr>
          <w:rFonts w:ascii="Adobe Caslon Pro" w:hAnsi="Adobe Caslon Pro" w:cs="Arial"/>
          <w:b/>
          <w:lang w:val="es-ES_tradnl"/>
        </w:rPr>
      </w:pPr>
      <w:r w:rsidRPr="009E30D1">
        <w:rPr>
          <w:rFonts w:ascii="Adobe Caslon Pro" w:hAnsi="Adobe Caslon Pro"/>
          <w:noProof/>
          <w:lang w:eastAsia="es-MX"/>
        </w:rPr>
        <w:drawing>
          <wp:inline distT="0" distB="0" distL="0" distR="0" wp14:anchorId="7645E9C5" wp14:editId="73262EE3">
            <wp:extent cx="4967785" cy="1985750"/>
            <wp:effectExtent l="0" t="0" r="23495" b="14605"/>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85C0B" w:rsidRPr="009E30D1" w:rsidRDefault="00F958F2" w:rsidP="00D12115">
      <w:pPr>
        <w:spacing w:after="120" w:line="240" w:lineRule="auto"/>
        <w:contextualSpacing/>
        <w:jc w:val="center"/>
        <w:rPr>
          <w:rFonts w:ascii="Adobe Caslon Pro" w:hAnsi="Adobe Caslon Pro" w:cs="Arial"/>
          <w:b/>
          <w:lang w:val="es-ES_tradnl"/>
        </w:rPr>
      </w:pPr>
      <w:r w:rsidRPr="009E30D1">
        <w:rPr>
          <w:rFonts w:ascii="Adobe Caslon Pro" w:hAnsi="Adobe Caslon Pro" w:cs="Arial"/>
          <w:i/>
          <w:sz w:val="18"/>
          <w:szCs w:val="18"/>
          <w:lang w:val="es-ES_tradnl"/>
        </w:rPr>
        <w:t>Fuente: Elaboración propia con datos de la ENDIREH 2011, INEGI.</w:t>
      </w:r>
    </w:p>
    <w:p w:rsidR="00D12115" w:rsidRPr="009E30D1" w:rsidRDefault="00D12115" w:rsidP="00B85C0B">
      <w:pPr>
        <w:spacing w:after="120" w:line="240" w:lineRule="auto"/>
        <w:jc w:val="both"/>
        <w:rPr>
          <w:rFonts w:ascii="Adobe Caslon Pro" w:hAnsi="Adobe Caslon Pro" w:cs="Arial"/>
          <w:b/>
          <w:lang w:val="es-ES_tradnl"/>
        </w:rPr>
      </w:pPr>
    </w:p>
    <w:p w:rsidR="00F958F2" w:rsidRPr="009E30D1" w:rsidRDefault="00F958F2" w:rsidP="00B85C0B">
      <w:pPr>
        <w:spacing w:after="120" w:line="240" w:lineRule="auto"/>
        <w:jc w:val="both"/>
        <w:rPr>
          <w:rFonts w:ascii="Adobe Caslon Pro" w:hAnsi="Adobe Caslon Pro" w:cs="Arial"/>
          <w:b/>
          <w:lang w:val="es-ES_tradnl"/>
        </w:rPr>
      </w:pPr>
      <w:r w:rsidRPr="009E30D1">
        <w:rPr>
          <w:rFonts w:ascii="Adobe Caslon Pro" w:hAnsi="Adobe Caslon Pro" w:cs="Arial"/>
          <w:b/>
          <w:lang w:val="es-ES_tradnl"/>
        </w:rPr>
        <w:t>Calidad en la vivienda</w:t>
      </w:r>
    </w:p>
    <w:p w:rsidR="00F958F2" w:rsidRPr="009E30D1" w:rsidRDefault="00F958F2" w:rsidP="00B85C0B">
      <w:pPr>
        <w:spacing w:after="120" w:line="240" w:lineRule="auto"/>
        <w:jc w:val="both"/>
        <w:rPr>
          <w:rFonts w:ascii="Adobe Caslon Pro" w:hAnsi="Adobe Caslon Pro" w:cs="Arial"/>
          <w:b/>
          <w:lang w:val="es-ES_tradnl"/>
        </w:rPr>
      </w:pPr>
      <w:r w:rsidRPr="009E30D1">
        <w:rPr>
          <w:rFonts w:ascii="Adobe Caslon Pro" w:hAnsi="Adobe Caslon Pro" w:cs="Arial"/>
          <w:lang w:val="es-ES_tradnl"/>
        </w:rPr>
        <w:t>Respecto a la tenencia de artículos en el hogar, en general en los hogares donde residen mujeres pertenecientes a la población objetivo, tienen una presencia ligeramente superior de artículos como lavadora, refrigerador, teléfono y computadora en comparación con las mujeres sin episodios de violencia. Siendo el refrigerador el artículo con mayor presencia en los hogares</w:t>
      </w:r>
      <w:r w:rsidRPr="009E30D1">
        <w:rPr>
          <w:rFonts w:ascii="Adobe Caslon Pro" w:hAnsi="Adobe Caslon Pro" w:cs="Arial"/>
        </w:rPr>
        <w:t>, cabe señalar que el 25.5% de las mujeres que han sufrido violencia por cuestiones de género no cuentan con teléfono, lo que representa una barrera para</w:t>
      </w:r>
      <w:r w:rsidR="001D5AB8" w:rsidRPr="009E30D1">
        <w:rPr>
          <w:rFonts w:ascii="Adobe Caslon Pro" w:hAnsi="Adobe Caslon Pro" w:cs="Arial"/>
        </w:rPr>
        <w:t xml:space="preserve"> acceder a los mecanismos de atención emergente</w:t>
      </w:r>
      <w:r w:rsidRPr="009E30D1">
        <w:rPr>
          <w:rFonts w:ascii="Adobe Caslon Pro" w:hAnsi="Adobe Caslon Pro" w:cs="Arial"/>
        </w:rPr>
        <w:t xml:space="preserve"> </w:t>
      </w:r>
      <w:r w:rsidR="001D5AB8" w:rsidRPr="009E30D1">
        <w:rPr>
          <w:rFonts w:ascii="Adobe Caslon Pro" w:hAnsi="Adobe Caslon Pro" w:cs="Arial"/>
        </w:rPr>
        <w:t xml:space="preserve">(líneas telefónicas) </w:t>
      </w:r>
      <w:r w:rsidRPr="009E30D1">
        <w:rPr>
          <w:rFonts w:ascii="Adobe Caslon Pro" w:hAnsi="Adobe Caslon Pro" w:cs="Arial"/>
        </w:rPr>
        <w:t>y</w:t>
      </w:r>
      <w:r w:rsidRPr="009E30D1">
        <w:rPr>
          <w:rFonts w:ascii="Adobe Caslon Pro" w:hAnsi="Adobe Caslon Pro" w:cs="Arial"/>
          <w:color w:val="000000"/>
          <w:lang w:val="es-ES_tradnl"/>
        </w:rPr>
        <w:t xml:space="preserve"> l</w:t>
      </w:r>
      <w:r w:rsidR="001D5AB8" w:rsidRPr="009E30D1">
        <w:rPr>
          <w:rFonts w:ascii="Adobe Caslon Pro" w:hAnsi="Adobe Caslon Pro" w:cs="Arial"/>
          <w:color w:val="000000"/>
          <w:lang w:val="es-ES_tradnl"/>
        </w:rPr>
        <w:t xml:space="preserve">os servicios que se brindan </w:t>
      </w:r>
      <w:r w:rsidR="00614846" w:rsidRPr="009E30D1">
        <w:rPr>
          <w:rFonts w:ascii="Adobe Caslon Pro" w:hAnsi="Adobe Caslon Pro" w:cs="Arial"/>
          <w:color w:val="000000"/>
          <w:lang w:val="es-ES_tradnl"/>
        </w:rPr>
        <w:t>por est</w:t>
      </w:r>
      <w:r w:rsidR="001D5AB8" w:rsidRPr="009E30D1">
        <w:rPr>
          <w:rFonts w:ascii="Adobe Caslon Pro" w:hAnsi="Adobe Caslon Pro" w:cs="Arial"/>
          <w:color w:val="000000"/>
          <w:lang w:val="es-ES_tradnl"/>
        </w:rPr>
        <w:t>os</w:t>
      </w:r>
      <w:r w:rsidR="00614846" w:rsidRPr="009E30D1">
        <w:rPr>
          <w:rFonts w:ascii="Adobe Caslon Pro" w:hAnsi="Adobe Caslon Pro" w:cs="Arial"/>
          <w:color w:val="000000"/>
          <w:lang w:val="es-ES_tradnl"/>
        </w:rPr>
        <w:t xml:space="preserve"> medio</w:t>
      </w:r>
      <w:r w:rsidR="001D5AB8" w:rsidRPr="009E30D1">
        <w:rPr>
          <w:rFonts w:ascii="Adobe Caslon Pro" w:hAnsi="Adobe Caslon Pro" w:cs="Arial"/>
          <w:color w:val="000000"/>
          <w:lang w:val="es-ES_tradnl"/>
        </w:rPr>
        <w:t>s</w:t>
      </w:r>
      <w:r w:rsidR="00614846" w:rsidRPr="009E30D1">
        <w:rPr>
          <w:rFonts w:ascii="Adobe Caslon Pro" w:hAnsi="Adobe Caslon Pro" w:cs="Arial"/>
          <w:color w:val="000000"/>
          <w:lang w:val="es-ES_tradnl"/>
        </w:rPr>
        <w:t xml:space="preserve"> (ver gráfica 2</w:t>
      </w:r>
      <w:r w:rsidR="00F47935" w:rsidRPr="009E30D1">
        <w:rPr>
          <w:rFonts w:ascii="Adobe Caslon Pro" w:hAnsi="Adobe Caslon Pro" w:cs="Arial"/>
          <w:color w:val="000000"/>
          <w:lang w:val="es-ES_tradnl"/>
        </w:rPr>
        <w:t>1</w:t>
      </w:r>
      <w:r w:rsidRPr="009E30D1">
        <w:rPr>
          <w:rFonts w:ascii="Adobe Caslon Pro" w:hAnsi="Adobe Caslon Pro" w:cs="Arial"/>
          <w:color w:val="000000"/>
          <w:lang w:val="es-ES_tradnl"/>
        </w:rPr>
        <w:t>)</w:t>
      </w:r>
      <w:r w:rsidRPr="009E30D1">
        <w:rPr>
          <w:rFonts w:ascii="Adobe Caslon Pro" w:hAnsi="Adobe Caslon Pro" w:cs="Arial"/>
          <w:lang w:val="es-ES_tradnl"/>
        </w:rPr>
        <w:t>.</w:t>
      </w:r>
    </w:p>
    <w:p w:rsidR="00D12115" w:rsidRPr="009E30D1" w:rsidRDefault="00D12115">
      <w:pPr>
        <w:rPr>
          <w:rFonts w:ascii="Adobe Caslon Pro" w:hAnsi="Adobe Caslon Pro" w:cs="Arial"/>
          <w:b/>
          <w:lang w:val="es-ES_tradnl"/>
        </w:rPr>
      </w:pPr>
      <w:r w:rsidRPr="009E30D1">
        <w:rPr>
          <w:rFonts w:ascii="Adobe Caslon Pro" w:hAnsi="Adobe Caslon Pro" w:cs="Arial"/>
          <w:b/>
          <w:lang w:val="es-ES_tradnl"/>
        </w:rPr>
        <w:br w:type="page"/>
      </w:r>
    </w:p>
    <w:p w:rsidR="00F958F2" w:rsidRPr="009E30D1" w:rsidRDefault="00F47935" w:rsidP="00B85C0B">
      <w:pPr>
        <w:spacing w:after="120" w:line="240" w:lineRule="auto"/>
        <w:ind w:left="425" w:right="-232" w:hanging="425"/>
        <w:contextualSpacing/>
        <w:jc w:val="center"/>
        <w:rPr>
          <w:rFonts w:ascii="Adobe Caslon Pro" w:hAnsi="Adobe Caslon Pro" w:cs="Arial"/>
          <w:b/>
          <w:lang w:val="es-ES_tradnl"/>
        </w:rPr>
      </w:pPr>
      <w:r w:rsidRPr="009E30D1">
        <w:rPr>
          <w:rFonts w:ascii="Adobe Caslon Pro" w:hAnsi="Adobe Caslon Pro" w:cs="Arial"/>
          <w:b/>
          <w:lang w:val="es-ES_tradnl"/>
        </w:rPr>
        <w:lastRenderedPageBreak/>
        <w:t>Gráfica 21</w:t>
      </w:r>
      <w:r w:rsidR="00F958F2" w:rsidRPr="009E30D1">
        <w:rPr>
          <w:rFonts w:ascii="Adobe Caslon Pro" w:hAnsi="Adobe Caslon Pro" w:cs="Arial"/>
          <w:b/>
          <w:lang w:val="es-ES_tradnl"/>
        </w:rPr>
        <w:t xml:space="preserve">. Distribución porcentual de las mujeres </w:t>
      </w:r>
      <w:r w:rsidR="00E04944" w:rsidRPr="009E30D1">
        <w:rPr>
          <w:rFonts w:ascii="Adobe Caslon Pro" w:hAnsi="Adobe Caslon Pro" w:cs="Arial"/>
          <w:b/>
          <w:lang w:val="es-ES_tradnl"/>
        </w:rPr>
        <w:t>según situación de violencia</w:t>
      </w:r>
      <w:r w:rsidR="00C73D3C" w:rsidRPr="009E30D1">
        <w:rPr>
          <w:rFonts w:ascii="Adobe Caslon Pro" w:hAnsi="Adobe Caslon Pro" w:cs="Arial"/>
          <w:b/>
          <w:lang w:val="es-ES_tradnl"/>
        </w:rPr>
        <w:t xml:space="preserve"> </w:t>
      </w:r>
    </w:p>
    <w:p w:rsidR="00F958F2" w:rsidRPr="009E30D1" w:rsidRDefault="00F958F2" w:rsidP="00B85C0B">
      <w:pPr>
        <w:spacing w:after="120" w:line="240" w:lineRule="auto"/>
        <w:ind w:left="425" w:right="-232" w:hanging="425"/>
        <w:contextualSpacing/>
        <w:jc w:val="center"/>
        <w:rPr>
          <w:rFonts w:ascii="Adobe Caslon Pro" w:hAnsi="Adobe Caslon Pro" w:cs="Arial"/>
          <w:b/>
          <w:lang w:val="es-ES_tradnl"/>
        </w:rPr>
      </w:pPr>
      <w:r w:rsidRPr="009E30D1">
        <w:rPr>
          <w:rFonts w:ascii="Adobe Caslon Pro" w:hAnsi="Adobe Caslon Pro" w:cs="Arial"/>
          <w:b/>
          <w:lang w:val="es-ES_tradnl"/>
        </w:rPr>
        <w:t>(</w:t>
      </w:r>
      <w:proofErr w:type="gramStart"/>
      <w:r w:rsidR="00E04944" w:rsidRPr="009E30D1">
        <w:rPr>
          <w:rFonts w:ascii="Adobe Caslon Pro" w:hAnsi="Adobe Caslon Pro" w:cs="Arial"/>
          <w:b/>
          <w:lang w:val="es-ES_tradnl"/>
        </w:rPr>
        <w:t>por</w:t>
      </w:r>
      <w:proofErr w:type="gramEnd"/>
      <w:r w:rsidRPr="009E30D1">
        <w:rPr>
          <w:rFonts w:ascii="Adobe Caslon Pro" w:hAnsi="Adobe Caslon Pro" w:cs="Arial"/>
          <w:b/>
          <w:lang w:val="es-ES_tradnl"/>
        </w:rPr>
        <w:t xml:space="preserve"> tenencia de artículos en el hogar)</w:t>
      </w:r>
    </w:p>
    <w:p w:rsidR="00F958F2" w:rsidRPr="009E30D1" w:rsidRDefault="00F958F2" w:rsidP="00B85C0B">
      <w:pPr>
        <w:spacing w:after="120" w:line="240" w:lineRule="auto"/>
        <w:ind w:left="425" w:right="-232" w:hanging="425"/>
        <w:contextualSpacing/>
        <w:jc w:val="center"/>
        <w:rPr>
          <w:rFonts w:ascii="Adobe Caslon Pro" w:hAnsi="Adobe Caslon Pro" w:cs="Arial"/>
          <w:lang w:val="es-ES_tradnl"/>
        </w:rPr>
      </w:pPr>
      <w:r w:rsidRPr="009E30D1">
        <w:rPr>
          <w:rFonts w:ascii="Adobe Caslon Pro" w:hAnsi="Adobe Caslon Pro"/>
          <w:noProof/>
          <w:lang w:eastAsia="es-MX"/>
        </w:rPr>
        <w:drawing>
          <wp:inline distT="0" distB="0" distL="0" distR="0" wp14:anchorId="1AE1B247" wp14:editId="5F81125A">
            <wp:extent cx="4572000" cy="1590675"/>
            <wp:effectExtent l="0" t="0" r="1905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958F2" w:rsidRPr="009E30D1" w:rsidRDefault="00F958F2" w:rsidP="00B85C0B">
      <w:pPr>
        <w:spacing w:after="120" w:line="240" w:lineRule="auto"/>
        <w:contextualSpacing/>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Elaboración propia con datos de la ENDIREH 2011, INEGI.</w:t>
      </w:r>
    </w:p>
    <w:p w:rsidR="00393D04" w:rsidRPr="009E30D1" w:rsidRDefault="00393D04" w:rsidP="00B85C0B">
      <w:pPr>
        <w:pStyle w:val="Ttulo3"/>
        <w:spacing w:before="0" w:after="120"/>
        <w:rPr>
          <w:lang w:val="es-ES_tradnl"/>
        </w:rPr>
      </w:pPr>
    </w:p>
    <w:p w:rsidR="00F958F2" w:rsidRPr="009E30D1" w:rsidRDefault="00F958F2" w:rsidP="00B85C0B">
      <w:pPr>
        <w:pStyle w:val="Ttulo3"/>
        <w:spacing w:before="0" w:after="120"/>
        <w:rPr>
          <w:lang w:val="es-ES_tradnl"/>
        </w:rPr>
      </w:pPr>
      <w:bookmarkStart w:id="17" w:name="_Toc391883378"/>
      <w:r w:rsidRPr="009E30D1">
        <w:rPr>
          <w:lang w:val="es-ES_tradnl"/>
        </w:rPr>
        <w:t>Evolución de la población</w:t>
      </w:r>
      <w:r w:rsidR="0037462C" w:rsidRPr="009E30D1">
        <w:rPr>
          <w:lang w:val="es-ES_tradnl"/>
        </w:rPr>
        <w:t xml:space="preserve"> potencial y </w:t>
      </w:r>
      <w:r w:rsidRPr="009E30D1">
        <w:rPr>
          <w:lang w:val="es-ES_tradnl"/>
        </w:rPr>
        <w:t>objetivo</w:t>
      </w:r>
      <w:bookmarkEnd w:id="17"/>
    </w:p>
    <w:p w:rsidR="00F958F2" w:rsidRPr="009E30D1" w:rsidRDefault="00F958F2" w:rsidP="00B85C0B">
      <w:pPr>
        <w:spacing w:after="120" w:line="240" w:lineRule="auto"/>
        <w:jc w:val="both"/>
        <w:rPr>
          <w:rFonts w:ascii="Adobe Caslon Pro" w:hAnsi="Adobe Caslon Pro" w:cs="Arial"/>
        </w:rPr>
      </w:pPr>
      <w:r w:rsidRPr="009E30D1">
        <w:rPr>
          <w:rFonts w:ascii="Adobe Caslon Pro" w:hAnsi="Adobe Caslon Pro" w:cs="Arial"/>
        </w:rPr>
        <w:t xml:space="preserve">La actualización de las poblaciones potencial y </w:t>
      </w:r>
      <w:proofErr w:type="gramStart"/>
      <w:r w:rsidRPr="009E30D1">
        <w:rPr>
          <w:rFonts w:ascii="Adobe Caslon Pro" w:hAnsi="Adobe Caslon Pro" w:cs="Arial"/>
        </w:rPr>
        <w:t>objetivo</w:t>
      </w:r>
      <w:proofErr w:type="gramEnd"/>
      <w:r w:rsidRPr="009E30D1">
        <w:rPr>
          <w:rFonts w:ascii="Adobe Caslon Pro" w:hAnsi="Adobe Caslon Pro" w:cs="Arial"/>
        </w:rPr>
        <w:t xml:space="preserve"> se encuentra en función de la disponibilidad de información estadística. En el caso de este Diagnóstico, la fuente principal de información es la Encuesta Nacional sobre la Dinámica de las Relaciones en los Hogares (ENDIREH), publicada por el Instituto Nacional de Estadística y Geografía (INEGI). La actualización de la encuesta no es recurrente, vale la pena recordar que la primera encuesta se realizó en 2003, la segunda tres años después (2006), la tercera y última encuesta cinco años más tarde (2011), hasta el momento el INEGI no ha determinado </w:t>
      </w:r>
      <w:r w:rsidR="007F4DC0" w:rsidRPr="009E30D1">
        <w:rPr>
          <w:rFonts w:ascii="Adobe Caslon Pro" w:hAnsi="Adobe Caslon Pro" w:cs="Arial"/>
        </w:rPr>
        <w:t>públicamente</w:t>
      </w:r>
      <w:r w:rsidRPr="009E30D1">
        <w:rPr>
          <w:rFonts w:ascii="Adobe Caslon Pro" w:hAnsi="Adobe Caslon Pro" w:cs="Arial"/>
        </w:rPr>
        <w:t xml:space="preserve"> en que año se podría levantar la información de la cuarta encuesta. Una vez que la información estadística se encuentre disponible, la actualización de las poblaciones se puede llevar a cabo.</w:t>
      </w:r>
    </w:p>
    <w:p w:rsidR="00D12115" w:rsidRPr="009E30D1" w:rsidRDefault="00F958F2" w:rsidP="00B85C0B">
      <w:pPr>
        <w:spacing w:after="120" w:line="240" w:lineRule="auto"/>
        <w:jc w:val="both"/>
        <w:rPr>
          <w:rFonts w:ascii="Adobe Caslon Pro" w:hAnsi="Adobe Caslon Pro" w:cs="Arial"/>
        </w:rPr>
      </w:pPr>
      <w:r w:rsidRPr="009E30D1">
        <w:rPr>
          <w:rFonts w:ascii="Adobe Caslon Pro" w:hAnsi="Adobe Caslon Pro" w:cs="Arial"/>
        </w:rPr>
        <w:t>Las proyecciones estimadas sobre el número de mujeres que han sufrido violencia por cuestiones de género son bastante imprecisas debido a que depende de múltiples factores, entre los que destacan las acciones en materia de prevención, así como, las referentes a la sanción de la misma. En este contexto, para realiza</w:t>
      </w:r>
      <w:r w:rsidR="00F47935" w:rsidRPr="009E30D1">
        <w:rPr>
          <w:rFonts w:ascii="Adobe Caslon Pro" w:hAnsi="Adobe Caslon Pro" w:cs="Arial"/>
        </w:rPr>
        <w:t xml:space="preserve">r la proyección de la población </w:t>
      </w:r>
      <w:r w:rsidRPr="009E30D1">
        <w:rPr>
          <w:rFonts w:ascii="Adobe Caslon Pro" w:hAnsi="Adobe Caslon Pro" w:cs="Arial"/>
        </w:rPr>
        <w:t>objetivo se considera la proyección poblacional del Consejo Nacional de población (CONAPO) y se mantiene la proporción de mujeres en situación de violencia (58.4%) en los primeros años y posteriormente se realiza un supuesto sobre la disminución gradual de la misma. La evolución de la población víctima de violencia se observa en el siguiente cuadro.</w:t>
      </w:r>
    </w:p>
    <w:p w:rsidR="00D12115" w:rsidRPr="009E30D1" w:rsidRDefault="00D12115">
      <w:pPr>
        <w:rPr>
          <w:rFonts w:ascii="Adobe Caslon Pro" w:hAnsi="Adobe Caslon Pro" w:cs="Arial"/>
        </w:rPr>
      </w:pPr>
      <w:r w:rsidRPr="009E30D1">
        <w:rPr>
          <w:rFonts w:ascii="Adobe Caslon Pro" w:hAnsi="Adobe Caslon Pro" w:cs="Arial"/>
        </w:rPr>
        <w:br w:type="page"/>
      </w:r>
    </w:p>
    <w:p w:rsidR="00F958F2" w:rsidRPr="009E30D1" w:rsidRDefault="00F958F2" w:rsidP="00B85C0B">
      <w:pPr>
        <w:spacing w:after="120" w:line="240" w:lineRule="auto"/>
        <w:jc w:val="both"/>
        <w:rPr>
          <w:rFonts w:ascii="Adobe Caslon Pro" w:hAnsi="Adobe Caslon Pro" w:cs="Arial"/>
        </w:rPr>
      </w:pPr>
    </w:p>
    <w:tbl>
      <w:tblPr>
        <w:tblW w:w="9140" w:type="dxa"/>
        <w:tblInd w:w="55" w:type="dxa"/>
        <w:tblCellMar>
          <w:left w:w="70" w:type="dxa"/>
          <w:right w:w="70" w:type="dxa"/>
        </w:tblCellMar>
        <w:tblLook w:val="04A0" w:firstRow="1" w:lastRow="0" w:firstColumn="1" w:lastColumn="0" w:noHBand="0" w:noVBand="1"/>
      </w:tblPr>
      <w:tblGrid>
        <w:gridCol w:w="2380"/>
        <w:gridCol w:w="860"/>
        <w:gridCol w:w="900"/>
        <w:gridCol w:w="760"/>
        <w:gridCol w:w="880"/>
        <w:gridCol w:w="880"/>
        <w:gridCol w:w="760"/>
        <w:gridCol w:w="820"/>
        <w:gridCol w:w="900"/>
      </w:tblGrid>
      <w:tr w:rsidR="00F958F2" w:rsidRPr="009E30D1" w:rsidTr="009051CC">
        <w:trPr>
          <w:trHeight w:val="300"/>
        </w:trPr>
        <w:tc>
          <w:tcPr>
            <w:tcW w:w="9140" w:type="dxa"/>
            <w:gridSpan w:val="9"/>
            <w:tcBorders>
              <w:top w:val="nil"/>
              <w:left w:val="nil"/>
              <w:bottom w:val="nil"/>
              <w:right w:val="nil"/>
            </w:tcBorders>
            <w:shd w:val="clear" w:color="auto" w:fill="auto"/>
            <w:noWrap/>
            <w:vAlign w:val="center"/>
            <w:hideMark/>
          </w:tcPr>
          <w:p w:rsidR="00F958F2" w:rsidRPr="009E30D1" w:rsidRDefault="00F47935" w:rsidP="00B85C0B">
            <w:pPr>
              <w:spacing w:after="120" w:line="240" w:lineRule="auto"/>
              <w:jc w:val="center"/>
              <w:rPr>
                <w:rFonts w:ascii="Adobe Caslon Pro" w:hAnsi="Adobe Caslon Pro" w:cs="Arial"/>
                <w:b/>
                <w:bCs/>
                <w:color w:val="000000"/>
              </w:rPr>
            </w:pPr>
            <w:r w:rsidRPr="009E30D1">
              <w:rPr>
                <w:rFonts w:ascii="Adobe Caslon Pro" w:hAnsi="Adobe Caslon Pro" w:cs="Arial"/>
                <w:b/>
                <w:bCs/>
                <w:color w:val="000000"/>
              </w:rPr>
              <w:t>Cuadro 13</w:t>
            </w:r>
            <w:r w:rsidR="00F958F2" w:rsidRPr="009E30D1">
              <w:rPr>
                <w:rFonts w:ascii="Adobe Caslon Pro" w:hAnsi="Adobe Caslon Pro" w:cs="Arial"/>
                <w:b/>
                <w:bCs/>
                <w:color w:val="000000"/>
              </w:rPr>
              <w:t>. Proyección de la evolución de la población objetivo de 2011-2018</w:t>
            </w:r>
            <w:r w:rsidR="00B52185" w:rsidRPr="009E30D1">
              <w:rPr>
                <w:rFonts w:ascii="Adobe Caslon Pro" w:hAnsi="Adobe Caslon Pro" w:cs="Arial"/>
                <w:b/>
                <w:bCs/>
                <w:color w:val="000000"/>
              </w:rPr>
              <w:t xml:space="preserve"> </w:t>
            </w:r>
            <w:r w:rsidR="00F958F2" w:rsidRPr="009E30D1">
              <w:rPr>
                <w:rFonts w:ascii="Adobe Caslon Pro" w:hAnsi="Adobe Caslon Pro" w:cs="Arial"/>
                <w:b/>
                <w:bCs/>
                <w:color w:val="000000"/>
              </w:rPr>
              <w:t>(millones de mujeres)</w:t>
            </w:r>
          </w:p>
        </w:tc>
      </w:tr>
      <w:tr w:rsidR="00F958F2" w:rsidRPr="009E30D1" w:rsidTr="009051CC">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 </w:t>
            </w:r>
          </w:p>
        </w:tc>
        <w:tc>
          <w:tcPr>
            <w:tcW w:w="86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2011</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2012</w:t>
            </w:r>
          </w:p>
        </w:tc>
        <w:tc>
          <w:tcPr>
            <w:tcW w:w="76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2013</w:t>
            </w:r>
          </w:p>
        </w:tc>
        <w:tc>
          <w:tcPr>
            <w:tcW w:w="88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2014</w:t>
            </w:r>
          </w:p>
        </w:tc>
        <w:tc>
          <w:tcPr>
            <w:tcW w:w="88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2015</w:t>
            </w:r>
          </w:p>
        </w:tc>
        <w:tc>
          <w:tcPr>
            <w:tcW w:w="76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2016</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2017</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rsidR="00F958F2" w:rsidRPr="009E30D1" w:rsidRDefault="00F958F2" w:rsidP="00B85C0B">
            <w:pPr>
              <w:spacing w:after="120" w:line="240" w:lineRule="auto"/>
              <w:jc w:val="center"/>
              <w:rPr>
                <w:rFonts w:ascii="Adobe Caslon Pro" w:hAnsi="Adobe Caslon Pro" w:cs="Arial"/>
                <w:color w:val="000000"/>
                <w:sz w:val="16"/>
                <w:szCs w:val="16"/>
              </w:rPr>
            </w:pPr>
            <w:r w:rsidRPr="009E30D1">
              <w:rPr>
                <w:rFonts w:ascii="Adobe Caslon Pro" w:hAnsi="Adobe Caslon Pro" w:cs="Arial"/>
                <w:color w:val="000000"/>
                <w:sz w:val="16"/>
                <w:szCs w:val="16"/>
              </w:rPr>
              <w:t>2018</w:t>
            </w:r>
          </w:p>
        </w:tc>
      </w:tr>
      <w:tr w:rsidR="00F958F2" w:rsidRPr="009E30D1" w:rsidTr="009051CC">
        <w:trPr>
          <w:trHeight w:val="300"/>
        </w:trPr>
        <w:tc>
          <w:tcPr>
            <w:tcW w:w="2380" w:type="dxa"/>
            <w:tcBorders>
              <w:top w:val="nil"/>
              <w:left w:val="single" w:sz="4" w:space="0" w:color="auto"/>
              <w:bottom w:val="nil"/>
              <w:right w:val="single" w:sz="4" w:space="0" w:color="auto"/>
            </w:tcBorders>
            <w:shd w:val="clear" w:color="auto" w:fill="auto"/>
            <w:vAlign w:val="center"/>
            <w:hideMark/>
          </w:tcPr>
          <w:p w:rsidR="00F958F2" w:rsidRPr="009E30D1" w:rsidRDefault="00F958F2"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rPr>
              <w:t>Mujeres de 15 años o más</w:t>
            </w:r>
          </w:p>
        </w:tc>
        <w:tc>
          <w:tcPr>
            <w:tcW w:w="86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42.6</w:t>
            </w:r>
          </w:p>
        </w:tc>
        <w:tc>
          <w:tcPr>
            <w:tcW w:w="90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43.4</w:t>
            </w:r>
          </w:p>
        </w:tc>
        <w:tc>
          <w:tcPr>
            <w:tcW w:w="76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44.1</w:t>
            </w:r>
          </w:p>
        </w:tc>
        <w:tc>
          <w:tcPr>
            <w:tcW w:w="88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44.9</w:t>
            </w:r>
          </w:p>
        </w:tc>
        <w:tc>
          <w:tcPr>
            <w:tcW w:w="88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45.6</w:t>
            </w:r>
          </w:p>
        </w:tc>
        <w:tc>
          <w:tcPr>
            <w:tcW w:w="76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46.3</w:t>
            </w:r>
          </w:p>
        </w:tc>
        <w:tc>
          <w:tcPr>
            <w:tcW w:w="82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47</w:t>
            </w:r>
          </w:p>
        </w:tc>
        <w:tc>
          <w:tcPr>
            <w:tcW w:w="90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47.7</w:t>
            </w:r>
          </w:p>
        </w:tc>
      </w:tr>
      <w:tr w:rsidR="00F958F2" w:rsidRPr="009E30D1" w:rsidTr="009051CC">
        <w:trPr>
          <w:trHeight w:val="300"/>
        </w:trPr>
        <w:tc>
          <w:tcPr>
            <w:tcW w:w="2380" w:type="dxa"/>
            <w:tcBorders>
              <w:top w:val="nil"/>
              <w:left w:val="single" w:sz="4" w:space="0" w:color="auto"/>
              <w:bottom w:val="nil"/>
              <w:right w:val="single" w:sz="4" w:space="0" w:color="auto"/>
            </w:tcBorders>
            <w:shd w:val="clear" w:color="auto" w:fill="auto"/>
            <w:vAlign w:val="center"/>
            <w:hideMark/>
          </w:tcPr>
          <w:p w:rsidR="00F958F2" w:rsidRPr="009E30D1" w:rsidRDefault="00F958F2"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rPr>
              <w:t>Población objetivo directa</w:t>
            </w:r>
          </w:p>
        </w:tc>
        <w:tc>
          <w:tcPr>
            <w:tcW w:w="86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24.9</w:t>
            </w:r>
          </w:p>
        </w:tc>
        <w:tc>
          <w:tcPr>
            <w:tcW w:w="90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25.4</w:t>
            </w:r>
          </w:p>
        </w:tc>
        <w:tc>
          <w:tcPr>
            <w:tcW w:w="76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25.8</w:t>
            </w:r>
          </w:p>
        </w:tc>
        <w:tc>
          <w:tcPr>
            <w:tcW w:w="88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24.6</w:t>
            </w:r>
          </w:p>
        </w:tc>
        <w:tc>
          <w:tcPr>
            <w:tcW w:w="88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23.3</w:t>
            </w:r>
          </w:p>
        </w:tc>
        <w:tc>
          <w:tcPr>
            <w:tcW w:w="76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21.9</w:t>
            </w:r>
          </w:p>
        </w:tc>
        <w:tc>
          <w:tcPr>
            <w:tcW w:w="82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20.5</w:t>
            </w:r>
          </w:p>
        </w:tc>
        <w:tc>
          <w:tcPr>
            <w:tcW w:w="900" w:type="dxa"/>
            <w:tcBorders>
              <w:top w:val="nil"/>
              <w:left w:val="nil"/>
              <w:bottom w:val="nil"/>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19.1</w:t>
            </w:r>
          </w:p>
        </w:tc>
      </w:tr>
      <w:tr w:rsidR="00F958F2" w:rsidRPr="009E30D1" w:rsidTr="009051CC">
        <w:trPr>
          <w:trHeight w:val="30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F958F2" w:rsidRPr="009E30D1" w:rsidRDefault="00C73D3C" w:rsidP="00B85C0B">
            <w:pPr>
              <w:spacing w:after="120" w:line="240" w:lineRule="auto"/>
              <w:rPr>
                <w:rFonts w:ascii="Adobe Caslon Pro" w:hAnsi="Adobe Caslon Pro" w:cs="Arial"/>
                <w:color w:val="000000"/>
                <w:sz w:val="16"/>
                <w:szCs w:val="16"/>
              </w:rPr>
            </w:pPr>
            <w:r w:rsidRPr="009E30D1">
              <w:rPr>
                <w:rFonts w:ascii="Adobe Caslon Pro" w:hAnsi="Adobe Caslon Pro" w:cs="Arial"/>
                <w:color w:val="000000"/>
                <w:sz w:val="16"/>
                <w:szCs w:val="16"/>
              </w:rPr>
              <w:t xml:space="preserve"> </w:t>
            </w:r>
            <w:r w:rsidR="00F958F2" w:rsidRPr="009E30D1">
              <w:rPr>
                <w:rFonts w:ascii="Adobe Caslon Pro" w:hAnsi="Adobe Caslon Pro" w:cs="Arial"/>
                <w:color w:val="000000"/>
                <w:sz w:val="16"/>
                <w:szCs w:val="16"/>
              </w:rPr>
              <w:t>Porcentaje</w:t>
            </w:r>
          </w:p>
        </w:tc>
        <w:tc>
          <w:tcPr>
            <w:tcW w:w="86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58.5</w:t>
            </w:r>
          </w:p>
        </w:tc>
        <w:tc>
          <w:tcPr>
            <w:tcW w:w="90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58.5</w:t>
            </w:r>
          </w:p>
        </w:tc>
        <w:tc>
          <w:tcPr>
            <w:tcW w:w="76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58.5</w:t>
            </w:r>
          </w:p>
        </w:tc>
        <w:tc>
          <w:tcPr>
            <w:tcW w:w="88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54.8</w:t>
            </w:r>
          </w:p>
        </w:tc>
        <w:tc>
          <w:tcPr>
            <w:tcW w:w="88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51.1</w:t>
            </w:r>
          </w:p>
        </w:tc>
        <w:tc>
          <w:tcPr>
            <w:tcW w:w="76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47.4</w:t>
            </w:r>
          </w:p>
        </w:tc>
        <w:tc>
          <w:tcPr>
            <w:tcW w:w="82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43.7</w:t>
            </w:r>
          </w:p>
        </w:tc>
        <w:tc>
          <w:tcPr>
            <w:tcW w:w="900" w:type="dxa"/>
            <w:tcBorders>
              <w:top w:val="nil"/>
              <w:left w:val="nil"/>
              <w:bottom w:val="single" w:sz="4" w:space="0" w:color="auto"/>
              <w:right w:val="single" w:sz="4" w:space="0" w:color="auto"/>
            </w:tcBorders>
            <w:shd w:val="clear" w:color="auto" w:fill="auto"/>
            <w:noWrap/>
            <w:vAlign w:val="center"/>
            <w:hideMark/>
          </w:tcPr>
          <w:p w:rsidR="00F958F2" w:rsidRPr="009E30D1" w:rsidRDefault="00F958F2" w:rsidP="00B85C0B">
            <w:pPr>
              <w:spacing w:after="120" w:line="240" w:lineRule="auto"/>
              <w:jc w:val="center"/>
              <w:rPr>
                <w:rFonts w:ascii="Adobe Caslon Pro" w:hAnsi="Adobe Caslon Pro" w:cs="Arial"/>
                <w:sz w:val="16"/>
                <w:szCs w:val="16"/>
              </w:rPr>
            </w:pPr>
            <w:r w:rsidRPr="009E30D1">
              <w:rPr>
                <w:rFonts w:ascii="Adobe Caslon Pro" w:hAnsi="Adobe Caslon Pro" w:cs="Arial"/>
                <w:sz w:val="16"/>
                <w:szCs w:val="16"/>
              </w:rPr>
              <w:t>40.0</w:t>
            </w:r>
          </w:p>
        </w:tc>
      </w:tr>
    </w:tbl>
    <w:p w:rsidR="00F958F2" w:rsidRPr="009E30D1" w:rsidRDefault="00F958F2" w:rsidP="00B85C0B">
      <w:pPr>
        <w:spacing w:after="120" w:line="240" w:lineRule="auto"/>
        <w:contextualSpacing/>
        <w:jc w:val="center"/>
        <w:rPr>
          <w:rFonts w:ascii="Adobe Caslon Pro" w:hAnsi="Adobe Caslon Pro" w:cs="Arial"/>
          <w:b/>
          <w:bCs/>
          <w:lang w:val="es-ES_tradnl" w:eastAsia="es-ES"/>
        </w:rPr>
      </w:pPr>
      <w:r w:rsidRPr="009E30D1">
        <w:rPr>
          <w:rFonts w:ascii="Adobe Caslon Pro" w:hAnsi="Adobe Caslon Pro" w:cs="Arial"/>
          <w:i/>
          <w:sz w:val="18"/>
          <w:szCs w:val="18"/>
          <w:lang w:val="es-ES_tradnl"/>
        </w:rPr>
        <w:t>Fuente: Elaboración propia con proyecciones poblacionales de CONAPO.</w:t>
      </w:r>
      <w:bookmarkStart w:id="18" w:name="_Toc368993936"/>
      <w:bookmarkStart w:id="19" w:name="_Toc368994034"/>
      <w:bookmarkStart w:id="20" w:name="_Toc368994096"/>
      <w:bookmarkStart w:id="21" w:name="_Toc368994291"/>
      <w:bookmarkStart w:id="22" w:name="_Toc368995003"/>
      <w:bookmarkStart w:id="23" w:name="_Toc368995256"/>
      <w:bookmarkStart w:id="24" w:name="_Toc368996081"/>
      <w:bookmarkStart w:id="25" w:name="_Toc370243138"/>
      <w:bookmarkStart w:id="26" w:name="_Toc371355635"/>
      <w:bookmarkStart w:id="27" w:name="_Toc371360658"/>
      <w:bookmarkStart w:id="28" w:name="_Toc371710689"/>
      <w:bookmarkStart w:id="29" w:name="_Toc371715007"/>
      <w:bookmarkStart w:id="30" w:name="_Toc371715047"/>
      <w:bookmarkStart w:id="31" w:name="_Toc371729080"/>
      <w:bookmarkStart w:id="32" w:name="_Toc371729328"/>
      <w:bookmarkStart w:id="33" w:name="_Toc371729673"/>
      <w:bookmarkStart w:id="34" w:name="_Toc371729716"/>
      <w:bookmarkStart w:id="35" w:name="_Toc371730871"/>
      <w:bookmarkStart w:id="36" w:name="_Toc371737924"/>
      <w:bookmarkStart w:id="37" w:name="_Toc370243141"/>
      <w:bookmarkStart w:id="38" w:name="_Toc371355638"/>
      <w:bookmarkStart w:id="39" w:name="_Toc371360663"/>
      <w:bookmarkStart w:id="40" w:name="_Toc371710694"/>
      <w:bookmarkStart w:id="41" w:name="_Toc371715012"/>
      <w:bookmarkStart w:id="42" w:name="_Toc370243149"/>
      <w:bookmarkStart w:id="43" w:name="_Toc371355646"/>
      <w:bookmarkStart w:id="44" w:name="_Toc371360671"/>
      <w:bookmarkStart w:id="45" w:name="_Toc371710701"/>
      <w:bookmarkStart w:id="46" w:name="_Toc371715019"/>
      <w:bookmarkStart w:id="47" w:name="_Toc371715056"/>
      <w:bookmarkStart w:id="48" w:name="_Toc371729089"/>
      <w:bookmarkStart w:id="49" w:name="_Toc371729337"/>
      <w:bookmarkStart w:id="50" w:name="_Toc371729682"/>
      <w:bookmarkStart w:id="51" w:name="_Toc37172972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9E30D1">
        <w:rPr>
          <w:rFonts w:ascii="Adobe Caslon Pro" w:hAnsi="Adobe Caslon Pro" w:cs="Arial"/>
        </w:rPr>
        <w:br w:type="page"/>
      </w:r>
    </w:p>
    <w:p w:rsidR="00F958F2" w:rsidRPr="009E30D1" w:rsidRDefault="00DC3F30" w:rsidP="00DC3F30">
      <w:pPr>
        <w:pStyle w:val="Ttulo2"/>
        <w:spacing w:before="0" w:after="120"/>
      </w:pPr>
      <w:bookmarkStart w:id="52" w:name="_Toc391883379"/>
      <w:r w:rsidRPr="009E30D1">
        <w:rPr>
          <w:lang w:val="es-ES_tradnl"/>
        </w:rPr>
        <w:lastRenderedPageBreak/>
        <w:t>2.4</w:t>
      </w:r>
      <w:r w:rsidR="0014504B" w:rsidRPr="009E30D1">
        <w:rPr>
          <w:lang w:val="es-ES_tradnl"/>
        </w:rPr>
        <w:t xml:space="preserve"> </w:t>
      </w:r>
      <w:r w:rsidR="00F958F2" w:rsidRPr="009E30D1">
        <w:t>Conclusiones del diagnóstico</w:t>
      </w:r>
      <w:bookmarkEnd w:id="52"/>
      <w:r w:rsidR="00F958F2" w:rsidRPr="009E30D1">
        <w:tab/>
      </w:r>
    </w:p>
    <w:p w:rsidR="00F958F2" w:rsidRPr="009E30D1" w:rsidRDefault="00F958F2" w:rsidP="00B85C0B">
      <w:pPr>
        <w:spacing w:after="120" w:line="240" w:lineRule="auto"/>
        <w:jc w:val="both"/>
        <w:rPr>
          <w:rFonts w:ascii="Adobe Caslon Pro" w:hAnsi="Adobe Caslon Pro"/>
        </w:rPr>
      </w:pPr>
      <w:r w:rsidRPr="009E30D1">
        <w:rPr>
          <w:rFonts w:ascii="Adobe Caslon Pro" w:hAnsi="Adobe Caslon Pro"/>
        </w:rPr>
        <w:t xml:space="preserve">En los últimos años han existido avances en la atención del problema de la violencia contra las mujeres, sin embargo, se siguen presentando altos índices de violencia. De 2006 a 2011 la violencia contra las mujeres mayores de 15 años derivada de la relación con su última pareja se incrementó en términos absolutos 25.5%, al pasar de 14.9 millones de mujeres en situación de violencia (43.3% del total de mujeres) a 18.7 millones (47.0% del total de mujeres). Actualmente, del total de las mujeres mayores de 15 años (42.6 millones), el 58.4% (24.9 millones) de las mujeres ha declarado al menos un acto de violencia contra ella, ya sea ejercida por su pareja o sufrida en el ámbito laboral, escolar o social. Asimismo, la </w:t>
      </w:r>
      <w:r w:rsidR="007F4DC0" w:rsidRPr="009E30D1">
        <w:rPr>
          <w:rFonts w:ascii="Adobe Caslon Pro" w:hAnsi="Adobe Caslon Pro"/>
        </w:rPr>
        <w:t>CONAVIM</w:t>
      </w:r>
      <w:r w:rsidRPr="009E30D1">
        <w:rPr>
          <w:rFonts w:ascii="Adobe Caslon Pro" w:hAnsi="Adobe Caslon Pro"/>
        </w:rPr>
        <w:t xml:space="preserve"> detectó </w:t>
      </w:r>
      <w:r w:rsidR="00367044" w:rsidRPr="009E30D1">
        <w:rPr>
          <w:rFonts w:ascii="Adobe Caslon Pro" w:hAnsi="Adobe Caslon Pro"/>
        </w:rPr>
        <w:t xml:space="preserve">en 2012 </w:t>
      </w:r>
      <w:r w:rsidRPr="009E30D1">
        <w:rPr>
          <w:rFonts w:ascii="Adobe Caslon Pro" w:hAnsi="Adobe Caslon Pro"/>
        </w:rPr>
        <w:t xml:space="preserve">un aumento en el homicidio de mujeres con armas de fuego y punzocortantes, así como por estrangulación y ahogamiento. </w:t>
      </w:r>
    </w:p>
    <w:p w:rsidR="00F958F2" w:rsidRPr="009E30D1" w:rsidRDefault="00F958F2" w:rsidP="00B85C0B">
      <w:pPr>
        <w:spacing w:after="120" w:line="240" w:lineRule="auto"/>
        <w:jc w:val="both"/>
        <w:rPr>
          <w:rFonts w:ascii="Adobe Caslon Pro" w:hAnsi="Adobe Caslon Pro"/>
        </w:rPr>
      </w:pPr>
      <w:r w:rsidRPr="009E30D1">
        <w:rPr>
          <w:rFonts w:ascii="Adobe Caslon Pro" w:hAnsi="Adobe Caslon Pro"/>
        </w:rPr>
        <w:t>De acuerdo a la caracterización realizada de la población potencial y objetivo, se identificó que las mujeres con menores oportunidades de desarrollo personal, presentan mayores niveles de violencia física y económica, asimismo, sus hogares son lo</w:t>
      </w:r>
      <w:r w:rsidR="007F4DC0" w:rsidRPr="009E30D1">
        <w:rPr>
          <w:rFonts w:ascii="Adobe Caslon Pro" w:hAnsi="Adobe Caslon Pro"/>
        </w:rPr>
        <w:t>s</w:t>
      </w:r>
      <w:r w:rsidRPr="009E30D1">
        <w:rPr>
          <w:rFonts w:ascii="Adobe Caslon Pro" w:hAnsi="Adobe Caslon Pro"/>
        </w:rPr>
        <w:t xml:space="preserve"> que presentan menor acceso a líneas telefónicas, por lo que la atención de emergencias a tr</w:t>
      </w:r>
      <w:r w:rsidR="007F4DC0" w:rsidRPr="009E30D1">
        <w:rPr>
          <w:rFonts w:ascii="Adobe Caslon Pro" w:hAnsi="Adobe Caslon Pro"/>
        </w:rPr>
        <w:t xml:space="preserve">avés de este mecanismo </w:t>
      </w:r>
      <w:r w:rsidRPr="009E30D1">
        <w:rPr>
          <w:rFonts w:ascii="Adobe Caslon Pro" w:hAnsi="Adobe Caslon Pro"/>
        </w:rPr>
        <w:t xml:space="preserve">puede ser limitada. La atención al problema de la violencia contra las mujeres debe ser una prioridad debido a que afecta </w:t>
      </w:r>
      <w:r w:rsidR="007F4DC0" w:rsidRPr="009E30D1">
        <w:rPr>
          <w:rFonts w:ascii="Adobe Caslon Pro" w:hAnsi="Adobe Caslon Pro"/>
        </w:rPr>
        <w:t>la vida</w:t>
      </w:r>
      <w:r w:rsidRPr="009E30D1">
        <w:rPr>
          <w:rFonts w:ascii="Adobe Caslon Pro" w:hAnsi="Adobe Caslon Pro"/>
        </w:rPr>
        <w:t xml:space="preserve"> de innumerables mujeres impidiendo que alcancen el pleno desarrollo de sus capacidades, causa daños a las familias y las comunidades, refuerza otros tipos de violencia y limita el desarrollo del país.</w:t>
      </w:r>
    </w:p>
    <w:p w:rsidR="00F958F2" w:rsidRPr="009E30D1" w:rsidRDefault="007F4DC0" w:rsidP="00B85C0B">
      <w:pPr>
        <w:spacing w:after="120" w:line="240" w:lineRule="auto"/>
        <w:jc w:val="both"/>
        <w:rPr>
          <w:rFonts w:ascii="Adobe Caslon Pro" w:hAnsi="Adobe Caslon Pro"/>
        </w:rPr>
      </w:pPr>
      <w:r w:rsidRPr="009E30D1">
        <w:rPr>
          <w:rFonts w:ascii="Adobe Caslon Pro" w:hAnsi="Adobe Caslon Pro"/>
        </w:rPr>
        <w:t>P</w:t>
      </w:r>
      <w:r w:rsidR="00F958F2" w:rsidRPr="009E30D1">
        <w:rPr>
          <w:rFonts w:ascii="Adobe Caslon Pro" w:hAnsi="Adobe Caslon Pro"/>
        </w:rPr>
        <w:t>ara poner fin a la impunidad y eliminar la violencia contra las mujeres es necesario reconocer que la violencia contra las mujeres es una violación de los derechos humanos y se encuentra arraigada en las relaciones de poder históricamente desiguales entre los hombres y las mujeres. Asimismo, es necesario tomar medidas adecuadas para la atención de las principales causas del problema como son: la discriminación contra las mujeres, el bajo nivel de empoderamiento de las mujeres, los bajos niveles de procuración de justicia</w:t>
      </w:r>
      <w:r w:rsidR="00367044" w:rsidRPr="009E30D1">
        <w:rPr>
          <w:rFonts w:ascii="Adobe Caslon Pro" w:hAnsi="Adobe Caslon Pro"/>
        </w:rPr>
        <w:t xml:space="preserve"> en casos de</w:t>
      </w:r>
      <w:r w:rsidR="00F958F2" w:rsidRPr="009E30D1">
        <w:rPr>
          <w:rFonts w:ascii="Adobe Caslon Pro" w:hAnsi="Adobe Caslon Pro"/>
        </w:rPr>
        <w:t xml:space="preserve"> violencia contra las mujeres y la deficiente atención de la violencia contra las mujeres. Para ello, es preciso que toda la administración pública involucrada en la solución del problema mejore sus propuestas de atención en el marco de sus respectivas atribuciones y realice los acuerdos necesarios para la generación de sinergias de sus acciones que permitan dar una respuesta eficiente e integral al problema de la violencia contra las mujeres.</w:t>
      </w:r>
      <w:r w:rsidR="009051CC" w:rsidRPr="009E30D1">
        <w:rPr>
          <w:rFonts w:ascii="Adobe Caslon Pro" w:hAnsi="Adobe Caslon Pro"/>
        </w:rPr>
        <w:t xml:space="preserve"> </w:t>
      </w:r>
    </w:p>
    <w:p w:rsidR="007B4482" w:rsidRPr="009E30D1" w:rsidRDefault="007B4482" w:rsidP="00B85C0B">
      <w:pPr>
        <w:spacing w:after="120" w:line="240" w:lineRule="auto"/>
        <w:jc w:val="both"/>
        <w:rPr>
          <w:rFonts w:ascii="Adobe Caslon Pro" w:hAnsi="Adobe Caslon Pro"/>
        </w:rPr>
      </w:pPr>
      <w:r w:rsidRPr="009E30D1">
        <w:rPr>
          <w:rFonts w:ascii="Adobe Caslon Pro" w:hAnsi="Adobe Caslon Pro"/>
        </w:rPr>
        <w:t>Derivado del análisis del árbol de problemas se identificó que las causas que originan la violencia contra las mujeres pueden agruparse en dos grandes pilares: aquellas relacionadas con la prevención y aquellas relacionadas con la atención</w:t>
      </w:r>
      <w:r w:rsidR="00B87FAA" w:rsidRPr="009E30D1">
        <w:rPr>
          <w:rFonts w:ascii="Adobe Caslon Pro" w:hAnsi="Adobe Caslon Pro"/>
        </w:rPr>
        <w:t xml:space="preserve"> (ver figura 5)</w:t>
      </w:r>
      <w:r w:rsidRPr="009E30D1">
        <w:rPr>
          <w:rFonts w:ascii="Adobe Caslon Pro" w:hAnsi="Adobe Caslon Pro"/>
        </w:rPr>
        <w:t>. Si bien el árbol de problemas identifica como problema central los altos niveles de violencia, es importante reconocer que la violencia contra las mujeres s</w:t>
      </w:r>
      <w:r w:rsidR="001D5AB8" w:rsidRPr="009E30D1">
        <w:rPr>
          <w:rFonts w:ascii="Adobe Caslon Pro" w:hAnsi="Adobe Caslon Pro"/>
        </w:rPr>
        <w:t>ó</w:t>
      </w:r>
      <w:r w:rsidRPr="009E30D1">
        <w:rPr>
          <w:rFonts w:ascii="Adobe Caslon Pro" w:hAnsi="Adobe Caslon Pro"/>
        </w:rPr>
        <w:t>lo puede resolverse a través de la contribución de diversas inst</w:t>
      </w:r>
      <w:r w:rsidR="00B87FAA" w:rsidRPr="009E30D1">
        <w:rPr>
          <w:rFonts w:ascii="Adobe Caslon Pro" w:hAnsi="Adobe Caslon Pro"/>
        </w:rPr>
        <w:t>i</w:t>
      </w:r>
      <w:r w:rsidRPr="009E30D1">
        <w:rPr>
          <w:rFonts w:ascii="Adobe Caslon Pro" w:hAnsi="Adobe Caslon Pro"/>
        </w:rPr>
        <w:t xml:space="preserve">tuciones públicas, </w:t>
      </w:r>
      <w:r w:rsidR="00B87FAA" w:rsidRPr="009E30D1">
        <w:rPr>
          <w:rFonts w:ascii="Adobe Caslon Pro" w:hAnsi="Adobe Caslon Pro"/>
        </w:rPr>
        <w:t>privadas y sociales a través de</w:t>
      </w:r>
      <w:r w:rsidRPr="009E30D1">
        <w:rPr>
          <w:rFonts w:ascii="Adobe Caslon Pro" w:hAnsi="Adobe Caslon Pro"/>
        </w:rPr>
        <w:t xml:space="preserve"> cambios en la cultura</w:t>
      </w:r>
      <w:r w:rsidR="00B87FAA" w:rsidRPr="009E30D1">
        <w:rPr>
          <w:rFonts w:ascii="Adobe Caslon Pro" w:hAnsi="Adobe Caslon Pro"/>
        </w:rPr>
        <w:t>, en la atención, en la prevención y en la coordinación institucional</w:t>
      </w:r>
      <w:r w:rsidRPr="009E30D1">
        <w:rPr>
          <w:rFonts w:ascii="Adobe Caslon Pro" w:hAnsi="Adobe Caslon Pro"/>
        </w:rPr>
        <w:t>. Por ello es importante que la administración pública diseñe diversos pr</w:t>
      </w:r>
      <w:r w:rsidR="00B87FAA" w:rsidRPr="009E30D1">
        <w:rPr>
          <w:rFonts w:ascii="Adobe Caslon Pro" w:hAnsi="Adobe Caslon Pro"/>
        </w:rPr>
        <w:t xml:space="preserve">ogramas que </w:t>
      </w:r>
      <w:r w:rsidR="00B87FAA" w:rsidRPr="009E30D1">
        <w:rPr>
          <w:rFonts w:ascii="Adobe Caslon Pro" w:hAnsi="Adobe Caslon Pro"/>
        </w:rPr>
        <w:lastRenderedPageBreak/>
        <w:t>ataquen la problemática desde distintas perspectivas. Para el caso de la</w:t>
      </w:r>
      <w:r w:rsidRPr="009E30D1">
        <w:rPr>
          <w:rFonts w:ascii="Adobe Caslon Pro" w:hAnsi="Adobe Caslon Pro"/>
        </w:rPr>
        <w:t xml:space="preserve"> S</w:t>
      </w:r>
      <w:r w:rsidR="00B87FAA" w:rsidRPr="009E30D1">
        <w:rPr>
          <w:rFonts w:ascii="Adobe Caslon Pro" w:hAnsi="Adobe Caslon Pro"/>
        </w:rPr>
        <w:t>EDESOL</w:t>
      </w:r>
      <w:r w:rsidRPr="009E30D1">
        <w:rPr>
          <w:rFonts w:ascii="Adobe Caslon Pro" w:hAnsi="Adobe Caslon Pro"/>
        </w:rPr>
        <w:t xml:space="preserve">, </w:t>
      </w:r>
      <w:r w:rsidR="00B87FAA" w:rsidRPr="009E30D1">
        <w:rPr>
          <w:rFonts w:ascii="Adobe Caslon Pro" w:hAnsi="Adobe Caslon Pro"/>
        </w:rPr>
        <w:t xml:space="preserve">que </w:t>
      </w:r>
      <w:r w:rsidRPr="009E30D1">
        <w:rPr>
          <w:rFonts w:ascii="Adobe Caslon Pro" w:hAnsi="Adobe Caslon Pro"/>
        </w:rPr>
        <w:t>dentro de sus objetivos se encuentra el lograr una sociedad más igualitaria</w:t>
      </w:r>
      <w:r w:rsidR="00B87FAA" w:rsidRPr="009E30D1">
        <w:rPr>
          <w:rFonts w:ascii="Adobe Caslon Pro" w:hAnsi="Adobe Caslon Pro"/>
        </w:rPr>
        <w:t>,</w:t>
      </w:r>
      <w:r w:rsidR="0014504B" w:rsidRPr="009E30D1">
        <w:rPr>
          <w:rFonts w:ascii="Adobe Caslon Pro" w:hAnsi="Adobe Caslon Pro"/>
        </w:rPr>
        <w:t xml:space="preserve"> </w:t>
      </w:r>
      <w:r w:rsidRPr="009E30D1">
        <w:rPr>
          <w:rFonts w:ascii="Adobe Caslon Pro" w:hAnsi="Adobe Caslon Pro"/>
        </w:rPr>
        <w:t>y</w:t>
      </w:r>
      <w:r w:rsidR="00B87FAA" w:rsidRPr="009E30D1">
        <w:rPr>
          <w:rFonts w:ascii="Adobe Caslon Pro" w:hAnsi="Adobe Caslon Pro"/>
        </w:rPr>
        <w:t xml:space="preserve"> que</w:t>
      </w:r>
      <w:r w:rsidRPr="009E30D1">
        <w:rPr>
          <w:rFonts w:ascii="Adobe Caslon Pro" w:hAnsi="Adobe Caslon Pro"/>
        </w:rPr>
        <w:t xml:space="preserve"> dentro de sus atribuciones </w:t>
      </w:r>
      <w:r w:rsidR="00281196" w:rsidRPr="009E30D1">
        <w:rPr>
          <w:rFonts w:ascii="Adobe Caslon Pro" w:hAnsi="Adobe Caslon Pro"/>
        </w:rPr>
        <w:t>enmarcadas</w:t>
      </w:r>
      <w:r w:rsidRPr="009E30D1">
        <w:rPr>
          <w:rFonts w:ascii="Adobe Caslon Pro" w:hAnsi="Adobe Caslon Pro"/>
        </w:rPr>
        <w:t xml:space="preserve"> en la LGAMVLV está el prevenir y atender la violencia contra las mujeres, se han reagrupado las causas del árbol de problemas en aquellas a las que la S</w:t>
      </w:r>
      <w:r w:rsidR="00B87FAA" w:rsidRPr="009E30D1">
        <w:rPr>
          <w:rFonts w:ascii="Adobe Caslon Pro" w:hAnsi="Adobe Caslon Pro"/>
        </w:rPr>
        <w:t>EDESOL</w:t>
      </w:r>
      <w:r w:rsidRPr="009E30D1">
        <w:rPr>
          <w:rFonts w:ascii="Adobe Caslon Pro" w:hAnsi="Adobe Caslon Pro"/>
        </w:rPr>
        <w:t xml:space="preserve"> puede dar atención directa. De este modo, la propuesta para una intervención pública debe centrarse en mejorar la atención y prevención de la violencia, para que de esta manera se contribuy</w:t>
      </w:r>
      <w:r w:rsidR="00B87FAA" w:rsidRPr="009E30D1">
        <w:rPr>
          <w:rFonts w:ascii="Adobe Caslon Pro" w:hAnsi="Adobe Caslon Pro"/>
        </w:rPr>
        <w:t>a a atacar el problema central.</w:t>
      </w:r>
    </w:p>
    <w:p w:rsidR="007B4482" w:rsidRPr="009E30D1" w:rsidRDefault="007B4482" w:rsidP="00B85C0B">
      <w:pPr>
        <w:spacing w:after="120" w:line="240" w:lineRule="auto"/>
        <w:jc w:val="both"/>
        <w:rPr>
          <w:rFonts w:ascii="Adobe Caslon Pro" w:hAnsi="Adobe Caslon Pro"/>
        </w:rPr>
      </w:pPr>
    </w:p>
    <w:p w:rsidR="007F4DC0" w:rsidRPr="009E30D1" w:rsidRDefault="007F4DC0" w:rsidP="00B85C0B">
      <w:pPr>
        <w:spacing w:after="120" w:line="240" w:lineRule="auto"/>
        <w:rPr>
          <w:rFonts w:ascii="Adobe Caslon Pro" w:hAnsi="Adobe Caslon Pro"/>
          <w:lang w:val="es-ES_tradnl"/>
        </w:rPr>
      </w:pPr>
    </w:p>
    <w:p w:rsidR="007F4DC0" w:rsidRPr="009E30D1" w:rsidRDefault="007F4DC0" w:rsidP="00B85C0B">
      <w:pPr>
        <w:spacing w:after="120" w:line="240" w:lineRule="auto"/>
        <w:rPr>
          <w:rFonts w:ascii="Adobe Caslon Pro" w:hAnsi="Adobe Caslon Pro"/>
          <w:lang w:val="es-ES_tradnl"/>
        </w:rPr>
        <w:sectPr w:rsidR="007F4DC0" w:rsidRPr="009E30D1" w:rsidSect="00172563">
          <w:footerReference w:type="default" r:id="rId39"/>
          <w:pgSz w:w="12240" w:h="15840" w:code="1"/>
          <w:pgMar w:top="1134" w:right="1701" w:bottom="1134" w:left="1701" w:header="708" w:footer="708" w:gutter="0"/>
          <w:cols w:space="708"/>
          <w:docGrid w:linePitch="360"/>
        </w:sectPr>
      </w:pPr>
    </w:p>
    <w:p w:rsidR="0014504B" w:rsidRPr="009E30D1" w:rsidRDefault="007F4DC0" w:rsidP="00B85C0B">
      <w:pPr>
        <w:spacing w:after="120" w:line="240" w:lineRule="auto"/>
        <w:jc w:val="center"/>
        <w:rPr>
          <w:rFonts w:ascii="Adobe Caslon Pro" w:hAnsi="Adobe Caslon Pro" w:cs="Arial"/>
          <w:b/>
          <w:bCs/>
          <w:lang w:val="es-ES"/>
        </w:rPr>
      </w:pPr>
      <w:r w:rsidRPr="009E30D1">
        <w:rPr>
          <w:rFonts w:ascii="Adobe Caslon Pro" w:hAnsi="Adobe Caslon Pro" w:cs="Arial"/>
          <w:b/>
          <w:bCs/>
        </w:rPr>
        <w:lastRenderedPageBreak/>
        <w:t>Figura 5</w:t>
      </w:r>
      <w:r w:rsidRPr="009E30D1">
        <w:rPr>
          <w:rFonts w:ascii="Adobe Caslon Pro" w:hAnsi="Adobe Caslon Pro" w:cs="Arial"/>
          <w:b/>
          <w:bCs/>
          <w:lang w:val="es-ES"/>
        </w:rPr>
        <w:t xml:space="preserve">. Árbol de problemas del PAIMEF </w:t>
      </w:r>
    </w:p>
    <w:p w:rsidR="0014504B" w:rsidRPr="009E30D1" w:rsidRDefault="0014504B" w:rsidP="00B85C0B">
      <w:pPr>
        <w:spacing w:after="120" w:line="240" w:lineRule="auto"/>
        <w:jc w:val="center"/>
        <w:rPr>
          <w:rFonts w:ascii="Adobe Caslon Pro" w:hAnsi="Adobe Caslon Pro"/>
          <w:lang w:val="es-ES_tradnl"/>
        </w:rPr>
      </w:pPr>
      <w:r w:rsidRPr="009E30D1">
        <w:rPr>
          <w:rFonts w:ascii="Adobe Caslon Pro" w:hAnsi="Adobe Caslon Pro"/>
          <w:noProof/>
          <w:lang w:eastAsia="es-MX"/>
        </w:rPr>
        <w:drawing>
          <wp:inline distT="0" distB="0" distL="0" distR="0" wp14:anchorId="75A9E840" wp14:editId="123FCC20">
            <wp:extent cx="6648197" cy="4908430"/>
            <wp:effectExtent l="0" t="0" r="635"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7139" cy="4929798"/>
                    </a:xfrm>
                    <a:prstGeom prst="rect">
                      <a:avLst/>
                    </a:prstGeom>
                    <a:noFill/>
                  </pic:spPr>
                </pic:pic>
              </a:graphicData>
            </a:graphic>
          </wp:inline>
        </w:drawing>
      </w:r>
    </w:p>
    <w:p w:rsidR="0014504B" w:rsidRPr="009E30D1" w:rsidRDefault="0014504B" w:rsidP="0014504B">
      <w:pPr>
        <w:spacing w:after="120" w:line="240" w:lineRule="auto"/>
        <w:jc w:val="center"/>
        <w:rPr>
          <w:rFonts w:ascii="Adobe Caslon Pro" w:hAnsi="Adobe Caslon Pro"/>
        </w:rPr>
      </w:pPr>
      <w:r w:rsidRPr="009E30D1">
        <w:rPr>
          <w:rFonts w:ascii="Adobe Caslon Pro" w:hAnsi="Adobe Caslon Pro"/>
        </w:rPr>
        <w:t>Fuente: colaboración de la SPPE</w:t>
      </w:r>
    </w:p>
    <w:p w:rsidR="0014504B" w:rsidRPr="009E30D1" w:rsidRDefault="0014504B" w:rsidP="00B85C0B">
      <w:pPr>
        <w:spacing w:after="120" w:line="240" w:lineRule="auto"/>
        <w:jc w:val="center"/>
        <w:rPr>
          <w:rFonts w:ascii="Adobe Caslon Pro" w:hAnsi="Adobe Caslon Pro"/>
          <w:lang w:val="es-ES_tradnl"/>
        </w:rPr>
        <w:sectPr w:rsidR="0014504B" w:rsidRPr="009E30D1" w:rsidSect="0014504B">
          <w:pgSz w:w="15840" w:h="12240" w:orient="landscape"/>
          <w:pgMar w:top="1701" w:right="1418" w:bottom="1701" w:left="1418" w:header="709" w:footer="709" w:gutter="0"/>
          <w:cols w:space="708"/>
          <w:docGrid w:linePitch="360"/>
        </w:sectPr>
      </w:pPr>
    </w:p>
    <w:p w:rsidR="009F452A" w:rsidRPr="009E30D1" w:rsidRDefault="00347B2F" w:rsidP="0014504B">
      <w:pPr>
        <w:rPr>
          <w:rFonts w:ascii="Adobe Caslon Pro" w:hAnsi="Adobe Caslon Pro"/>
        </w:rPr>
      </w:pPr>
      <w:r w:rsidRPr="009E30D1">
        <w:rPr>
          <w:rFonts w:ascii="Adobe Caslon Pro" w:hAnsi="Adobe Caslon Pro"/>
          <w:noProof/>
          <w:lang w:eastAsia="es-MX"/>
        </w:rPr>
        <w:lastRenderedPageBreak/>
        <mc:AlternateContent>
          <mc:Choice Requires="wps">
            <w:drawing>
              <wp:anchor distT="0" distB="0" distL="114300" distR="114300" simplePos="0" relativeHeight="251668480" behindDoc="0" locked="0" layoutInCell="1" allowOverlap="1" wp14:anchorId="34869841" wp14:editId="2A8BCB08">
                <wp:simplePos x="0" y="0"/>
                <wp:positionH relativeFrom="column">
                  <wp:posOffset>-118745</wp:posOffset>
                </wp:positionH>
                <wp:positionV relativeFrom="paragraph">
                  <wp:posOffset>7863840</wp:posOffset>
                </wp:positionV>
                <wp:extent cx="6827520" cy="1261110"/>
                <wp:effectExtent l="0" t="0" r="0" b="0"/>
                <wp:wrapSquare wrapText="bothSides"/>
                <wp:docPr id="29"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1261110"/>
                        </a:xfrm>
                        <a:prstGeom prst="rect">
                          <a:avLst/>
                        </a:prstGeom>
                        <a:noFill/>
                        <a:ln w="6350">
                          <a:noFill/>
                        </a:ln>
                        <a:effectLst/>
                      </wps:spPr>
                      <wps:txbx>
                        <w:txbxContent>
                          <w:p w:rsidR="0098717D" w:rsidRPr="00347B2F" w:rsidRDefault="0098717D" w:rsidP="00347B2F">
                            <w:pPr>
                              <w:pStyle w:val="Ttulo1"/>
                              <w:jc w:val="right"/>
                              <w:rPr>
                                <w:color w:val="FFFFFF" w:themeColor="background1"/>
                                <w:sz w:val="96"/>
                              </w:rPr>
                            </w:pPr>
                            <w:bookmarkStart w:id="53" w:name="_Toc391883380"/>
                            <w:r>
                              <w:rPr>
                                <w:color w:val="FFFFFF" w:themeColor="background1"/>
                                <w:sz w:val="96"/>
                              </w:rPr>
                              <w:t xml:space="preserve">3. </w:t>
                            </w:r>
                            <w:r w:rsidRPr="00347B2F">
                              <w:rPr>
                                <w:color w:val="FFFFFF" w:themeColor="background1"/>
                                <w:sz w:val="96"/>
                              </w:rPr>
                              <w:t>Propuesta de atención</w:t>
                            </w:r>
                            <w:bookmarkEnd w:id="53"/>
                            <w:r w:rsidRPr="00347B2F">
                              <w:rPr>
                                <w:color w:val="FFFFFF" w:themeColor="background1"/>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9.35pt;margin-top:619.2pt;width:537.6pt;height: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" filled="f" stroked="f" strokeweight=".5pt">
                <v:path arrowok="t"/>
                <v:textbox>
                  <w:txbxContent>
                    <w:p w:rsidR="0098717D" w:rsidRPr="00347B2F" w:rsidRDefault="0098717D" w:rsidP="00347B2F">
                      <w:pPr>
                        <w:pStyle w:val="Ttulo1"/>
                        <w:jc w:val="right"/>
                        <w:rPr>
                          <w:color w:val="FFFFFF" w:themeColor="background1"/>
                          <w:sz w:val="96"/>
                        </w:rPr>
                      </w:pPr>
                      <w:bookmarkStart w:id="57" w:name="_Toc391883380"/>
                      <w:r>
                        <w:rPr>
                          <w:color w:val="FFFFFF" w:themeColor="background1"/>
                          <w:sz w:val="96"/>
                        </w:rPr>
                        <w:t xml:space="preserve">3. </w:t>
                      </w:r>
                      <w:r w:rsidRPr="00347B2F">
                        <w:rPr>
                          <w:color w:val="FFFFFF" w:themeColor="background1"/>
                          <w:sz w:val="96"/>
                        </w:rPr>
                        <w:t>Propuesta de atención</w:t>
                      </w:r>
                      <w:bookmarkEnd w:id="57"/>
                      <w:r w:rsidRPr="00347B2F">
                        <w:rPr>
                          <w:color w:val="FFFFFF" w:themeColor="background1"/>
                          <w:sz w:val="96"/>
                        </w:rPr>
                        <w:t xml:space="preserve"> </w:t>
                      </w:r>
                    </w:p>
                  </w:txbxContent>
                </v:textbox>
                <w10:wrap type="square"/>
              </v:shape>
            </w:pict>
          </mc:Fallback>
        </mc:AlternateContent>
      </w:r>
      <w:r w:rsidRPr="009E30D1">
        <w:rPr>
          <w:rFonts w:ascii="Adobe Caslon Pro" w:hAnsi="Adobe Caslon Pro"/>
          <w:noProof/>
          <w:lang w:eastAsia="es-MX"/>
        </w:rPr>
        <w:drawing>
          <wp:anchor distT="0" distB="0" distL="114300" distR="114300" simplePos="0" relativeHeight="251667456" behindDoc="0" locked="0" layoutInCell="1" allowOverlap="1" wp14:anchorId="4FF8CE71" wp14:editId="1714AB68">
            <wp:simplePos x="0" y="0"/>
            <wp:positionH relativeFrom="column">
              <wp:posOffset>-1082040</wp:posOffset>
            </wp:positionH>
            <wp:positionV relativeFrom="paragraph">
              <wp:posOffset>-932815</wp:posOffset>
            </wp:positionV>
            <wp:extent cx="7787640" cy="10094595"/>
            <wp:effectExtent l="0" t="0" r="3810" b="1905"/>
            <wp:wrapSquare wrapText="bothSides"/>
            <wp:docPr id="30" name="Imagen 30"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9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lastRenderedPageBreak/>
        <w:t>La disminución de los altos niveles de violencia contra las mujeres es una prioridad del Estado Mexicano dado que afecta la vida de innumerables mujeres e impide que alcancen el pleno desarrollo de sus capacidades, causa daños a las familias y a las comunidades, fomenta una sociedad desigual en el ejercicio de sus derechos sociales y limita el desarrollo del país.</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Para lograr la disminución de la violencia contra las mujeres es necesario reconocer que esta situación es una violación de los derechos humanos que se encuentra arraigada en las relaciones de poder históricamente desiguales entre los hombres y las mujeres. Asimismo, debe reconocerse que la violencia contra las mujeres es un problema multidimensional y multifactorial, y que para su abordaje es necesario realizar acciones que atiendan sus principales causas, como son la discriminación, el bajo nivel de empoderamiento, la deficiente atención de la violencia contra las mujeres y los bajos niveles de procuración de justicia, elementos identificados en el apartado de diagnóstico.</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La violencia contra las mujeres es un problema que no puede verse de manera aislada, se trata de un problema de carácter global que para ser atendido demanda la implementación de diversos tipos de acciones que van desde combatir las raíces culturales, cognitivas y sociales que acompañan esta situación, así como la implementación de acciones a favor de quienes ya se encuentran en situación de violencia para revertir los efectos y las consecuencias negativas. Asimismo, se requieren acciones intersectoriales e </w:t>
      </w:r>
      <w:proofErr w:type="spellStart"/>
      <w:r w:rsidRPr="009E30D1">
        <w:rPr>
          <w:rFonts w:ascii="Adobe Caslon Pro" w:hAnsi="Adobe Caslon Pro"/>
        </w:rPr>
        <w:t>interinstucionales</w:t>
      </w:r>
      <w:proofErr w:type="spellEnd"/>
      <w:r w:rsidRPr="009E30D1">
        <w:rPr>
          <w:rFonts w:ascii="Adobe Caslon Pro" w:hAnsi="Adobe Caslon Pro"/>
        </w:rPr>
        <w:t xml:space="preserve"> donde las instituciones públicas, privadas y sociales conjuguen esfuerzos para garantizar a las mujeres mexicanas una vida libre de violencia como parte de sus derechos fundamentales.</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Como se pudo observar en el diagnóstico que antecede, las causas de los altos niveles de violencia contra las mujeres son complejas, de diversa índole y se encuentran íntimamente interrelacionadas unas con otras. No obstante, con la finalidad de focalizar las acciones para una intervención pública que busque disminuir los altos niveles de violencia contra las mujeres, se observa que por sus características las causas pueden agruparse en dos elementos de suma relevancia: la prevención y la atención. Estos dos elementos se deben desarrollar de manera conjunta, pues al ser la violencia un problema estructural donde convergen distintos factores que afectan a la sociedad en su conjunto, atenderla implica impulsar acciones desde diferentes sectores y con distintos alcances y niveles de intervención.</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Por consiguiente se deben diseñar </w:t>
      </w:r>
      <w:r w:rsidRPr="009E30D1">
        <w:rPr>
          <w:rFonts w:ascii="Adobe Caslon Pro" w:hAnsi="Adobe Caslon Pro"/>
          <w:b/>
        </w:rPr>
        <w:t>políticas públicas integrales</w:t>
      </w:r>
      <w:r w:rsidRPr="009E30D1">
        <w:rPr>
          <w:rFonts w:ascii="Adobe Caslon Pro" w:hAnsi="Adobe Caslon Pro"/>
        </w:rPr>
        <w:t xml:space="preserve"> con una visión de Estado sobre el problema, que den un salto cualitativo </w:t>
      </w:r>
      <w:r w:rsidRPr="009E30D1">
        <w:rPr>
          <w:rFonts w:ascii="Adobe Caslon Pro" w:hAnsi="Adobe Caslon Pro"/>
          <w:b/>
        </w:rPr>
        <w:t xml:space="preserve">hacia la prevención y atención </w:t>
      </w:r>
      <w:r w:rsidRPr="009E30D1">
        <w:rPr>
          <w:rFonts w:ascii="Adobe Caslon Pro" w:hAnsi="Adobe Caslon Pro"/>
        </w:rPr>
        <w:t>de la violencia contra las mujeres, para institucionalizar y organizar a través de la implementación de programas, todos los esfuerzos emprendidos a favor de una sociedad igualitaria en el ejercicio de sus derechos.</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lastRenderedPageBreak/>
        <w:t>En ese sentido, la presente propuesta de atención se centra en las estrategias de prevención y atención que para disminuir la violencia contra las mujeres, la Secretaría de Desarrollo Social puede implementar en el ámbito de sus atribuciones, con estricto apego a la política nacional sobre Perspectiva de Género –plasmada en el Plan Nacional de Desarrollo 2013-2018, “Prevención, Atención, Sanción y Erradicación de la violencia contra las mujeres”, enmarcada en la Ley General de Acceso de las Mujeres a una Vida Libre de Violencia, así como en el Programa Sectorial de Desarrollo Social 2013-2018 y sus líneas de acción, que establecen la prevención y atención de la violencia contra las mujeres a través del fortalecimiento de las instancias de mujeres en las entidades federativas y su coordinación con otras instancias públicas.</w:t>
      </w:r>
      <w:bookmarkStart w:id="54" w:name="_Toc389685686"/>
    </w:p>
    <w:p w:rsidR="00136568" w:rsidRPr="009E30D1" w:rsidRDefault="00136568" w:rsidP="00136568">
      <w:pPr>
        <w:spacing w:after="120" w:line="240" w:lineRule="auto"/>
        <w:jc w:val="both"/>
        <w:rPr>
          <w:rFonts w:ascii="Adobe Caslon Pro" w:hAnsi="Adobe Caslon Pro"/>
        </w:rPr>
      </w:pPr>
    </w:p>
    <w:p w:rsidR="00136568" w:rsidRPr="009E30D1" w:rsidRDefault="00136568" w:rsidP="00136568">
      <w:pPr>
        <w:spacing w:after="120"/>
        <w:rPr>
          <w:rFonts w:ascii="Adobe Caslon Pro" w:hAnsi="Adobe Caslon Pro" w:cstheme="majorBidi"/>
          <w:b/>
          <w:bCs/>
          <w:color w:val="C00000"/>
          <w:sz w:val="28"/>
          <w:szCs w:val="26"/>
        </w:rPr>
      </w:pPr>
      <w:r w:rsidRPr="009E30D1">
        <w:br w:type="page"/>
      </w:r>
    </w:p>
    <w:p w:rsidR="00136568" w:rsidRPr="009E30D1" w:rsidRDefault="00136568" w:rsidP="00136568">
      <w:pPr>
        <w:pStyle w:val="Ttulo2"/>
        <w:spacing w:before="0" w:after="120"/>
      </w:pPr>
      <w:bookmarkStart w:id="55" w:name="_Toc391883381"/>
      <w:r w:rsidRPr="009E30D1">
        <w:lastRenderedPageBreak/>
        <w:t>3.1 Experiencias de atención a la problemática</w:t>
      </w:r>
      <w:bookmarkEnd w:id="55"/>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Con el objeto de identificar elementos exitosos en la implementación de políticas y estrategias en materia de prevención y atención de la violencia contra las mujeres, se realizó una revisión documental de experiencias nacionales e internacionales, a través de la cual se identificaron experiencias exitosas de programas que buscar disminuir la violencia contra las mujeres mediante acciones de prevención y atención, no obstante, no se encontró a nivel nacional o internacional, algún programa que además de realizar estas acciones busque el fortalecimiento de las instancias a través de las cuales opera.</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Las experiencias exitosas encontradas se clasificaron en los siguientes tipos:</w:t>
      </w:r>
    </w:p>
    <w:p w:rsidR="00136568" w:rsidRPr="009E30D1" w:rsidRDefault="00136568" w:rsidP="00136568">
      <w:pPr>
        <w:numPr>
          <w:ilvl w:val="0"/>
          <w:numId w:val="16"/>
        </w:numPr>
        <w:spacing w:after="120" w:line="240" w:lineRule="auto"/>
        <w:rPr>
          <w:rFonts w:ascii="Adobe Caslon Pro" w:hAnsi="Adobe Caslon Pro"/>
        </w:rPr>
      </w:pPr>
      <w:r w:rsidRPr="009E30D1">
        <w:rPr>
          <w:rFonts w:ascii="Adobe Caslon Pro" w:hAnsi="Adobe Caslon Pro"/>
        </w:rPr>
        <w:t>Programas de prevención de la violencia contra las mujeres.</w:t>
      </w:r>
    </w:p>
    <w:p w:rsidR="00136568" w:rsidRPr="009E30D1" w:rsidRDefault="00136568" w:rsidP="00136568">
      <w:pPr>
        <w:numPr>
          <w:ilvl w:val="0"/>
          <w:numId w:val="16"/>
        </w:numPr>
        <w:spacing w:after="120" w:line="240" w:lineRule="auto"/>
        <w:rPr>
          <w:rFonts w:ascii="Adobe Caslon Pro" w:hAnsi="Adobe Caslon Pro"/>
        </w:rPr>
      </w:pPr>
      <w:r w:rsidRPr="009E30D1">
        <w:rPr>
          <w:rFonts w:ascii="Adobe Caslon Pro" w:hAnsi="Adobe Caslon Pro"/>
        </w:rPr>
        <w:t>Programas de atención a la violencia contra las mujeres (atención psicológica, médica y legal).</w:t>
      </w:r>
    </w:p>
    <w:p w:rsidR="00136568" w:rsidRPr="009E30D1" w:rsidRDefault="00136568" w:rsidP="00136568">
      <w:pPr>
        <w:numPr>
          <w:ilvl w:val="0"/>
          <w:numId w:val="16"/>
        </w:numPr>
        <w:spacing w:after="120" w:line="240" w:lineRule="auto"/>
        <w:rPr>
          <w:rFonts w:ascii="Adobe Caslon Pro" w:hAnsi="Adobe Caslon Pro"/>
        </w:rPr>
      </w:pPr>
      <w:r w:rsidRPr="009E30D1">
        <w:rPr>
          <w:rFonts w:ascii="Adobe Caslon Pro" w:hAnsi="Adobe Caslon Pro"/>
        </w:rPr>
        <w:t>Programas de prevención y atención a la violencia contra las mujeres.</w:t>
      </w:r>
    </w:p>
    <w:p w:rsidR="00136568" w:rsidRPr="009E30D1" w:rsidRDefault="00136568" w:rsidP="00136568">
      <w:pPr>
        <w:pStyle w:val="Prrafodelista"/>
        <w:numPr>
          <w:ilvl w:val="0"/>
          <w:numId w:val="17"/>
        </w:numPr>
        <w:spacing w:before="240" w:after="120" w:line="240" w:lineRule="auto"/>
        <w:ind w:left="284" w:hanging="284"/>
        <w:jc w:val="both"/>
        <w:rPr>
          <w:rFonts w:ascii="Adobe Caslon Pro" w:eastAsia="Calibri" w:hAnsi="Adobe Caslon Pro" w:cs="Times New Roman"/>
        </w:rPr>
      </w:pPr>
      <w:r w:rsidRPr="009E30D1">
        <w:rPr>
          <w:rFonts w:ascii="Adobe Caslon Pro" w:eastAsia="Calibri" w:hAnsi="Adobe Caslon Pro" w:cs="Times New Roman"/>
        </w:rPr>
        <w:t>Programas de prevención de la violencia contra las mujeres.</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En el primer tipo se encuentran programas como </w:t>
      </w:r>
      <w:proofErr w:type="spellStart"/>
      <w:r w:rsidRPr="009E30D1">
        <w:rPr>
          <w:rFonts w:ascii="Adobe Caslon Pro" w:hAnsi="Adobe Caslon Pro"/>
          <w:i/>
        </w:rPr>
        <w:t>The</w:t>
      </w:r>
      <w:proofErr w:type="spellEnd"/>
      <w:r w:rsidRPr="009E30D1">
        <w:rPr>
          <w:rFonts w:ascii="Adobe Caslon Pro" w:hAnsi="Adobe Caslon Pro"/>
          <w:i/>
        </w:rPr>
        <w:t xml:space="preserve"> </w:t>
      </w:r>
      <w:proofErr w:type="spellStart"/>
      <w:r w:rsidRPr="009E30D1">
        <w:rPr>
          <w:rFonts w:ascii="Adobe Caslon Pro" w:hAnsi="Adobe Caslon Pro"/>
          <w:i/>
        </w:rPr>
        <w:t>Stepping</w:t>
      </w:r>
      <w:proofErr w:type="spellEnd"/>
      <w:r w:rsidRPr="009E30D1">
        <w:rPr>
          <w:rFonts w:ascii="Adobe Caslon Pro" w:hAnsi="Adobe Caslon Pro"/>
          <w:i/>
        </w:rPr>
        <w:t xml:space="preserve"> </w:t>
      </w:r>
      <w:proofErr w:type="spellStart"/>
      <w:r w:rsidRPr="009E30D1">
        <w:rPr>
          <w:rFonts w:ascii="Adobe Caslon Pro" w:hAnsi="Adobe Caslon Pro"/>
          <w:i/>
        </w:rPr>
        <w:t>Stones</w:t>
      </w:r>
      <w:proofErr w:type="spellEnd"/>
      <w:r w:rsidRPr="009E30D1">
        <w:rPr>
          <w:rFonts w:ascii="Adobe Caslon Pro" w:hAnsi="Adobe Caslon Pro"/>
        </w:rPr>
        <w:t xml:space="preserve"> en países africanos y el </w:t>
      </w:r>
      <w:r w:rsidRPr="009E30D1">
        <w:rPr>
          <w:rFonts w:ascii="Adobe Caslon Pro" w:hAnsi="Adobe Caslon Pro"/>
          <w:i/>
        </w:rPr>
        <w:t>Programa H</w:t>
      </w:r>
      <w:r w:rsidRPr="009E30D1">
        <w:rPr>
          <w:rFonts w:ascii="Adobe Caslon Pro" w:hAnsi="Adobe Caslon Pro"/>
        </w:rPr>
        <w:t xml:space="preserve">, en países latinoamericanos, los cuales han mostrado una reducción significativa en el uso de la violencia contra la pareja y un cambio notable en las actitudes de género entre los hombres jóvenes. En ambos programas, la base de su éxito se fundamenta en que cuentan con una metodología que incluye videos educativos, que se adaptada al contexto y a los conocimientos locales/regionales. En el caso de </w:t>
      </w:r>
      <w:proofErr w:type="spellStart"/>
      <w:r w:rsidRPr="009E30D1">
        <w:rPr>
          <w:rFonts w:ascii="Adobe Caslon Pro" w:hAnsi="Adobe Caslon Pro"/>
          <w:i/>
        </w:rPr>
        <w:t>The</w:t>
      </w:r>
      <w:proofErr w:type="spellEnd"/>
      <w:r w:rsidRPr="009E30D1">
        <w:rPr>
          <w:rFonts w:ascii="Adobe Caslon Pro" w:hAnsi="Adobe Caslon Pro"/>
          <w:i/>
        </w:rPr>
        <w:t xml:space="preserve"> </w:t>
      </w:r>
      <w:proofErr w:type="spellStart"/>
      <w:r w:rsidRPr="009E30D1">
        <w:rPr>
          <w:rFonts w:ascii="Adobe Caslon Pro" w:hAnsi="Adobe Caslon Pro"/>
          <w:i/>
        </w:rPr>
        <w:t>Stteping</w:t>
      </w:r>
      <w:proofErr w:type="spellEnd"/>
      <w:r w:rsidRPr="009E30D1">
        <w:rPr>
          <w:rFonts w:ascii="Adobe Caslon Pro" w:hAnsi="Adobe Caslon Pro"/>
          <w:i/>
        </w:rPr>
        <w:t xml:space="preserve"> Stone</w:t>
      </w:r>
      <w:r w:rsidRPr="009E30D1">
        <w:rPr>
          <w:rFonts w:ascii="Adobe Caslon Pro" w:hAnsi="Adobe Caslon Pro"/>
        </w:rPr>
        <w:t xml:space="preserve">, contempla un “guía” que permite verificar la adaptación de los elementos esenciales de la metodología al contexto y a los conocimientos locales/regionales. Asimismo, capacita y orienta a los formadores sobre técnicas de facilitación de las sesiones de aprendizaje (impartición de talleres) a diferentes grupos de población, utilizando actividades vivenciales creativas (considerando a las personas implicadas como actores centrales en sus propias vidas). Adicionalmente, el programa cuenta con un sitio web, en el cual se pueden realizar intercambios de experiencias prácticas, lecciones y materiales. Además, cuenta con un sistema de evaluación con métodos cualitativos participativos triangulados con los métodos cuantitativos, que les permite obtener información para consolidar y perfeccionar la aplicación del programa, así como con indicadores de cobertura y calidad, además de datos sobre actitudes, habilidades, cambios de comportamiento de los participantes. En el caso del </w:t>
      </w:r>
      <w:r w:rsidRPr="009E30D1">
        <w:rPr>
          <w:rFonts w:ascii="Adobe Caslon Pro" w:hAnsi="Adobe Caslon Pro"/>
          <w:i/>
        </w:rPr>
        <w:t>Programa H</w:t>
      </w:r>
      <w:r w:rsidRPr="009E30D1">
        <w:rPr>
          <w:rFonts w:ascii="Adobe Caslon Pro" w:hAnsi="Adobe Caslon Pro"/>
        </w:rPr>
        <w:t xml:space="preserve">, orientado a la reeducación de hombres abusivos, la metodología incluye actividades grupales educativas </w:t>
      </w:r>
      <w:r w:rsidRPr="009E30D1">
        <w:rPr>
          <w:rFonts w:ascii="Adobe Caslon Pro" w:hAnsi="Adobe Caslon Pro"/>
        </w:rPr>
        <w:lastRenderedPageBreak/>
        <w:t>llevadas a cabo por un facilitador del mismo sexo (hombre) y elegido para ser un modelo a seguir por los jóvenes que reciben la capacitación, así como campañas en la comunidad y un innovador modelo de evaluación (la escala GEM</w:t>
      </w:r>
      <w:r w:rsidRPr="009E30D1">
        <w:rPr>
          <w:rFonts w:ascii="Adobe Caslon Pro" w:hAnsi="Adobe Caslon Pro"/>
        </w:rPr>
        <w:footnoteReference w:id="26"/>
      </w:r>
      <w:r w:rsidRPr="009E30D1">
        <w:rPr>
          <w:rFonts w:ascii="Adobe Caslon Pro" w:hAnsi="Adobe Caslon Pro"/>
        </w:rPr>
        <w:t>) complementado con evaluaciones por parte del personal de salud pública y otros profesionales que trabajan con los jóvenes, a efecto de evaluar el impacto del programa en las actitudes relacionadas con el género.</w:t>
      </w:r>
    </w:p>
    <w:p w:rsidR="00136568" w:rsidRPr="009E30D1" w:rsidRDefault="00136568" w:rsidP="00136568">
      <w:pPr>
        <w:spacing w:after="120" w:line="240" w:lineRule="auto"/>
        <w:jc w:val="center"/>
        <w:rPr>
          <w:rFonts w:ascii="Adobe Caslon Pro" w:hAnsi="Adobe Caslon Pro"/>
          <w:b/>
        </w:rPr>
      </w:pPr>
      <w:r w:rsidRPr="009E30D1">
        <w:rPr>
          <w:rFonts w:ascii="Adobe Caslon Pro" w:hAnsi="Adobe Caslon Pro"/>
          <w:b/>
        </w:rPr>
        <w:t>Cuadro 1</w:t>
      </w:r>
      <w:r w:rsidR="00276AE9" w:rsidRPr="009E30D1">
        <w:rPr>
          <w:rFonts w:ascii="Adobe Caslon Pro" w:hAnsi="Adobe Caslon Pro"/>
          <w:b/>
        </w:rPr>
        <w:t>4</w:t>
      </w:r>
      <w:r w:rsidRPr="009E30D1">
        <w:rPr>
          <w:rFonts w:ascii="Adobe Caslon Pro" w:hAnsi="Adobe Caslon Pro"/>
          <w:b/>
        </w:rPr>
        <w:t>. Programas de prevención de la violencia contra las mujeres.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912"/>
        <w:gridCol w:w="3924"/>
      </w:tblGrid>
      <w:tr w:rsidR="00136568" w:rsidRPr="009E30D1" w:rsidTr="00B41860">
        <w:trPr>
          <w:tblHeader/>
        </w:trPr>
        <w:tc>
          <w:tcPr>
            <w:tcW w:w="1225" w:type="pct"/>
            <w:shd w:val="clear" w:color="auto" w:fill="808080"/>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Datos de Identificación</w:t>
            </w:r>
          </w:p>
        </w:tc>
        <w:tc>
          <w:tcPr>
            <w:tcW w:w="1608" w:type="pct"/>
            <w:shd w:val="clear" w:color="auto" w:fill="808080"/>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Objetivo del programa</w:t>
            </w:r>
          </w:p>
        </w:tc>
        <w:tc>
          <w:tcPr>
            <w:tcW w:w="2168" w:type="pct"/>
            <w:shd w:val="clear" w:color="auto" w:fill="808080"/>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Apoyos o acciones que otorga</w:t>
            </w:r>
          </w:p>
        </w:tc>
      </w:tr>
      <w:tr w:rsidR="00136568" w:rsidRPr="009E30D1" w:rsidTr="00B41860">
        <w:tc>
          <w:tcPr>
            <w:tcW w:w="1225" w:type="pct"/>
            <w:shd w:val="clear" w:color="auto" w:fill="auto"/>
            <w:vAlign w:val="center"/>
          </w:tcPr>
          <w:p w:rsidR="00136568" w:rsidRPr="009E30D1" w:rsidRDefault="00136568" w:rsidP="00867C1B">
            <w:pPr>
              <w:spacing w:after="0" w:line="240" w:lineRule="auto"/>
              <w:rPr>
                <w:rFonts w:ascii="Adobe Caslon Pro" w:hAnsi="Adobe Caslon Pro"/>
                <w:sz w:val="20"/>
              </w:rPr>
            </w:pPr>
            <w:proofErr w:type="spellStart"/>
            <w:r w:rsidRPr="009E30D1">
              <w:rPr>
                <w:rFonts w:ascii="Adobe Caslon Pro" w:hAnsi="Adobe Caslon Pro"/>
                <w:sz w:val="20"/>
              </w:rPr>
              <w:t>The</w:t>
            </w:r>
            <w:proofErr w:type="spellEnd"/>
            <w:r w:rsidRPr="009E30D1">
              <w:rPr>
                <w:rFonts w:ascii="Adobe Caslon Pro" w:hAnsi="Adobe Caslon Pro"/>
                <w:sz w:val="20"/>
              </w:rPr>
              <w:t xml:space="preserve"> </w:t>
            </w:r>
            <w:proofErr w:type="spellStart"/>
            <w:r w:rsidRPr="009E30D1">
              <w:rPr>
                <w:rFonts w:ascii="Adobe Caslon Pro" w:hAnsi="Adobe Caslon Pro"/>
                <w:sz w:val="20"/>
              </w:rPr>
              <w:t>Stepping</w:t>
            </w:r>
            <w:proofErr w:type="spellEnd"/>
            <w:r w:rsidRPr="009E30D1">
              <w:rPr>
                <w:rFonts w:ascii="Adobe Caslon Pro" w:hAnsi="Adobe Caslon Pro"/>
                <w:sz w:val="20"/>
              </w:rPr>
              <w:t xml:space="preserve"> </w:t>
            </w:r>
            <w:proofErr w:type="spellStart"/>
            <w:r w:rsidRPr="009E30D1">
              <w:rPr>
                <w:rFonts w:ascii="Adobe Caslon Pro" w:hAnsi="Adobe Caslon Pro"/>
                <w:sz w:val="20"/>
              </w:rPr>
              <w:t>Stones</w:t>
            </w:r>
            <w:proofErr w:type="spellEnd"/>
          </w:p>
          <w:p w:rsidR="00136568" w:rsidRPr="009E30D1" w:rsidRDefault="00136568" w:rsidP="00867C1B">
            <w:pPr>
              <w:spacing w:after="0" w:line="240" w:lineRule="auto"/>
              <w:rPr>
                <w:rFonts w:ascii="Adobe Caslon Pro" w:hAnsi="Adobe Caslon Pro"/>
                <w:sz w:val="20"/>
              </w:rPr>
            </w:pPr>
          </w:p>
          <w:p w:rsidR="00136568" w:rsidRPr="009E30D1" w:rsidRDefault="00136568" w:rsidP="00867C1B">
            <w:pPr>
              <w:spacing w:after="0" w:line="240" w:lineRule="auto"/>
              <w:rPr>
                <w:rFonts w:ascii="Adobe Caslon Pro" w:hAnsi="Adobe Caslon Pro"/>
                <w:sz w:val="20"/>
              </w:rPr>
            </w:pPr>
            <w:proofErr w:type="spellStart"/>
            <w:r w:rsidRPr="009E30D1">
              <w:rPr>
                <w:rFonts w:ascii="Adobe Caslon Pro" w:hAnsi="Adobe Caslon Pro"/>
                <w:sz w:val="20"/>
              </w:rPr>
              <w:t>Salamander</w:t>
            </w:r>
            <w:proofErr w:type="spellEnd"/>
            <w:r w:rsidRPr="009E30D1">
              <w:rPr>
                <w:rFonts w:ascii="Adobe Caslon Pro" w:hAnsi="Adobe Caslon Pro"/>
                <w:sz w:val="20"/>
              </w:rPr>
              <w:t xml:space="preserve"> Trust</w:t>
            </w:r>
          </w:p>
          <w:p w:rsidR="00136568" w:rsidRPr="009E30D1" w:rsidRDefault="00136568" w:rsidP="00867C1B">
            <w:pPr>
              <w:spacing w:after="0" w:line="240" w:lineRule="auto"/>
              <w:rPr>
                <w:rFonts w:ascii="Adobe Caslon Pro" w:hAnsi="Adobe Caslon Pro"/>
                <w:sz w:val="20"/>
              </w:rPr>
            </w:pPr>
          </w:p>
          <w:p w:rsidR="00136568" w:rsidRPr="009E30D1" w:rsidRDefault="00136568" w:rsidP="00867C1B">
            <w:pPr>
              <w:spacing w:after="0" w:line="240" w:lineRule="auto"/>
              <w:rPr>
                <w:rFonts w:ascii="Adobe Caslon Pro" w:hAnsi="Adobe Caslon Pro"/>
                <w:sz w:val="20"/>
              </w:rPr>
            </w:pPr>
            <w:r w:rsidRPr="009E30D1">
              <w:rPr>
                <w:rFonts w:ascii="Adobe Caslon Pro" w:hAnsi="Adobe Caslon Pro"/>
                <w:sz w:val="20"/>
              </w:rPr>
              <w:t>Gambia, Ghana, Kenia, Filipinas, Sudáfrica, Tanzania, Uganda y Zambia.</w:t>
            </w:r>
          </w:p>
          <w:p w:rsidR="00136568" w:rsidRPr="009E30D1" w:rsidRDefault="00136568" w:rsidP="00867C1B">
            <w:pPr>
              <w:spacing w:after="0" w:line="240" w:lineRule="auto"/>
              <w:rPr>
                <w:rFonts w:ascii="Adobe Caslon Pro" w:hAnsi="Adobe Caslon Pro"/>
                <w:sz w:val="20"/>
              </w:rPr>
            </w:pPr>
          </w:p>
        </w:tc>
        <w:tc>
          <w:tcPr>
            <w:tcW w:w="1608" w:type="pct"/>
            <w:shd w:val="clear" w:color="auto" w:fill="auto"/>
            <w:vAlign w:val="center"/>
          </w:tcPr>
          <w:p w:rsidR="00136568" w:rsidRPr="009E30D1" w:rsidRDefault="00136568" w:rsidP="00867C1B">
            <w:pPr>
              <w:spacing w:after="0" w:line="240" w:lineRule="auto"/>
              <w:rPr>
                <w:rFonts w:ascii="Adobe Caslon Pro" w:hAnsi="Adobe Caslon Pro"/>
                <w:sz w:val="20"/>
              </w:rPr>
            </w:pPr>
          </w:p>
          <w:p w:rsidR="00136568" w:rsidRPr="009E30D1" w:rsidRDefault="00136568" w:rsidP="00867C1B">
            <w:pPr>
              <w:spacing w:after="0" w:line="240" w:lineRule="auto"/>
              <w:rPr>
                <w:rFonts w:ascii="Adobe Caslon Pro" w:hAnsi="Adobe Caslon Pro"/>
                <w:sz w:val="20"/>
              </w:rPr>
            </w:pPr>
            <w:r w:rsidRPr="009E30D1">
              <w:rPr>
                <w:rFonts w:ascii="Adobe Caslon Pro" w:hAnsi="Adobe Caslon Pro"/>
                <w:sz w:val="20"/>
              </w:rPr>
              <w:t>Alentar a las comunidades a preguntarse y rectificar las desigualdades de género que contribuyen al VIH / SIDA, la violencia de género y otras cuestiones relacionadas con la salud</w:t>
            </w:r>
          </w:p>
          <w:p w:rsidR="00136568" w:rsidRPr="009E30D1" w:rsidRDefault="00136568" w:rsidP="00867C1B">
            <w:pPr>
              <w:spacing w:after="0" w:line="240" w:lineRule="auto"/>
              <w:rPr>
                <w:rFonts w:ascii="Adobe Caslon Pro" w:hAnsi="Adobe Caslon Pro"/>
                <w:sz w:val="20"/>
              </w:rPr>
            </w:pPr>
          </w:p>
        </w:tc>
        <w:tc>
          <w:tcPr>
            <w:tcW w:w="2168" w:type="pct"/>
            <w:shd w:val="clear" w:color="auto" w:fill="auto"/>
            <w:vAlign w:val="center"/>
          </w:tcPr>
          <w:p w:rsidR="00136568" w:rsidRPr="009E30D1" w:rsidRDefault="00136568" w:rsidP="00867C1B">
            <w:pPr>
              <w:spacing w:after="0" w:line="240" w:lineRule="auto"/>
              <w:rPr>
                <w:rFonts w:ascii="Adobe Caslon Pro" w:hAnsi="Adobe Caslon Pro"/>
                <w:sz w:val="20"/>
              </w:rPr>
            </w:pPr>
          </w:p>
          <w:p w:rsidR="00136568" w:rsidRPr="009E30D1" w:rsidRDefault="00136568" w:rsidP="00867C1B">
            <w:pPr>
              <w:spacing w:after="0" w:line="240" w:lineRule="auto"/>
              <w:rPr>
                <w:rFonts w:ascii="Adobe Caslon Pro" w:hAnsi="Adobe Caslon Pro"/>
                <w:sz w:val="20"/>
              </w:rPr>
            </w:pPr>
            <w:r w:rsidRPr="009E30D1">
              <w:rPr>
                <w:rFonts w:ascii="Adobe Caslon Pro" w:hAnsi="Adobe Caslon Pro"/>
                <w:sz w:val="20"/>
              </w:rPr>
              <w:t xml:space="preserve">Ofrece capacitación y talleres en materia de género, de Virus de Inmunodeficiencia Humana (VIH), de comunicación y de habilidades de relación, dirigidos a toda la comunidad y a grupos específicos de personas. Brinda capacitación con un enfoque participativo de la educación no formal a través de debates compartidos y actividades creativas que se acompañan. </w:t>
            </w:r>
          </w:p>
        </w:tc>
      </w:tr>
      <w:tr w:rsidR="00136568" w:rsidRPr="009E30D1" w:rsidTr="00B41860">
        <w:tc>
          <w:tcPr>
            <w:tcW w:w="1225" w:type="pct"/>
            <w:shd w:val="clear" w:color="auto" w:fill="auto"/>
            <w:vAlign w:val="center"/>
          </w:tcPr>
          <w:p w:rsidR="00136568" w:rsidRPr="009E30D1" w:rsidRDefault="00136568" w:rsidP="00867C1B">
            <w:pPr>
              <w:spacing w:after="0" w:line="240" w:lineRule="auto"/>
              <w:rPr>
                <w:rFonts w:ascii="Adobe Caslon Pro" w:hAnsi="Adobe Caslon Pro"/>
                <w:sz w:val="20"/>
              </w:rPr>
            </w:pPr>
            <w:r w:rsidRPr="009E30D1">
              <w:rPr>
                <w:rFonts w:ascii="Adobe Caslon Pro" w:hAnsi="Adobe Caslon Pro"/>
                <w:sz w:val="20"/>
              </w:rPr>
              <w:t>Programa H</w:t>
            </w:r>
          </w:p>
          <w:p w:rsidR="00136568" w:rsidRPr="009E30D1" w:rsidRDefault="00136568" w:rsidP="00867C1B">
            <w:pPr>
              <w:spacing w:after="0" w:line="240" w:lineRule="auto"/>
              <w:rPr>
                <w:rFonts w:ascii="Adobe Caslon Pro" w:hAnsi="Adobe Caslon Pro"/>
                <w:sz w:val="20"/>
              </w:rPr>
            </w:pPr>
          </w:p>
          <w:p w:rsidR="00136568" w:rsidRPr="009E30D1" w:rsidRDefault="00136568" w:rsidP="00867C1B">
            <w:pPr>
              <w:spacing w:after="0" w:line="240" w:lineRule="auto"/>
              <w:rPr>
                <w:rFonts w:ascii="Adobe Caslon Pro" w:hAnsi="Adobe Caslon Pro"/>
                <w:sz w:val="20"/>
              </w:rPr>
            </w:pPr>
            <w:proofErr w:type="spellStart"/>
            <w:r w:rsidRPr="009E30D1">
              <w:rPr>
                <w:rFonts w:ascii="Adobe Caslon Pro" w:hAnsi="Adobe Caslon Pro"/>
                <w:sz w:val="20"/>
              </w:rPr>
              <w:t>Promundo</w:t>
            </w:r>
            <w:proofErr w:type="spellEnd"/>
          </w:p>
          <w:p w:rsidR="00136568" w:rsidRPr="009E30D1" w:rsidRDefault="00136568" w:rsidP="00867C1B">
            <w:pPr>
              <w:spacing w:after="0" w:line="240" w:lineRule="auto"/>
              <w:rPr>
                <w:rFonts w:ascii="Adobe Caslon Pro" w:hAnsi="Adobe Caslon Pro"/>
                <w:sz w:val="20"/>
              </w:rPr>
            </w:pPr>
          </w:p>
          <w:p w:rsidR="00136568" w:rsidRPr="009E30D1" w:rsidRDefault="00136568" w:rsidP="00867C1B">
            <w:pPr>
              <w:spacing w:after="0" w:line="240" w:lineRule="auto"/>
              <w:rPr>
                <w:rFonts w:ascii="Adobe Caslon Pro" w:hAnsi="Adobe Caslon Pro"/>
                <w:sz w:val="20"/>
              </w:rPr>
            </w:pPr>
            <w:r w:rsidRPr="009E30D1">
              <w:rPr>
                <w:rFonts w:ascii="Adobe Caslon Pro" w:hAnsi="Adobe Caslon Pro"/>
                <w:sz w:val="20"/>
              </w:rPr>
              <w:t>Bolivia, Brasil, Colombia, Jamaica, México y Perú.</w:t>
            </w:r>
          </w:p>
        </w:tc>
        <w:tc>
          <w:tcPr>
            <w:tcW w:w="1608" w:type="pct"/>
            <w:shd w:val="clear" w:color="auto" w:fill="auto"/>
            <w:vAlign w:val="center"/>
          </w:tcPr>
          <w:p w:rsidR="00136568" w:rsidRPr="009E30D1" w:rsidRDefault="00136568" w:rsidP="00867C1B">
            <w:pPr>
              <w:spacing w:after="0" w:line="240" w:lineRule="auto"/>
              <w:rPr>
                <w:rFonts w:ascii="Adobe Caslon Pro" w:hAnsi="Adobe Caslon Pro"/>
                <w:sz w:val="20"/>
              </w:rPr>
            </w:pPr>
            <w:r w:rsidRPr="009E30D1">
              <w:rPr>
                <w:rFonts w:ascii="Adobe Caslon Pro" w:hAnsi="Adobe Caslon Pro"/>
                <w:sz w:val="20"/>
              </w:rPr>
              <w:t>Cambiar normas de género y comportamientos sexuales</w:t>
            </w:r>
          </w:p>
        </w:tc>
        <w:tc>
          <w:tcPr>
            <w:tcW w:w="2168" w:type="pct"/>
            <w:shd w:val="clear" w:color="auto" w:fill="auto"/>
            <w:vAlign w:val="center"/>
          </w:tcPr>
          <w:p w:rsidR="00136568" w:rsidRPr="009E30D1" w:rsidRDefault="00136568" w:rsidP="00867C1B">
            <w:pPr>
              <w:spacing w:after="0" w:line="240" w:lineRule="auto"/>
              <w:rPr>
                <w:rFonts w:ascii="Adobe Caslon Pro" w:hAnsi="Adobe Caslon Pro"/>
                <w:sz w:val="20"/>
              </w:rPr>
            </w:pPr>
            <w:r w:rsidRPr="009E30D1">
              <w:rPr>
                <w:rFonts w:ascii="Adobe Caslon Pro" w:hAnsi="Adobe Caslon Pro"/>
                <w:sz w:val="20"/>
              </w:rPr>
              <w:t>Brinda servicios de consejería, médico, sensibilización en comunidad (</w:t>
            </w:r>
            <w:proofErr w:type="spellStart"/>
            <w:r w:rsidRPr="009E30D1">
              <w:rPr>
                <w:rFonts w:ascii="Adobe Caslon Pro" w:hAnsi="Adobe Caslon Pro"/>
                <w:sz w:val="20"/>
              </w:rPr>
              <w:t>Outreach</w:t>
            </w:r>
            <w:proofErr w:type="spellEnd"/>
            <w:r w:rsidRPr="009E30D1">
              <w:rPr>
                <w:rFonts w:ascii="Adobe Caslon Pro" w:hAnsi="Adobe Caslon Pro"/>
                <w:sz w:val="20"/>
              </w:rPr>
              <w:t>) y capacitación de profesionales para trabajar con jóvenes en el ámbito de la salud y la equidad de género mediante un conjunto de manuales y videos. Las actividades se basan en un manual, e incluyen juegos de rol, intercambio de ideas, y otros ejercicios de participación para ayudar a reflexionar sobre aspectos positivos y negativos de la socialización, y ponderar los beneficios de cambiar ciertos comportamientos.</w:t>
            </w:r>
          </w:p>
        </w:tc>
      </w:tr>
    </w:tbl>
    <w:p w:rsidR="00136568" w:rsidRPr="009E30D1" w:rsidRDefault="00136568" w:rsidP="00136568">
      <w:pPr>
        <w:spacing w:after="120" w:line="240" w:lineRule="auto"/>
        <w:rPr>
          <w:rFonts w:ascii="Adobe Caslon Pro" w:hAnsi="Adobe Caslon Pro"/>
          <w:sz w:val="18"/>
          <w:szCs w:val="18"/>
        </w:rPr>
      </w:pPr>
      <w:r w:rsidRPr="009E30D1">
        <w:rPr>
          <w:rFonts w:ascii="Adobe Caslon Pro" w:hAnsi="Adobe Caslon Pro"/>
          <w:sz w:val="18"/>
          <w:szCs w:val="18"/>
        </w:rPr>
        <w:t>Fuente: Elaboración propia con información de los Programas.</w:t>
      </w:r>
    </w:p>
    <w:p w:rsidR="00136568" w:rsidRPr="009E30D1" w:rsidRDefault="00136568" w:rsidP="00136568">
      <w:pPr>
        <w:spacing w:after="120" w:line="240" w:lineRule="auto"/>
        <w:rPr>
          <w:rFonts w:ascii="Adobe Caslon Pro" w:hAnsi="Adobe Caslon Pro"/>
        </w:rPr>
      </w:pPr>
    </w:p>
    <w:p w:rsidR="00136568" w:rsidRPr="009E30D1" w:rsidRDefault="00136568" w:rsidP="00136568">
      <w:pPr>
        <w:pStyle w:val="Prrafodelista"/>
        <w:numPr>
          <w:ilvl w:val="0"/>
          <w:numId w:val="17"/>
        </w:numPr>
        <w:spacing w:after="120" w:line="240" w:lineRule="auto"/>
        <w:ind w:left="284" w:hanging="284"/>
        <w:jc w:val="both"/>
        <w:rPr>
          <w:rFonts w:ascii="Adobe Caslon Pro" w:eastAsia="Calibri" w:hAnsi="Adobe Caslon Pro" w:cs="Times New Roman"/>
        </w:rPr>
      </w:pPr>
      <w:r w:rsidRPr="009E30D1">
        <w:rPr>
          <w:rFonts w:ascii="Adobe Caslon Pro" w:eastAsia="Calibri" w:hAnsi="Adobe Caslon Pro" w:cs="Times New Roman"/>
        </w:rPr>
        <w:t>Programas de atención a la violencia contra las mujeres (atención psicológica, médica y legal).</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En el segundo caso se muestran programas de atención de la violencia basados en la terapia grupal, un formato de intervención para víctimas ampliamente utilizado en ciertas ONG. Su objetivo es que la persona que ha sufrido violencia comparta sus experiencias y sensaciones y ayude así a otras personas en un ambiente fraternal, confidencial y tolerante. Los servicios de consejería, terapia individual, educación y sensibilización a la comunidad son intervenciones que se practican habitualmente dentro de las organizaciones. De las intervenciones que sobresalen se encuentran </w:t>
      </w:r>
      <w:r w:rsidRPr="009E30D1">
        <w:rPr>
          <w:rFonts w:ascii="Adobe Caslon Pro" w:hAnsi="Adobe Caslon Pro"/>
          <w:i/>
        </w:rPr>
        <w:t xml:space="preserve">Stop Abuse </w:t>
      </w:r>
      <w:proofErr w:type="spellStart"/>
      <w:r w:rsidRPr="009E30D1">
        <w:rPr>
          <w:rFonts w:ascii="Adobe Caslon Pro" w:hAnsi="Adobe Caslon Pro"/>
          <w:i/>
        </w:rPr>
        <w:t>For</w:t>
      </w:r>
      <w:proofErr w:type="spellEnd"/>
      <w:r w:rsidRPr="009E30D1">
        <w:rPr>
          <w:rFonts w:ascii="Adobe Caslon Pro" w:hAnsi="Adobe Caslon Pro"/>
          <w:i/>
        </w:rPr>
        <w:t xml:space="preserve"> </w:t>
      </w:r>
      <w:proofErr w:type="spellStart"/>
      <w:r w:rsidRPr="009E30D1">
        <w:rPr>
          <w:rFonts w:ascii="Adobe Caslon Pro" w:hAnsi="Adobe Caslon Pro"/>
          <w:i/>
        </w:rPr>
        <w:t>Everyone</w:t>
      </w:r>
      <w:proofErr w:type="spellEnd"/>
      <w:r w:rsidRPr="009E30D1">
        <w:rPr>
          <w:rFonts w:ascii="Adobe Caslon Pro" w:hAnsi="Adobe Caslon Pro"/>
        </w:rPr>
        <w:t xml:space="preserve"> y </w:t>
      </w:r>
      <w:proofErr w:type="spellStart"/>
      <w:r w:rsidRPr="009E30D1">
        <w:rPr>
          <w:rFonts w:ascii="Adobe Caslon Pro" w:hAnsi="Adobe Caslon Pro"/>
          <w:i/>
        </w:rPr>
        <w:t>Safe</w:t>
      </w:r>
      <w:proofErr w:type="spellEnd"/>
      <w:r w:rsidRPr="009E30D1">
        <w:rPr>
          <w:rFonts w:ascii="Adobe Caslon Pro" w:hAnsi="Adobe Caslon Pro"/>
          <w:i/>
        </w:rPr>
        <w:t xml:space="preserve"> Place</w:t>
      </w:r>
      <w:r w:rsidRPr="009E30D1">
        <w:rPr>
          <w:rFonts w:ascii="Adobe Caslon Pro" w:hAnsi="Adobe Caslon Pro"/>
        </w:rPr>
        <w:t xml:space="preserve"> (Estados Unidos), y </w:t>
      </w:r>
      <w:proofErr w:type="spellStart"/>
      <w:r w:rsidRPr="009E30D1">
        <w:rPr>
          <w:rFonts w:ascii="Adobe Caslon Pro" w:hAnsi="Adobe Caslon Pro"/>
          <w:i/>
        </w:rPr>
        <w:t>Battered</w:t>
      </w:r>
      <w:proofErr w:type="spellEnd"/>
      <w:r w:rsidRPr="009E30D1">
        <w:rPr>
          <w:rFonts w:ascii="Adobe Caslon Pro" w:hAnsi="Adobe Caslon Pro"/>
          <w:i/>
        </w:rPr>
        <w:t xml:space="preserve"> </w:t>
      </w:r>
      <w:proofErr w:type="spellStart"/>
      <w:r w:rsidRPr="009E30D1">
        <w:rPr>
          <w:rFonts w:ascii="Adobe Caslon Pro" w:hAnsi="Adobe Caslon Pro"/>
          <w:i/>
        </w:rPr>
        <w:t>Women’s</w:t>
      </w:r>
      <w:proofErr w:type="spellEnd"/>
      <w:r w:rsidRPr="009E30D1">
        <w:rPr>
          <w:rFonts w:ascii="Adobe Caslon Pro" w:hAnsi="Adobe Caslon Pro"/>
          <w:i/>
        </w:rPr>
        <w:t xml:space="preserve"> </w:t>
      </w:r>
      <w:proofErr w:type="spellStart"/>
      <w:r w:rsidRPr="009E30D1">
        <w:rPr>
          <w:rFonts w:ascii="Adobe Caslon Pro" w:hAnsi="Adobe Caslon Pro"/>
          <w:i/>
        </w:rPr>
        <w:t>Support</w:t>
      </w:r>
      <w:proofErr w:type="spellEnd"/>
      <w:r w:rsidRPr="009E30D1">
        <w:rPr>
          <w:rFonts w:ascii="Adobe Caslon Pro" w:hAnsi="Adobe Caslon Pro"/>
          <w:i/>
        </w:rPr>
        <w:t xml:space="preserve"> </w:t>
      </w:r>
      <w:proofErr w:type="spellStart"/>
      <w:r w:rsidRPr="009E30D1">
        <w:rPr>
          <w:rFonts w:ascii="Adobe Caslon Pro" w:hAnsi="Adobe Caslon Pro"/>
          <w:i/>
        </w:rPr>
        <w:t>Services</w:t>
      </w:r>
      <w:proofErr w:type="spellEnd"/>
      <w:r w:rsidRPr="009E30D1">
        <w:rPr>
          <w:rFonts w:ascii="Adobe Caslon Pro" w:hAnsi="Adobe Caslon Pro"/>
        </w:rPr>
        <w:t xml:space="preserve"> (Canadá).</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Los programas </w:t>
      </w:r>
      <w:proofErr w:type="spellStart"/>
      <w:r w:rsidRPr="009E30D1">
        <w:rPr>
          <w:rFonts w:ascii="Adobe Caslon Pro" w:hAnsi="Adobe Caslon Pro"/>
          <w:i/>
        </w:rPr>
        <w:t>Counseling</w:t>
      </w:r>
      <w:proofErr w:type="spellEnd"/>
      <w:r w:rsidRPr="009E30D1">
        <w:rPr>
          <w:rFonts w:ascii="Adobe Caslon Pro" w:hAnsi="Adobe Caslon Pro"/>
          <w:i/>
        </w:rPr>
        <w:t xml:space="preserve"> and </w:t>
      </w:r>
      <w:proofErr w:type="spellStart"/>
      <w:r w:rsidRPr="009E30D1">
        <w:rPr>
          <w:rFonts w:ascii="Adobe Caslon Pro" w:hAnsi="Adobe Caslon Pro"/>
          <w:i/>
        </w:rPr>
        <w:t>Education</w:t>
      </w:r>
      <w:proofErr w:type="spellEnd"/>
      <w:r w:rsidRPr="009E30D1">
        <w:rPr>
          <w:rFonts w:ascii="Adobe Caslon Pro" w:hAnsi="Adobe Caslon Pro"/>
          <w:i/>
        </w:rPr>
        <w:t xml:space="preserve"> </w:t>
      </w:r>
      <w:proofErr w:type="spellStart"/>
      <w:r w:rsidRPr="009E30D1">
        <w:rPr>
          <w:rFonts w:ascii="Adobe Caslon Pro" w:hAnsi="Adobe Caslon Pro"/>
          <w:i/>
        </w:rPr>
        <w:t>To</w:t>
      </w:r>
      <w:proofErr w:type="spellEnd"/>
      <w:r w:rsidRPr="009E30D1">
        <w:rPr>
          <w:rFonts w:ascii="Adobe Caslon Pro" w:hAnsi="Adobe Caslon Pro"/>
          <w:i/>
        </w:rPr>
        <w:t xml:space="preserve"> Stop </w:t>
      </w:r>
      <w:proofErr w:type="spellStart"/>
      <w:r w:rsidRPr="009E30D1">
        <w:rPr>
          <w:rFonts w:ascii="Adobe Caslon Pro" w:hAnsi="Adobe Caslon Pro"/>
          <w:i/>
        </w:rPr>
        <w:t>Domestic</w:t>
      </w:r>
      <w:proofErr w:type="spellEnd"/>
      <w:r w:rsidRPr="009E30D1">
        <w:rPr>
          <w:rFonts w:ascii="Adobe Caslon Pro" w:hAnsi="Adobe Caslon Pro"/>
          <w:i/>
        </w:rPr>
        <w:t xml:space="preserve"> </w:t>
      </w:r>
      <w:proofErr w:type="spellStart"/>
      <w:r w:rsidRPr="009E30D1">
        <w:rPr>
          <w:rFonts w:ascii="Adobe Caslon Pro" w:hAnsi="Adobe Caslon Pro"/>
          <w:i/>
        </w:rPr>
        <w:t>Violence</w:t>
      </w:r>
      <w:proofErr w:type="spellEnd"/>
      <w:r w:rsidRPr="009E30D1">
        <w:rPr>
          <w:rFonts w:ascii="Adobe Caslon Pro" w:hAnsi="Adobe Caslon Pro"/>
          <w:i/>
        </w:rPr>
        <w:t xml:space="preserve"> y </w:t>
      </w:r>
      <w:proofErr w:type="spellStart"/>
      <w:r w:rsidRPr="009E30D1">
        <w:rPr>
          <w:rFonts w:ascii="Adobe Caslon Pro" w:hAnsi="Adobe Caslon Pro"/>
          <w:i/>
        </w:rPr>
        <w:t>Domestic</w:t>
      </w:r>
      <w:proofErr w:type="spellEnd"/>
      <w:r w:rsidRPr="009E30D1">
        <w:rPr>
          <w:rFonts w:ascii="Adobe Caslon Pro" w:hAnsi="Adobe Caslon Pro"/>
          <w:i/>
        </w:rPr>
        <w:t xml:space="preserve"> Abuse </w:t>
      </w:r>
      <w:proofErr w:type="spellStart"/>
      <w:r w:rsidRPr="009E30D1">
        <w:rPr>
          <w:rFonts w:ascii="Adobe Caslon Pro" w:hAnsi="Adobe Caslon Pro"/>
          <w:i/>
        </w:rPr>
        <w:t>Intervention</w:t>
      </w:r>
      <w:proofErr w:type="spellEnd"/>
      <w:r w:rsidRPr="009E30D1">
        <w:rPr>
          <w:rFonts w:ascii="Adobe Caslon Pro" w:hAnsi="Adobe Caslon Pro"/>
          <w:i/>
        </w:rPr>
        <w:t xml:space="preserve"> </w:t>
      </w:r>
      <w:proofErr w:type="spellStart"/>
      <w:r w:rsidRPr="009E30D1">
        <w:rPr>
          <w:rFonts w:ascii="Adobe Caslon Pro" w:hAnsi="Adobe Caslon Pro"/>
          <w:i/>
        </w:rPr>
        <w:t>Programs</w:t>
      </w:r>
      <w:proofErr w:type="spellEnd"/>
      <w:r w:rsidRPr="009E30D1">
        <w:rPr>
          <w:rFonts w:ascii="Adobe Caslon Pro" w:hAnsi="Adobe Caslon Pro"/>
        </w:rPr>
        <w:t xml:space="preserve"> (DAIP), están enfocados a la reeducación de hombres abusivos, en particular buscan detener las prácticas de violencia de los hombres. Ambos programas consideran como un aspecto relevante de su éxito que la mayoría de los participantes reciben atención de facilitadores y terapeutas capacitados (varones), además de la incorporación de los participantes a actividades como pláticas en escuelas o centros de trabajo, asistir a programas de radio o televisión. Otro aspecto clave para su éxito es la coordinación con diversas instituciones gubernamentales, como estaciones de policía, servicios sociales y de salud, centros de investigación de violencia masculina nacionales y extranjeros, así como distintas OSC que trabajan con mujeres y jóvenes en el tema de la violencia doméstica.</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En el caso de </w:t>
      </w:r>
      <w:r w:rsidRPr="009E30D1">
        <w:rPr>
          <w:rFonts w:ascii="Adobe Caslon Pro" w:hAnsi="Adobe Caslon Pro"/>
          <w:i/>
        </w:rPr>
        <w:t>Programa Seguro Contra la Violencia Familiar</w:t>
      </w:r>
      <w:r w:rsidRPr="009E30D1">
        <w:rPr>
          <w:rFonts w:ascii="Adobe Caslon Pro" w:hAnsi="Adobe Caslon Pro"/>
        </w:rPr>
        <w:t xml:space="preserve">, es considerando como un programa integral e incluye la atención y apoyo a las mujeres víctimas de violencia familiar a través de la entrega de un apoyo económico, aunado al acompañamiento psicológico, jurídico y social. Las mujeres beneficiadas se convierten en agentes transformadores de la sociedad pues contribuyen a difundir la cultura de la tolerancia, el amor, el respeto y la dignidad de una vida sin violencia. El programa no cuenta con evidencia que muestre resultados positivos o negativos. </w:t>
      </w:r>
    </w:p>
    <w:p w:rsidR="00136568" w:rsidRPr="009E30D1" w:rsidRDefault="00136568" w:rsidP="00136568">
      <w:pPr>
        <w:rPr>
          <w:rFonts w:ascii="Adobe Caslon Pro" w:hAnsi="Adobe Caslon Pro"/>
          <w:b/>
        </w:rPr>
      </w:pPr>
      <w:r w:rsidRPr="009E30D1">
        <w:rPr>
          <w:rFonts w:ascii="Adobe Caslon Pro" w:hAnsi="Adobe Caslon Pro"/>
          <w:b/>
        </w:rPr>
        <w:br w:type="page"/>
      </w:r>
    </w:p>
    <w:p w:rsidR="00136568" w:rsidRPr="009E30D1" w:rsidRDefault="00276AE9" w:rsidP="00136568">
      <w:pPr>
        <w:spacing w:after="120" w:line="240" w:lineRule="auto"/>
        <w:jc w:val="center"/>
        <w:rPr>
          <w:rFonts w:ascii="Adobe Caslon Pro" w:hAnsi="Adobe Caslon Pro"/>
          <w:b/>
        </w:rPr>
      </w:pPr>
      <w:r w:rsidRPr="009E30D1">
        <w:rPr>
          <w:rFonts w:ascii="Adobe Caslon Pro" w:hAnsi="Adobe Caslon Pro"/>
          <w:b/>
        </w:rPr>
        <w:lastRenderedPageBreak/>
        <w:t>Cuadro 15</w:t>
      </w:r>
      <w:r w:rsidR="00136568" w:rsidRPr="009E30D1">
        <w:rPr>
          <w:rFonts w:ascii="Adobe Caslon Pro" w:hAnsi="Adobe Caslon Pro"/>
          <w:b/>
        </w:rPr>
        <w:t>. Programas de atención a la violencia contra las mujeres (atención psicológica, médica,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897"/>
        <w:gridCol w:w="3949"/>
      </w:tblGrid>
      <w:tr w:rsidR="00136568" w:rsidRPr="009E30D1" w:rsidTr="00B41860">
        <w:trPr>
          <w:tblHeader/>
          <w:jc w:val="center"/>
        </w:trPr>
        <w:tc>
          <w:tcPr>
            <w:tcW w:w="1219" w:type="pct"/>
            <w:shd w:val="clear" w:color="auto" w:fill="A6A6A6"/>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Datos de Identificación</w:t>
            </w:r>
          </w:p>
        </w:tc>
        <w:tc>
          <w:tcPr>
            <w:tcW w:w="1600" w:type="pct"/>
            <w:shd w:val="clear" w:color="auto" w:fill="A6A6A6"/>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Objetivo del programa</w:t>
            </w:r>
          </w:p>
        </w:tc>
        <w:tc>
          <w:tcPr>
            <w:tcW w:w="2181" w:type="pct"/>
            <w:shd w:val="clear" w:color="auto" w:fill="A6A6A6"/>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Apoyos o acciones que otorga</w:t>
            </w:r>
          </w:p>
        </w:tc>
      </w:tr>
      <w:tr w:rsidR="00136568" w:rsidRPr="009E30D1" w:rsidTr="00B41860">
        <w:trPr>
          <w:jc w:val="center"/>
        </w:trPr>
        <w:tc>
          <w:tcPr>
            <w:tcW w:w="1219"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lang w:val="en-US"/>
              </w:rPr>
            </w:pPr>
            <w:r w:rsidRPr="009E30D1">
              <w:rPr>
                <w:rFonts w:ascii="Adobe Caslon Pro" w:hAnsi="Adobe Caslon Pro"/>
                <w:sz w:val="20"/>
                <w:szCs w:val="20"/>
                <w:lang w:val="en-US"/>
              </w:rPr>
              <w:t>Counseling and Education To Stop Domestic Violence</w:t>
            </w:r>
          </w:p>
          <w:p w:rsidR="00136568" w:rsidRPr="009E30D1" w:rsidRDefault="00136568" w:rsidP="00B41860">
            <w:pPr>
              <w:spacing w:after="120" w:line="240" w:lineRule="auto"/>
              <w:rPr>
                <w:rFonts w:ascii="Adobe Caslon Pro" w:hAnsi="Adobe Caslon Pro"/>
                <w:sz w:val="20"/>
                <w:szCs w:val="20"/>
                <w:lang w:val="en-US"/>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 xml:space="preserve">Grupo Emerge </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proofErr w:type="spellStart"/>
            <w:r w:rsidRPr="009E30D1">
              <w:rPr>
                <w:rFonts w:ascii="Adobe Caslon Pro" w:hAnsi="Adobe Caslon Pro"/>
                <w:sz w:val="20"/>
                <w:szCs w:val="20"/>
              </w:rPr>
              <w:t>Massachussets</w:t>
            </w:r>
            <w:proofErr w:type="spellEnd"/>
            <w:r w:rsidRPr="009E30D1">
              <w:rPr>
                <w:rFonts w:ascii="Adobe Caslon Pro" w:hAnsi="Adobe Caslon Pro"/>
                <w:sz w:val="20"/>
                <w:szCs w:val="20"/>
              </w:rPr>
              <w:t>, Estados Unidos</w:t>
            </w:r>
          </w:p>
          <w:p w:rsidR="00136568" w:rsidRPr="009E30D1" w:rsidRDefault="00136568" w:rsidP="00B41860">
            <w:pPr>
              <w:spacing w:after="120" w:line="240" w:lineRule="auto"/>
              <w:rPr>
                <w:rFonts w:ascii="Adobe Caslon Pro" w:hAnsi="Adobe Caslon Pro"/>
                <w:sz w:val="20"/>
                <w:szCs w:val="20"/>
              </w:rPr>
            </w:pPr>
          </w:p>
        </w:tc>
        <w:tc>
          <w:tcPr>
            <w:tcW w:w="1600"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Apoyar a hombres que ejercen violencia hacia sus parejas e hijos.</w:t>
            </w:r>
          </w:p>
        </w:tc>
        <w:tc>
          <w:tcPr>
            <w:tcW w:w="2181"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Otorga apoyos en consejería, grupos de reflexión, participa como programa de desvío por mandato legal</w:t>
            </w:r>
            <w:r w:rsidRPr="009E30D1">
              <w:rPr>
                <w:rFonts w:ascii="Adobe Caslon Pro" w:hAnsi="Adobe Caslon Pro"/>
                <w:sz w:val="20"/>
                <w:szCs w:val="20"/>
              </w:rPr>
              <w:footnoteReference w:id="27"/>
            </w:r>
            <w:r w:rsidRPr="009E30D1">
              <w:rPr>
                <w:rFonts w:ascii="Adobe Caslon Pro" w:hAnsi="Adobe Caslon Pro"/>
                <w:sz w:val="20"/>
                <w:szCs w:val="20"/>
              </w:rPr>
              <w:t xml:space="preserve"> y otorga materiales educativos en línea.</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p>
        </w:tc>
      </w:tr>
      <w:tr w:rsidR="00136568" w:rsidRPr="009E30D1" w:rsidTr="00B41860">
        <w:trPr>
          <w:trHeight w:val="1704"/>
          <w:jc w:val="center"/>
        </w:trPr>
        <w:tc>
          <w:tcPr>
            <w:tcW w:w="1219"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Programa de Detección, Diagnóstico y Tratamiento de las Personas Afectadas por Violencia Intrafamiliar</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Ministerio de Salud (MINSAL)</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Santiago, Chile</w:t>
            </w:r>
          </w:p>
          <w:p w:rsidR="00136568" w:rsidRPr="009E30D1" w:rsidRDefault="00136568" w:rsidP="00B41860">
            <w:pPr>
              <w:spacing w:after="120" w:line="240" w:lineRule="auto"/>
              <w:rPr>
                <w:rFonts w:ascii="Adobe Caslon Pro" w:hAnsi="Adobe Caslon Pro"/>
                <w:sz w:val="20"/>
                <w:szCs w:val="20"/>
              </w:rPr>
            </w:pPr>
          </w:p>
        </w:tc>
        <w:tc>
          <w:tcPr>
            <w:tcW w:w="1600"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Brindar una atención tendiente a favorecer la protección de la mujer, eliminar la violencia, disminuir las consecuencias de la violencia en las mujeres y sus familias y desarrollar habilidades alternativas a la violencia.</w:t>
            </w:r>
          </w:p>
        </w:tc>
        <w:tc>
          <w:tcPr>
            <w:tcW w:w="2181"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Otorga gran importancia a la coordinación interinstitucional y el trabajo en red, incluyendo roles definidos para los distintos actores institucionales locales, principalmente los del nivel secundario en salud y del sector judicial. Este programa es un modelo de intervención integral en violencia intrafamiliar, que considera la intervención médica y psicosocial, en los planos individual, grupal y familiar para personas afectadas por esta problemática.</w:t>
            </w:r>
          </w:p>
        </w:tc>
      </w:tr>
      <w:tr w:rsidR="00136568" w:rsidRPr="009E30D1" w:rsidTr="00B41860">
        <w:trPr>
          <w:jc w:val="center"/>
        </w:trPr>
        <w:tc>
          <w:tcPr>
            <w:tcW w:w="1219" w:type="pct"/>
            <w:shd w:val="clear" w:color="auto" w:fill="auto"/>
            <w:vAlign w:val="center"/>
          </w:tcPr>
          <w:p w:rsidR="00136568" w:rsidRPr="009E30D1" w:rsidRDefault="00136568" w:rsidP="00B41860">
            <w:pPr>
              <w:spacing w:after="120" w:line="240" w:lineRule="auto"/>
              <w:rPr>
                <w:rFonts w:ascii="Adobe Caslon Pro" w:hAnsi="Adobe Caslon Pro"/>
                <w:sz w:val="20"/>
                <w:szCs w:val="20"/>
                <w:lang w:val="en-US"/>
              </w:rPr>
            </w:pPr>
            <w:r w:rsidRPr="009E30D1">
              <w:rPr>
                <w:rFonts w:ascii="Adobe Caslon Pro" w:hAnsi="Adobe Caslon Pro"/>
                <w:sz w:val="20"/>
                <w:szCs w:val="20"/>
                <w:lang w:val="en-US"/>
              </w:rPr>
              <w:t>Domestic Abuse Intervention Project (DAIP)</w:t>
            </w:r>
          </w:p>
          <w:p w:rsidR="00136568" w:rsidRPr="009E30D1" w:rsidRDefault="00136568" w:rsidP="00B41860">
            <w:pPr>
              <w:spacing w:after="120" w:line="240" w:lineRule="auto"/>
              <w:rPr>
                <w:rFonts w:ascii="Adobe Caslon Pro" w:hAnsi="Adobe Caslon Pro"/>
                <w:sz w:val="20"/>
                <w:szCs w:val="20"/>
                <w:lang w:val="en-US"/>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lastRenderedPageBreak/>
              <w:t>Duluth, Minnesota, Estados Unidos</w:t>
            </w:r>
          </w:p>
        </w:tc>
        <w:tc>
          <w:tcPr>
            <w:tcW w:w="1600"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lastRenderedPageBreak/>
              <w:t xml:space="preserve">DAIP trabaja para poner fin a la violencia contra las mujeres a través de sus programas en Duluth y en colaboración con los profesionales de la violencia </w:t>
            </w:r>
            <w:r w:rsidRPr="009E30D1">
              <w:rPr>
                <w:rFonts w:ascii="Adobe Caslon Pro" w:hAnsi="Adobe Caslon Pro"/>
                <w:sz w:val="20"/>
                <w:szCs w:val="20"/>
              </w:rPr>
              <w:lastRenderedPageBreak/>
              <w:t>doméstica en todo el mundo.</w:t>
            </w:r>
          </w:p>
        </w:tc>
        <w:tc>
          <w:tcPr>
            <w:tcW w:w="2181"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lastRenderedPageBreak/>
              <w:t xml:space="preserve">El programa da prioridad a las voces y experiencias de las mujeres que sufren maltrato. Considera que el maltrato es un patrón de acciones utilizados para controlar o dominar a su pareja intencional y trabaja </w:t>
            </w:r>
            <w:r w:rsidRPr="009E30D1">
              <w:rPr>
                <w:rFonts w:ascii="Adobe Caslon Pro" w:hAnsi="Adobe Caslon Pro"/>
                <w:sz w:val="20"/>
                <w:szCs w:val="20"/>
              </w:rPr>
              <w:lastRenderedPageBreak/>
              <w:t>activamente para cambiar las condiciones sociales que el uso de apoyo de los hombres de las tácticas de poder y control sobre las mujeres.</w:t>
            </w: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Ofrece oportunidades de cambio para los delincuentes a través de grupos educativos por orden judicial para maltratadores. Ofrece servicios de consejería, grupos de reflexión, participa como programa de desvío por mandato legal, ofrece materiales educativos en línea.</w:t>
            </w:r>
          </w:p>
        </w:tc>
      </w:tr>
      <w:tr w:rsidR="00136568" w:rsidRPr="009E30D1" w:rsidTr="00B41860">
        <w:trPr>
          <w:jc w:val="center"/>
        </w:trPr>
        <w:tc>
          <w:tcPr>
            <w:tcW w:w="1219"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lastRenderedPageBreak/>
              <w:t>Centro de Atención a la Violencia Intrafamiliar (CAVI)</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Procuraduría General de Justicia del DF.</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México.</w:t>
            </w:r>
          </w:p>
        </w:tc>
        <w:tc>
          <w:tcPr>
            <w:tcW w:w="1600"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Atender a mujeres víctimas de violencia de pareja; niñas y niños hasta 12 años de edad víctimas de violencia familiar.</w:t>
            </w:r>
          </w:p>
        </w:tc>
        <w:tc>
          <w:tcPr>
            <w:tcW w:w="2181"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Otorga atención de trabajo social, asesoría legal y apoyo psicoterapéutico individual y grupal a mujeres.</w:t>
            </w:r>
          </w:p>
        </w:tc>
      </w:tr>
      <w:tr w:rsidR="00136568" w:rsidRPr="009E30D1" w:rsidTr="00B41860">
        <w:trPr>
          <w:jc w:val="center"/>
        </w:trPr>
        <w:tc>
          <w:tcPr>
            <w:tcW w:w="1219"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Programa de Seguro Contra la Violencia Familiar</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SEDESO-DF.</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México.</w:t>
            </w:r>
          </w:p>
          <w:p w:rsidR="00136568" w:rsidRPr="009E30D1" w:rsidRDefault="00136568" w:rsidP="00B41860">
            <w:pPr>
              <w:spacing w:after="120" w:line="240" w:lineRule="auto"/>
              <w:rPr>
                <w:rFonts w:ascii="Adobe Caslon Pro" w:hAnsi="Adobe Caslon Pro"/>
                <w:sz w:val="20"/>
                <w:szCs w:val="20"/>
              </w:rPr>
            </w:pPr>
          </w:p>
        </w:tc>
        <w:tc>
          <w:tcPr>
            <w:tcW w:w="1600"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Apoyar emocional y económicamente a las mujeres que se encuentran en una situación de violencia familiar que ponga en riesgo su integridad física, emocional e incluso su vida, para que puedan contar con las condiciones básicas que les permitan iniciar una vida libre de violencia.</w:t>
            </w:r>
          </w:p>
        </w:tc>
        <w:tc>
          <w:tcPr>
            <w:tcW w:w="2181" w:type="pct"/>
            <w:shd w:val="clear" w:color="auto" w:fill="auto"/>
            <w:vAlign w:val="center"/>
          </w:tcPr>
          <w:p w:rsidR="00136568" w:rsidRPr="009E30D1" w:rsidRDefault="00136568" w:rsidP="00867C1B">
            <w:pPr>
              <w:spacing w:after="120" w:line="240" w:lineRule="auto"/>
              <w:rPr>
                <w:rFonts w:ascii="Adobe Caslon Pro" w:hAnsi="Adobe Caslon Pro"/>
                <w:sz w:val="20"/>
                <w:szCs w:val="20"/>
              </w:rPr>
            </w:pPr>
            <w:r w:rsidRPr="009E30D1">
              <w:rPr>
                <w:rFonts w:ascii="Adobe Caslon Pro" w:hAnsi="Adobe Caslon Pro"/>
                <w:sz w:val="20"/>
                <w:szCs w:val="20"/>
              </w:rPr>
              <w:t xml:space="preserve">Este programa ofrece a la víctima directa e indirecta de violencia familiar condiciones mínimas de independencia para la toma de decisiones, empoderamiento y rescate de sus derechos a través de un proceso jurídico y de atención psicológica. Las mujeres beneficiadas por este programa son canalizadas por otras instancias como las Unidad de Atención y Prevención a la Violencia Familiar (UAPVIF), refugios, OSC y centros de atención a víctimas del delito de violencia familiar. Se otorga apoyo psicológico y un apoyo económico de $1,500 pesos mensuales durante un año. Brinda seguridad y protección a su integridad física y emocional (refugio y </w:t>
            </w:r>
            <w:r w:rsidRPr="009E30D1">
              <w:rPr>
                <w:rFonts w:ascii="Adobe Caslon Pro" w:hAnsi="Adobe Caslon Pro"/>
                <w:sz w:val="20"/>
                <w:szCs w:val="20"/>
              </w:rPr>
              <w:lastRenderedPageBreak/>
              <w:t>casa de emergencia para mujeres, sus hijas e hijos víctimas de violencia familiar extrema) y apoyo económico que contribuye a liberar a la mujer de su agresor pues favorece a salir de la situación de dependencia económica.</w:t>
            </w:r>
          </w:p>
        </w:tc>
      </w:tr>
      <w:tr w:rsidR="00136568" w:rsidRPr="009E30D1" w:rsidTr="00B41860">
        <w:trPr>
          <w:jc w:val="center"/>
        </w:trPr>
        <w:tc>
          <w:tcPr>
            <w:tcW w:w="1219"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lastRenderedPageBreak/>
              <w:t>Programa Nacional para la Atención a la Violencia Familiar</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Centro Nacional de Equidad de Género y Salud Reproductiva (</w:t>
            </w:r>
            <w:proofErr w:type="spellStart"/>
            <w:r w:rsidRPr="009E30D1">
              <w:rPr>
                <w:rFonts w:ascii="Adobe Caslon Pro" w:hAnsi="Adobe Caslon Pro"/>
                <w:sz w:val="20"/>
                <w:szCs w:val="20"/>
              </w:rPr>
              <w:t>CNEGySR</w:t>
            </w:r>
            <w:proofErr w:type="spellEnd"/>
            <w:r w:rsidRPr="009E30D1">
              <w:rPr>
                <w:rFonts w:ascii="Adobe Caslon Pro" w:hAnsi="Adobe Caslon Pro"/>
                <w:sz w:val="20"/>
                <w:szCs w:val="20"/>
              </w:rPr>
              <w:t>), Secretaría de Salud.</w:t>
            </w:r>
          </w:p>
          <w:p w:rsidR="00136568" w:rsidRPr="009E30D1" w:rsidRDefault="00136568" w:rsidP="00B41860">
            <w:pPr>
              <w:spacing w:after="120" w:line="240" w:lineRule="auto"/>
              <w:rPr>
                <w:rFonts w:ascii="Adobe Caslon Pro" w:hAnsi="Adobe Caslon Pro"/>
                <w:sz w:val="20"/>
                <w:szCs w:val="20"/>
              </w:rPr>
            </w:pPr>
          </w:p>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México.</w:t>
            </w:r>
          </w:p>
        </w:tc>
        <w:tc>
          <w:tcPr>
            <w:tcW w:w="1600"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Reducir la prevalencia y severidad de los daños a la salud causados por la violencia contra las mujeres, con particular énfasis entre aquéllas que se encuentran en situación de mayor riesgo o vulnerabilidad.</w:t>
            </w:r>
          </w:p>
        </w:tc>
        <w:tc>
          <w:tcPr>
            <w:tcW w:w="2181" w:type="pct"/>
            <w:shd w:val="clear" w:color="auto" w:fill="auto"/>
            <w:vAlign w:val="center"/>
          </w:tcPr>
          <w:p w:rsidR="00136568" w:rsidRPr="009E30D1" w:rsidRDefault="00136568" w:rsidP="00B41860">
            <w:pPr>
              <w:spacing w:after="120" w:line="240" w:lineRule="auto"/>
              <w:rPr>
                <w:rFonts w:ascii="Adobe Caslon Pro" w:hAnsi="Adobe Caslon Pro"/>
                <w:sz w:val="20"/>
                <w:szCs w:val="20"/>
              </w:rPr>
            </w:pPr>
            <w:r w:rsidRPr="009E30D1">
              <w:rPr>
                <w:rFonts w:ascii="Adobe Caslon Pro" w:hAnsi="Adobe Caslon Pro"/>
                <w:sz w:val="20"/>
                <w:szCs w:val="20"/>
              </w:rPr>
              <w:t xml:space="preserve">a)Promueve la detección temprana de la violencia familiar y de género en las Instituciones del Sistema Nacional de Salud, entre las mujeres de 15 años y más; b) Garantiza a las mujeres el acceso oportuno a servicios de atención médica y psicológica especializada y atención de las consecuencias de la violencia familiar o de género; c) Contribuye a que las mujeres, así como sus hijos e hijas que viven en violencia extrema, cuenten con espacios seguros que les brinden protección, atención médica, psicológica y orientación legal; d) Contribuye desde el Sistema Nacional de Salud a la prevención de la violencia familiar y de género, así como la promoción del derecho a una vida sin violencia; e) Impulsa la mejora de los sistemas de información en salud para el registro de casos de violencia familiar y de género, para su análisis y evaluación; así como el desarrollo de investigaciones para la toma de decisiones basadas en evidencia científica; f) Promueve la atención integral que evite la </w:t>
            </w:r>
            <w:proofErr w:type="spellStart"/>
            <w:r w:rsidRPr="009E30D1">
              <w:rPr>
                <w:rFonts w:ascii="Adobe Caslon Pro" w:hAnsi="Adobe Caslon Pro"/>
                <w:sz w:val="20"/>
                <w:szCs w:val="20"/>
              </w:rPr>
              <w:t>revictimización</w:t>
            </w:r>
            <w:proofErr w:type="spellEnd"/>
            <w:r w:rsidRPr="009E30D1">
              <w:rPr>
                <w:rFonts w:ascii="Adobe Caslon Pro" w:hAnsi="Adobe Caslon Pro"/>
                <w:sz w:val="20"/>
                <w:szCs w:val="20"/>
              </w:rPr>
              <w:t xml:space="preserve"> de las persona afectadas.</w:t>
            </w:r>
          </w:p>
        </w:tc>
      </w:tr>
    </w:tbl>
    <w:p w:rsidR="00136568" w:rsidRPr="009E30D1" w:rsidRDefault="00136568" w:rsidP="00136568">
      <w:pPr>
        <w:spacing w:after="120" w:line="240" w:lineRule="auto"/>
        <w:rPr>
          <w:rFonts w:ascii="Adobe Caslon Pro" w:hAnsi="Adobe Caslon Pro"/>
          <w:sz w:val="18"/>
          <w:szCs w:val="18"/>
        </w:rPr>
      </w:pPr>
      <w:r w:rsidRPr="009E30D1">
        <w:rPr>
          <w:rFonts w:ascii="Adobe Caslon Pro" w:hAnsi="Adobe Caslon Pro"/>
          <w:sz w:val="18"/>
          <w:szCs w:val="18"/>
        </w:rPr>
        <w:t>Fuente: Elaboración propia con información de los Programas.</w:t>
      </w:r>
    </w:p>
    <w:p w:rsidR="00136568" w:rsidRPr="009E30D1" w:rsidRDefault="00136568" w:rsidP="00136568">
      <w:pPr>
        <w:spacing w:after="120" w:line="240" w:lineRule="auto"/>
        <w:rPr>
          <w:rFonts w:ascii="Adobe Caslon Pro" w:hAnsi="Adobe Caslon Pro"/>
          <w:sz w:val="18"/>
          <w:szCs w:val="18"/>
        </w:rPr>
      </w:pPr>
    </w:p>
    <w:p w:rsidR="00136568" w:rsidRPr="009E30D1" w:rsidRDefault="00136568" w:rsidP="00136568">
      <w:pPr>
        <w:pStyle w:val="Prrafodelista"/>
        <w:numPr>
          <w:ilvl w:val="0"/>
          <w:numId w:val="17"/>
        </w:numPr>
        <w:spacing w:after="120" w:line="240" w:lineRule="auto"/>
        <w:ind w:left="284" w:hanging="284"/>
        <w:jc w:val="both"/>
        <w:rPr>
          <w:rFonts w:ascii="Adobe Caslon Pro" w:eastAsia="Calibri" w:hAnsi="Adobe Caslon Pro" w:cs="Times New Roman"/>
        </w:rPr>
      </w:pPr>
      <w:r w:rsidRPr="009E30D1">
        <w:rPr>
          <w:rFonts w:ascii="Adobe Caslon Pro" w:eastAsia="Calibri" w:hAnsi="Adobe Caslon Pro" w:cs="Times New Roman"/>
        </w:rPr>
        <w:t>Prog</w:t>
      </w:r>
      <w:r w:rsidR="00867C1B">
        <w:rPr>
          <w:rFonts w:ascii="Adobe Caslon Pro" w:eastAsia="Calibri" w:hAnsi="Adobe Caslon Pro" w:cs="Times New Roman"/>
        </w:rPr>
        <w:t>ramas de prevención y atención de</w:t>
      </w:r>
      <w:r w:rsidRPr="009E30D1">
        <w:rPr>
          <w:rFonts w:ascii="Adobe Caslon Pro" w:eastAsia="Calibri" w:hAnsi="Adobe Caslon Pro" w:cs="Times New Roman"/>
        </w:rPr>
        <w:t xml:space="preserve"> la violencia contra las mujeres.</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En el tercer caso se encuentran programas que desarrollan actividades de prevención y atención a través de otras instancias. El </w:t>
      </w:r>
      <w:r w:rsidRPr="009E30D1">
        <w:rPr>
          <w:rFonts w:ascii="Adobe Caslon Pro" w:hAnsi="Adobe Caslon Pro"/>
          <w:i/>
        </w:rPr>
        <w:t xml:space="preserve">Programa Nacional de Capacitación, Asistencia Técnica y Sensibilización en </w:t>
      </w:r>
      <w:r w:rsidRPr="009E30D1">
        <w:rPr>
          <w:rFonts w:ascii="Adobe Caslon Pro" w:hAnsi="Adobe Caslon Pro"/>
          <w:i/>
        </w:rPr>
        <w:lastRenderedPageBreak/>
        <w:t>la Temática de la Violencia contra la Mujer</w:t>
      </w:r>
      <w:r w:rsidRPr="009E30D1">
        <w:rPr>
          <w:rFonts w:ascii="Adobe Caslon Pro" w:hAnsi="Adobe Caslon Pro"/>
        </w:rPr>
        <w:t>, ha basado su éxito en una metodología secuencial que incluye: 1) manual de capacitación en orientaciones básicas para la intervención en situaciones de violencia contras las mujeres en las relaciones intrafamiliares, el cual se integra de dos instructivos, uno destinado a las capacitadoras y capacitadores y otro para las/os participantes; 2) modos de trabajo en talleres y 3) la metodología para la aplicación de un software de relevamiento de casos de violencia.</w:t>
      </w:r>
    </w:p>
    <w:p w:rsidR="00136568" w:rsidRPr="009E30D1" w:rsidRDefault="00276AE9" w:rsidP="00136568">
      <w:pPr>
        <w:spacing w:after="120" w:line="240" w:lineRule="auto"/>
        <w:jc w:val="center"/>
        <w:rPr>
          <w:rFonts w:ascii="Adobe Caslon Pro" w:hAnsi="Adobe Caslon Pro"/>
          <w:b/>
        </w:rPr>
      </w:pPr>
      <w:r w:rsidRPr="009E30D1">
        <w:rPr>
          <w:rFonts w:ascii="Adobe Caslon Pro" w:hAnsi="Adobe Caslon Pro"/>
          <w:b/>
        </w:rPr>
        <w:t>Cuadro 16</w:t>
      </w:r>
      <w:r w:rsidR="00136568" w:rsidRPr="009E30D1">
        <w:rPr>
          <w:rFonts w:ascii="Adobe Caslon Pro" w:hAnsi="Adobe Caslon Pro"/>
          <w:b/>
        </w:rPr>
        <w:t xml:space="preserve">. Programas de prevención y atención </w:t>
      </w:r>
      <w:r w:rsidR="00867C1B">
        <w:rPr>
          <w:rFonts w:ascii="Adobe Caslon Pro" w:hAnsi="Adobe Caslon Pro"/>
          <w:b/>
        </w:rPr>
        <w:t>de</w:t>
      </w:r>
      <w:r w:rsidR="00136568" w:rsidRPr="009E30D1">
        <w:rPr>
          <w:rFonts w:ascii="Adobe Caslon Pro" w:hAnsi="Adobe Caslon Pro"/>
          <w:b/>
        </w:rPr>
        <w:t xml:space="preserve"> la violencia contra las mujeres.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912"/>
        <w:gridCol w:w="3924"/>
      </w:tblGrid>
      <w:tr w:rsidR="00136568" w:rsidRPr="009E30D1" w:rsidTr="00B41860">
        <w:trPr>
          <w:tblHeader/>
        </w:trPr>
        <w:tc>
          <w:tcPr>
            <w:tcW w:w="1225" w:type="pct"/>
            <w:shd w:val="clear" w:color="auto" w:fill="A6A6A6"/>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Datos de Identificación</w:t>
            </w:r>
          </w:p>
        </w:tc>
        <w:tc>
          <w:tcPr>
            <w:tcW w:w="1608" w:type="pct"/>
            <w:shd w:val="clear" w:color="auto" w:fill="A6A6A6"/>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Objetivo del programa</w:t>
            </w:r>
          </w:p>
        </w:tc>
        <w:tc>
          <w:tcPr>
            <w:tcW w:w="2168" w:type="pct"/>
            <w:shd w:val="clear" w:color="auto" w:fill="A6A6A6"/>
            <w:vAlign w:val="center"/>
          </w:tcPr>
          <w:p w:rsidR="00136568" w:rsidRPr="009E30D1" w:rsidRDefault="00136568" w:rsidP="00B41860">
            <w:pPr>
              <w:spacing w:after="120" w:line="240" w:lineRule="auto"/>
              <w:jc w:val="center"/>
              <w:rPr>
                <w:rFonts w:ascii="Adobe Caslon Pro" w:hAnsi="Adobe Caslon Pro"/>
                <w:b/>
                <w:sz w:val="20"/>
              </w:rPr>
            </w:pPr>
            <w:r w:rsidRPr="009E30D1">
              <w:rPr>
                <w:rFonts w:ascii="Adobe Caslon Pro" w:hAnsi="Adobe Caslon Pro"/>
                <w:b/>
                <w:sz w:val="20"/>
              </w:rPr>
              <w:t>Apoyos o acciones que otorga</w:t>
            </w:r>
          </w:p>
        </w:tc>
      </w:tr>
      <w:tr w:rsidR="00136568" w:rsidRPr="009E30D1" w:rsidTr="00B41860">
        <w:tc>
          <w:tcPr>
            <w:tcW w:w="1225" w:type="pct"/>
            <w:shd w:val="clear" w:color="auto" w:fill="auto"/>
            <w:vAlign w:val="center"/>
          </w:tcPr>
          <w:p w:rsidR="00136568" w:rsidRPr="009E30D1" w:rsidRDefault="00136568" w:rsidP="00B41860">
            <w:pPr>
              <w:spacing w:after="120" w:line="240" w:lineRule="auto"/>
              <w:rPr>
                <w:rFonts w:ascii="Adobe Caslon Pro" w:hAnsi="Adobe Caslon Pro"/>
                <w:sz w:val="20"/>
              </w:rPr>
            </w:pPr>
            <w:r w:rsidRPr="009E30D1">
              <w:rPr>
                <w:rFonts w:ascii="Adobe Caslon Pro" w:hAnsi="Adobe Caslon Pro"/>
                <w:sz w:val="20"/>
              </w:rPr>
              <w:t>Programa Nacional de Capacitación, Asistencia Técnica y Sensibilización en la Temática De La Violencia Contra La Mujer</w:t>
            </w:r>
          </w:p>
          <w:p w:rsidR="00136568" w:rsidRPr="009E30D1" w:rsidRDefault="00136568" w:rsidP="00B41860">
            <w:pPr>
              <w:spacing w:after="120" w:line="240" w:lineRule="auto"/>
              <w:rPr>
                <w:rFonts w:ascii="Adobe Caslon Pro" w:hAnsi="Adobe Caslon Pro"/>
                <w:sz w:val="20"/>
              </w:rPr>
            </w:pPr>
          </w:p>
          <w:p w:rsidR="00136568" w:rsidRPr="009E30D1" w:rsidRDefault="00136568" w:rsidP="00B41860">
            <w:pPr>
              <w:spacing w:after="120" w:line="240" w:lineRule="auto"/>
              <w:rPr>
                <w:rFonts w:ascii="Adobe Caslon Pro" w:hAnsi="Adobe Caslon Pro"/>
                <w:sz w:val="20"/>
              </w:rPr>
            </w:pPr>
            <w:r w:rsidRPr="009E30D1">
              <w:rPr>
                <w:rFonts w:ascii="Adobe Caslon Pro" w:hAnsi="Adobe Caslon Pro"/>
                <w:sz w:val="20"/>
              </w:rPr>
              <w:t xml:space="preserve">Gobierno Nacional </w:t>
            </w:r>
          </w:p>
          <w:p w:rsidR="00136568" w:rsidRPr="009E30D1" w:rsidRDefault="00136568" w:rsidP="00B41860">
            <w:pPr>
              <w:spacing w:after="120" w:line="240" w:lineRule="auto"/>
              <w:rPr>
                <w:rFonts w:ascii="Adobe Caslon Pro" w:hAnsi="Adobe Caslon Pro"/>
                <w:sz w:val="20"/>
              </w:rPr>
            </w:pPr>
          </w:p>
          <w:p w:rsidR="00136568" w:rsidRPr="009E30D1" w:rsidRDefault="00136568" w:rsidP="00B41860">
            <w:pPr>
              <w:spacing w:after="120" w:line="240" w:lineRule="auto"/>
              <w:rPr>
                <w:rFonts w:ascii="Adobe Caslon Pro" w:hAnsi="Adobe Caslon Pro"/>
                <w:sz w:val="20"/>
              </w:rPr>
            </w:pPr>
            <w:r w:rsidRPr="009E30D1">
              <w:rPr>
                <w:rFonts w:ascii="Adobe Caslon Pro" w:hAnsi="Adobe Caslon Pro"/>
                <w:sz w:val="20"/>
              </w:rPr>
              <w:t>Argentina</w:t>
            </w:r>
          </w:p>
        </w:tc>
        <w:tc>
          <w:tcPr>
            <w:tcW w:w="1608" w:type="pct"/>
            <w:shd w:val="clear" w:color="auto" w:fill="auto"/>
            <w:vAlign w:val="center"/>
          </w:tcPr>
          <w:p w:rsidR="00136568" w:rsidRPr="009E30D1" w:rsidRDefault="00136568" w:rsidP="00B41860">
            <w:pPr>
              <w:spacing w:after="120" w:line="240" w:lineRule="auto"/>
              <w:rPr>
                <w:rFonts w:ascii="Adobe Caslon Pro" w:hAnsi="Adobe Caslon Pro"/>
                <w:sz w:val="20"/>
              </w:rPr>
            </w:pPr>
          </w:p>
          <w:p w:rsidR="00136568" w:rsidRPr="009E30D1" w:rsidRDefault="00136568" w:rsidP="00B41860">
            <w:pPr>
              <w:spacing w:after="120" w:line="240" w:lineRule="auto"/>
              <w:rPr>
                <w:rFonts w:ascii="Adobe Caslon Pro" w:hAnsi="Adobe Caslon Pro"/>
                <w:sz w:val="20"/>
              </w:rPr>
            </w:pPr>
            <w:r w:rsidRPr="009E30D1">
              <w:rPr>
                <w:rFonts w:ascii="Adobe Caslon Pro" w:hAnsi="Adobe Caslon Pro"/>
                <w:sz w:val="20"/>
              </w:rPr>
              <w:t>Identificar estrategias desde el Estado Nacional, Áreas Mujer Provinciales y Municipales y organizaciones de la sociedad civil para la creación y/o fortalecimiento de servicios destinados a la prevención y asistencia de las mujeres objeto de violencia.</w:t>
            </w:r>
          </w:p>
          <w:p w:rsidR="00136568" w:rsidRPr="009E30D1" w:rsidRDefault="00136568" w:rsidP="00B41860">
            <w:pPr>
              <w:spacing w:after="120" w:line="240" w:lineRule="auto"/>
              <w:rPr>
                <w:rFonts w:ascii="Adobe Caslon Pro" w:hAnsi="Adobe Caslon Pro"/>
                <w:sz w:val="20"/>
              </w:rPr>
            </w:pPr>
          </w:p>
        </w:tc>
        <w:tc>
          <w:tcPr>
            <w:tcW w:w="2168" w:type="pct"/>
            <w:shd w:val="clear" w:color="auto" w:fill="auto"/>
            <w:vAlign w:val="center"/>
          </w:tcPr>
          <w:p w:rsidR="00136568" w:rsidRPr="009E30D1" w:rsidRDefault="00136568" w:rsidP="00B41860">
            <w:pPr>
              <w:spacing w:after="120" w:line="240" w:lineRule="auto"/>
              <w:rPr>
                <w:rFonts w:ascii="Adobe Caslon Pro" w:hAnsi="Adobe Caslon Pro"/>
                <w:sz w:val="20"/>
              </w:rPr>
            </w:pPr>
          </w:p>
          <w:p w:rsidR="00136568" w:rsidRPr="009E30D1" w:rsidRDefault="00136568" w:rsidP="00B41860">
            <w:pPr>
              <w:spacing w:after="120" w:line="240" w:lineRule="auto"/>
              <w:rPr>
                <w:rFonts w:ascii="Adobe Caslon Pro" w:hAnsi="Adobe Caslon Pro"/>
                <w:sz w:val="20"/>
              </w:rPr>
            </w:pPr>
            <w:r w:rsidRPr="009E30D1">
              <w:rPr>
                <w:rFonts w:ascii="Adobe Caslon Pro" w:hAnsi="Adobe Caslon Pro"/>
                <w:sz w:val="20"/>
              </w:rPr>
              <w:t xml:space="preserve">Una prioridad en este programa es estimular la formación de redes de gobiernos provinciales y/o municipales y organizaciones de la sociedad civil para la asistencia a las mujeres víctimas de violencia </w:t>
            </w:r>
          </w:p>
          <w:p w:rsidR="00136568" w:rsidRPr="009E30D1" w:rsidRDefault="00136568" w:rsidP="00B41860">
            <w:pPr>
              <w:spacing w:after="120" w:line="240" w:lineRule="auto"/>
              <w:rPr>
                <w:rFonts w:ascii="Adobe Caslon Pro" w:hAnsi="Adobe Caslon Pro"/>
                <w:sz w:val="20"/>
              </w:rPr>
            </w:pPr>
            <w:r w:rsidRPr="009E30D1">
              <w:rPr>
                <w:rFonts w:ascii="Adobe Caslon Pro" w:hAnsi="Adobe Caslon Pro"/>
                <w:sz w:val="20"/>
              </w:rPr>
              <w:t xml:space="preserve">Como parte del desarrollo del Programa, se editó la Serie “La violencia contra las mujeres en el ámbito de las relaciones familiares” integrada por distintos materiales referidos al tema, que incluye un Manual de Capacitación -instrumento destinado a brindar orientaciones teóricas y metodológicas básicas para la intervención en situaciones de violencia contra la mujer en las relaciones intrafamiliares- y tiene como destinatarias/os a profesionales y personal con inserción en ámbitos institucionales o comunitarios (gubernamentales y no gubernamentales) que se encuentran trabajando en esta temática o interesados en comenzar a intervenir en esta área específica. </w:t>
            </w:r>
          </w:p>
        </w:tc>
      </w:tr>
    </w:tbl>
    <w:p w:rsidR="00136568" w:rsidRPr="009E30D1" w:rsidRDefault="00136568" w:rsidP="00136568">
      <w:pPr>
        <w:spacing w:after="120" w:line="240" w:lineRule="auto"/>
        <w:rPr>
          <w:rFonts w:ascii="Adobe Caslon Pro" w:hAnsi="Adobe Caslon Pro"/>
          <w:sz w:val="18"/>
          <w:szCs w:val="18"/>
        </w:rPr>
      </w:pPr>
      <w:r w:rsidRPr="009E30D1">
        <w:rPr>
          <w:rFonts w:ascii="Adobe Caslon Pro" w:hAnsi="Adobe Caslon Pro"/>
          <w:sz w:val="18"/>
          <w:szCs w:val="18"/>
        </w:rPr>
        <w:t>Fuente: Elaboración propia con información de los Programas.</w:t>
      </w:r>
    </w:p>
    <w:p w:rsidR="00136568" w:rsidRPr="009E30D1" w:rsidRDefault="00136568" w:rsidP="00136568">
      <w:pPr>
        <w:spacing w:after="120" w:line="240" w:lineRule="auto"/>
        <w:rPr>
          <w:rFonts w:ascii="Adobe Caslon Pro" w:hAnsi="Adobe Caslon Pro"/>
          <w:sz w:val="18"/>
          <w:szCs w:val="18"/>
        </w:rPr>
      </w:pP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Del análisis de los Programas anteriores podemos señalar que el éxito de los mismos radica en aspectos como: 1) Tienen definido un único y claro objetivo; 2) Cuentan con una metodología que </w:t>
      </w:r>
      <w:r w:rsidRPr="009E30D1">
        <w:rPr>
          <w:rFonts w:ascii="Adobe Caslon Pro" w:hAnsi="Adobe Caslon Pro"/>
        </w:rPr>
        <w:lastRenderedPageBreak/>
        <w:t xml:space="preserve">se adapta a distintos contextos y que incluye manuales para la realización de sus acciones (ya sean talleres o protocolos de atención); 3) Los facilitadores cuentan con capacitación en técnicas participativas a través de manuales y de cursos; 4) Existe un sistema de evaluación de los resultados basado en el cambio de comportamientos y actitudes de los participantes, con el objeto de mejorar la metodología y eficacia del programa; 5) Existe coordinación entre las diferentes instancias de atención del problema de la violencia contra las mujeres tanto públicas como de la sociedad civil. </w:t>
      </w:r>
    </w:p>
    <w:p w:rsidR="00136568" w:rsidRPr="009E30D1" w:rsidRDefault="00136568" w:rsidP="00136568">
      <w:pPr>
        <w:spacing w:after="120"/>
        <w:rPr>
          <w:rFonts w:ascii="Adobe Caslon Pro" w:hAnsi="Adobe Caslon Pro"/>
        </w:rPr>
      </w:pPr>
      <w:r w:rsidRPr="009E30D1">
        <w:rPr>
          <w:rFonts w:ascii="Adobe Caslon Pro" w:hAnsi="Adobe Caslon Pro"/>
        </w:rPr>
        <w:br w:type="page"/>
      </w:r>
    </w:p>
    <w:p w:rsidR="00136568" w:rsidRPr="009E30D1" w:rsidRDefault="00136568" w:rsidP="00136568">
      <w:pPr>
        <w:pStyle w:val="Ttulo2"/>
        <w:spacing w:before="0" w:after="120"/>
      </w:pPr>
      <w:bookmarkStart w:id="56" w:name="_Toc391883382"/>
      <w:r w:rsidRPr="009E30D1">
        <w:lastRenderedPageBreak/>
        <w:t>3.2 Propuesta de diseño</w:t>
      </w:r>
      <w:bookmarkEnd w:id="56"/>
      <w:r w:rsidRPr="009E30D1">
        <w:t xml:space="preserve"> </w:t>
      </w:r>
    </w:p>
    <w:p w:rsidR="00136568" w:rsidRPr="009E30D1" w:rsidRDefault="00136568" w:rsidP="00136568">
      <w:pPr>
        <w:pStyle w:val="Ttulo3"/>
        <w:spacing w:before="0" w:after="120" w:line="240" w:lineRule="auto"/>
        <w:rPr>
          <w:rFonts w:eastAsia="Calibri"/>
        </w:rPr>
      </w:pPr>
      <w:bookmarkStart w:id="57" w:name="_Toc389685687"/>
      <w:bookmarkStart w:id="58" w:name="_Toc391883383"/>
      <w:bookmarkEnd w:id="54"/>
      <w:r w:rsidRPr="009E30D1">
        <w:rPr>
          <w:rFonts w:eastAsia="Calibri"/>
        </w:rPr>
        <w:t>Árbol de objetivos</w:t>
      </w:r>
      <w:bookmarkEnd w:id="57"/>
      <w:bookmarkEnd w:id="58"/>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Para contribuir a un adecuado diseño de la alternativa de solución a la problemática, en el presente apartado se muestra el árbol de objetivos a partir del cual se podrán identificar los objetivos con los que la Secretaría de Desarrollo Social, puede contribuir a la disminución de los altos niveles de violencia contra las mujeres. Ello como una de las tareas fundamentales de la política de desarrollo social en México.</w:t>
      </w:r>
      <w:r w:rsidRPr="009E30D1" w:rsidDel="00ED250E">
        <w:rPr>
          <w:rFonts w:ascii="Adobe Caslon Pro" w:hAnsi="Adobe Caslon Pro"/>
        </w:rPr>
        <w:t xml:space="preserve"> </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Derivado de la construcción y análisis del árbol de problemas,</w:t>
      </w:r>
      <w:r w:rsidRPr="009E30D1" w:rsidDel="0050492F">
        <w:rPr>
          <w:rFonts w:ascii="Adobe Caslon Pro" w:hAnsi="Adobe Caslon Pro"/>
        </w:rPr>
        <w:t xml:space="preserve"> </w:t>
      </w:r>
      <w:r w:rsidRPr="009E30D1">
        <w:rPr>
          <w:rFonts w:ascii="Adobe Caslon Pro" w:hAnsi="Adobe Caslon Pro"/>
        </w:rPr>
        <w:t xml:space="preserve">es posible esquematizar las diferentes relaciones causales entre medios y fines para posteriormente definir aquellos medios que conforme los ámbitos de competencia de la SEDESOL son factibles de implementar a través de un programa presupuestario. </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Como se observó en el Diagnóstico, para poder disminuir la violencia contra las mujeres, es necesario reforzar las acciones dirigidas a prevenir y atender la violencia. De este modo, la intervención pública tiene como propósito fortalecer las acciones de prevención y atención de la violencia, a través de acciones que fomenten una cultura de respeto por las mujeres, mejoren la capacidad y calidad de atención y articulen de mejor manera a las instituciones. Lo anterior, se ilustra en el siguiente árbol de objetivos.</w:t>
      </w:r>
    </w:p>
    <w:p w:rsidR="00136568" w:rsidRPr="009E30D1" w:rsidRDefault="00136568" w:rsidP="00136568">
      <w:pPr>
        <w:spacing w:after="120" w:line="240" w:lineRule="auto"/>
        <w:jc w:val="both"/>
        <w:rPr>
          <w:rFonts w:ascii="Adobe Caslon Pro" w:hAnsi="Adobe Caslon Pro"/>
        </w:rPr>
      </w:pPr>
    </w:p>
    <w:p w:rsidR="00136568" w:rsidRPr="009E30D1" w:rsidRDefault="00136568" w:rsidP="00136568">
      <w:pPr>
        <w:spacing w:after="120" w:line="240" w:lineRule="auto"/>
        <w:jc w:val="both"/>
        <w:rPr>
          <w:rFonts w:ascii="Adobe Caslon Pro" w:hAnsi="Adobe Caslon Pro"/>
        </w:rPr>
        <w:sectPr w:rsidR="00136568" w:rsidRPr="009E30D1" w:rsidSect="00525BF1">
          <w:pgSz w:w="12240" w:h="15840"/>
          <w:pgMar w:top="1417" w:right="1701" w:bottom="1417" w:left="1701" w:header="708" w:footer="708" w:gutter="0"/>
          <w:cols w:space="708"/>
          <w:docGrid w:linePitch="360"/>
        </w:sectPr>
      </w:pPr>
    </w:p>
    <w:p w:rsidR="00136568" w:rsidRPr="009E30D1" w:rsidRDefault="00136568" w:rsidP="00136568">
      <w:pPr>
        <w:pStyle w:val="Epgrafe"/>
        <w:keepNext/>
        <w:spacing w:after="120"/>
        <w:jc w:val="center"/>
        <w:rPr>
          <w:rFonts w:ascii="Adobe Caslon Pro" w:eastAsia="Calibri" w:hAnsi="Adobe Caslon Pro" w:cs="Times New Roman"/>
          <w:bCs w:val="0"/>
          <w:color w:val="auto"/>
          <w:sz w:val="22"/>
          <w:szCs w:val="22"/>
        </w:rPr>
      </w:pPr>
      <w:r w:rsidRPr="009E30D1">
        <w:rPr>
          <w:rFonts w:ascii="Adobe Caslon Pro" w:eastAsia="Calibri" w:hAnsi="Adobe Caslon Pro" w:cs="Times New Roman"/>
          <w:bCs w:val="0"/>
          <w:color w:val="auto"/>
          <w:sz w:val="22"/>
          <w:szCs w:val="22"/>
        </w:rPr>
        <w:lastRenderedPageBreak/>
        <w:t>Figura 6. Árbol de Objetivos para disminuir los altos niveles de violencia contra las mujeres</w:t>
      </w:r>
    </w:p>
    <w:p w:rsidR="00136568" w:rsidRPr="009E30D1" w:rsidRDefault="00136568" w:rsidP="00136568">
      <w:pPr>
        <w:spacing w:after="120" w:line="240" w:lineRule="auto"/>
        <w:jc w:val="center"/>
        <w:rPr>
          <w:rFonts w:ascii="Adobe Caslon Pro" w:hAnsi="Adobe Caslon Pro"/>
        </w:rPr>
      </w:pPr>
      <w:r w:rsidRPr="009E30D1">
        <w:rPr>
          <w:noProof/>
          <w:lang w:eastAsia="es-MX"/>
        </w:rPr>
        <w:drawing>
          <wp:inline distT="0" distB="0" distL="0" distR="0" wp14:anchorId="0F006CE8" wp14:editId="1E5EB5A2">
            <wp:extent cx="6388386" cy="5237683"/>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3204" cy="5241633"/>
                    </a:xfrm>
                    <a:prstGeom prst="rect">
                      <a:avLst/>
                    </a:prstGeom>
                    <a:noFill/>
                    <a:ln>
                      <a:noFill/>
                    </a:ln>
                  </pic:spPr>
                </pic:pic>
              </a:graphicData>
            </a:graphic>
          </wp:inline>
        </w:drawing>
      </w:r>
    </w:p>
    <w:p w:rsidR="00136568" w:rsidRPr="009E30D1" w:rsidRDefault="00136568" w:rsidP="00136568">
      <w:pPr>
        <w:spacing w:after="120" w:line="240" w:lineRule="auto"/>
        <w:jc w:val="both"/>
        <w:rPr>
          <w:rFonts w:ascii="Adobe Caslon Pro" w:hAnsi="Adobe Caslon Pro"/>
        </w:rPr>
        <w:sectPr w:rsidR="00136568" w:rsidRPr="009E30D1" w:rsidSect="00525BF1">
          <w:pgSz w:w="15840" w:h="12240" w:orient="landscape"/>
          <w:pgMar w:top="1701" w:right="1417" w:bottom="1701" w:left="1417" w:header="708" w:footer="708" w:gutter="0"/>
          <w:cols w:space="708"/>
          <w:docGrid w:linePitch="360"/>
        </w:sectPr>
      </w:pP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lastRenderedPageBreak/>
        <w:t>El problema de la violencia contra las mujeres es complejo y aún persisten grandes debates sobre la mejor estrategia para lograr su disminución, no obstante que hay un amplio consenso sobre la necesidad de conjuntar esfuerzos y acciones desde distintos frentes en torno a la prevención y atención con la participación activa de diversos actores.</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Una de los elementos esenciales para prevenir y atender la violencia que se ejerce contra las mujeres es la modificación de factores cognitivos y emocionales que podrían profundizar las condiciones de desventaja de las mujeres y acrecentar las situaciones de violencia. Esto deviene en que la construcción social del género es la base desde la cual mujeres y hombres construyen en colectivo y a nivel individual su subjetividad, la forma en que se relacionan con el mundo y el intercambio social. De tal manera que históricamente los varones han ostentado mayores posibilidades de realización en los planos social, económico, político y educativo; en consecuencia las mujeres han aprendido culturalmente que les corresponde un papel secundario (reproductivo) y pasivo en las distintas esferas de la vida social. Por ello, a fin de lograr una efectiva prevención de la violencia se requiere remover las estructuras, trastocar la construcción social de los géneros, fomentar la cultura de respeto a favor de las mujeres y, en general, de todas las personas. En razón de ello se deben realizar labores que propicien una revisión crítica de la sociedad, del papel que les ha sido asignado a las mujeres y a los hombres, un mayor conocimiento sobre los derechos humanos de las mujeres en lo particular</w:t>
      </w:r>
      <w:r w:rsidR="00867C1B">
        <w:rPr>
          <w:rFonts w:ascii="Adobe Caslon Pro" w:hAnsi="Adobe Caslon Pro"/>
        </w:rPr>
        <w:t xml:space="preserve"> y</w:t>
      </w:r>
      <w:r w:rsidRPr="009E30D1">
        <w:rPr>
          <w:rFonts w:ascii="Adobe Caslon Pro" w:hAnsi="Adobe Caslon Pro"/>
        </w:rPr>
        <w:t xml:space="preserve"> por parte de toda la población en general, así como impulsar acciones que permitan generar en las mujeres conciencia sobre tales derechos (por ejemplo, acciones de sensibilización). </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Asimismo, se requiere que la población perciba plausible alcanzar adecuados niveles de procuración de justicia, para lo cual es necesaria la existencia de marcos normativos estatales actualizados y armonizados en materia de violencia contra las mujeres. Este componente resulta esencial en el abordaje de la violencia contra las mujeres, pues con ello se contribuye a que la atención sea configurada desde una perspectiva integral de acceso a una vida digna libre de violencia y no sólo como la atención del evento o situación de violencia.</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 xml:space="preserve">En ese sentido para lograr la actualización y armonización de los marcos normativos estatales es necesario, entre otros elementos, contar con voluntad política por parte de los gobiernos. El posicionamiento en la agenda pública del tema de la violencia contra las mujeres y la </w:t>
      </w:r>
      <w:proofErr w:type="spellStart"/>
      <w:r w:rsidRPr="009E30D1">
        <w:rPr>
          <w:rFonts w:ascii="Adobe Caslon Pro" w:hAnsi="Adobe Caslon Pro"/>
        </w:rPr>
        <w:t>visibilización</w:t>
      </w:r>
      <w:proofErr w:type="spellEnd"/>
      <w:r w:rsidRPr="009E30D1">
        <w:rPr>
          <w:rFonts w:ascii="Adobe Caslon Pro" w:hAnsi="Adobe Caslon Pro"/>
        </w:rPr>
        <w:t xml:space="preserve"> como un problema de interés social se puede lograr en la medida en que las administraciones estatales se apropien de este tema como una reivindicación de derechos y una exigencia social que desde la ética pública resulta inaplazable. Las administraciones locales que coloquen entre sus prioridades institucionales la promoción de espacios libres de violencia (familiar, laboral, comunitario e institucional) podrían incentivar un mayor número de denuncias relacionadas con </w:t>
      </w:r>
      <w:r w:rsidRPr="009E30D1">
        <w:rPr>
          <w:rFonts w:ascii="Adobe Caslon Pro" w:hAnsi="Adobe Caslon Pro"/>
        </w:rPr>
        <w:lastRenderedPageBreak/>
        <w:t>violencia contra las mujeres. De acuerdo ENDIREH 2011, 18.7 millones de mujeres de 15 años y más (43.9% del total) tuvieron algún incidente de cualquier tipo de violencia de las cuales sólo 1.4% pidió ayuda a alguna autoridad.</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La observancia puntual del marco normativo nacional e internacional en materia de violencia contra las mujeres desprende necesariamente la puesta en marcha de servicios especializados para la adecuada atención de las mujeres en situación de violencia. Con ello se habilita la oferta de mecanismos para solicitar auxilio en situaciones de emergencia, para la detección de casos de violencia, entre otros servicios especializados. Para lo cual es necesaria la elaboración de protocolos específicos de detección, prevención y atención</w:t>
      </w:r>
      <w:r w:rsidR="00867C1B">
        <w:rPr>
          <w:rFonts w:ascii="Adobe Caslon Pro" w:hAnsi="Adobe Caslon Pro"/>
        </w:rPr>
        <w:t xml:space="preserve"> y de</w:t>
      </w:r>
      <w:r w:rsidRPr="009E30D1">
        <w:rPr>
          <w:rFonts w:ascii="Adobe Caslon Pro" w:hAnsi="Adobe Caslon Pro"/>
        </w:rPr>
        <w:t xml:space="preserve"> oferta institucional </w:t>
      </w:r>
      <w:r w:rsidR="00867C1B">
        <w:rPr>
          <w:rFonts w:ascii="Adobe Caslon Pro" w:hAnsi="Adobe Caslon Pro"/>
        </w:rPr>
        <w:t xml:space="preserve">con </w:t>
      </w:r>
      <w:r w:rsidRPr="009E30D1">
        <w:rPr>
          <w:rFonts w:ascii="Adobe Caslon Pro" w:hAnsi="Adobe Caslon Pro"/>
        </w:rPr>
        <w:t xml:space="preserve">una base común y </w:t>
      </w:r>
      <w:r w:rsidR="00867C1B">
        <w:rPr>
          <w:rFonts w:ascii="Adobe Caslon Pro" w:hAnsi="Adobe Caslon Pro"/>
        </w:rPr>
        <w:t xml:space="preserve">que </w:t>
      </w:r>
      <w:r w:rsidRPr="009E30D1">
        <w:rPr>
          <w:rFonts w:ascii="Adobe Caslon Pro" w:hAnsi="Adobe Caslon Pro"/>
        </w:rPr>
        <w:t>propici</w:t>
      </w:r>
      <w:r w:rsidR="00867C1B">
        <w:rPr>
          <w:rFonts w:ascii="Adobe Caslon Pro" w:hAnsi="Adobe Caslon Pro"/>
        </w:rPr>
        <w:t>e</w:t>
      </w:r>
      <w:r w:rsidRPr="009E30D1">
        <w:rPr>
          <w:rFonts w:ascii="Adobe Caslon Pro" w:hAnsi="Adobe Caslon Pro"/>
        </w:rPr>
        <w:t xml:space="preserve"> el establecimiento de acuerdos de colaboración entre instituciones.</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Asimismo, es importante que exista una adecuada calidad en los servicios especializados que se base en un alto nivel de formación y profesionalización de las y los servidores públicos relacionados con la prevención y atención de la violencia contra las mujeres. Por ello es necesario impulsar la capacitación en materia de derechos humanos de las mujeres y en materia de género para el personal que brinda los servicios por áreas de especialidad, así como promover acciones de sensibilización, que incentiven el acceso a la oferta institucional existente y se propicia una mayor demanda contribuye</w:t>
      </w:r>
      <w:r w:rsidR="00867C1B">
        <w:rPr>
          <w:rFonts w:ascii="Adobe Caslon Pro" w:hAnsi="Adobe Caslon Pro"/>
        </w:rPr>
        <w:t>ndo</w:t>
      </w:r>
      <w:r w:rsidRPr="009E30D1">
        <w:rPr>
          <w:rFonts w:ascii="Adobe Caslon Pro" w:hAnsi="Adobe Caslon Pro"/>
        </w:rPr>
        <w:t xml:space="preserve"> a consolidar  este tema como un asunto de interés público y gran relevancia social.</w:t>
      </w:r>
    </w:p>
    <w:p w:rsidR="00136568" w:rsidRPr="009E30D1" w:rsidRDefault="00136568" w:rsidP="00136568">
      <w:pPr>
        <w:spacing w:after="120" w:line="240" w:lineRule="auto"/>
        <w:jc w:val="both"/>
        <w:rPr>
          <w:rFonts w:ascii="Adobe Caslon Pro" w:hAnsi="Adobe Caslon Pro"/>
        </w:rPr>
      </w:pPr>
      <w:r w:rsidRPr="009E30D1">
        <w:rPr>
          <w:rFonts w:ascii="Adobe Caslon Pro" w:hAnsi="Adobe Caslon Pro"/>
        </w:rPr>
        <w:t>En tal sentido, también se requiere un alto nivel de formación especializada de las y los impartidores de justicia, para lo cual sería necesario desarrollar acciones de capacitación especializada dirigida al personal de las instancias de procuración de justicia La calidad de la atención de las mujeres en situación de violencia no se circunscribe sólo a la atención efectiva del evento violento, sino también involucra la consecución de medidas judiciales para concretar actos reparadores, con ello se cristaliza el papel de las instituciones pública como instancias garantes y tutelares de los derechos de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Además de lo anterior, es indispensable contar con una adecuada infraestructura para la prestación de servicios especializados, toda vez que los servicios que no suceden en condiciones dignas, con las medidas de confidencialidad y de seguridad requeridas, se constituyen en vías para la violencia institucional y pueden representar factores contrarios al adelanto de las mujeres. En ese mismo sentido se requiere generar modelos con instrumentos de monitoreo y seguimiento que permitan la evaluación continua de la capacidad institucional en los servicios especializados a fin de implementar mecanismos de mejora continua.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El disminuir la violencia contra las mujeres permitirá reducir la prevalencia de daños a la salud de las mujeres por situaciones de violencia y una mayor inclusión social de este sector de la población, así </w:t>
      </w:r>
      <w:r w:rsidRPr="009E30D1">
        <w:rPr>
          <w:rFonts w:ascii="Adobe Caslon Pro" w:hAnsi="Adobe Caslon Pro"/>
        </w:rPr>
        <w:lastRenderedPageBreak/>
        <w:t>como una transformación de las relaciones entre hombres y mujeres en donde prevalezca el respeto de los derechos humanos de las mujeres, con ello se contribuirá a la construcción de una sociedad igualitaria en el ejercicio de sus derechos sociales, que favorezca la reproducción intergeneracional de respeto, la disminución de los niveles de violencia, la reparación del tejido social, un ma</w:t>
      </w:r>
      <w:r w:rsidR="00867C1B">
        <w:rPr>
          <w:rFonts w:ascii="Adobe Caslon Pro" w:hAnsi="Adobe Caslon Pro"/>
        </w:rPr>
        <w:t xml:space="preserve">yor desarrollo humano y social </w:t>
      </w:r>
      <w:r w:rsidRPr="009E30D1">
        <w:rPr>
          <w:rFonts w:ascii="Adobe Caslon Pro" w:hAnsi="Adobe Caslon Pro"/>
        </w:rPr>
        <w:t xml:space="preserve">y la reducción de la prevalencia de daños a la salud de las mujeres. </w:t>
      </w:r>
    </w:p>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pStyle w:val="Ttulo3"/>
        <w:spacing w:before="0" w:after="120" w:line="240" w:lineRule="auto"/>
        <w:rPr>
          <w:rFonts w:eastAsia="Calibri"/>
        </w:rPr>
      </w:pPr>
      <w:bookmarkStart w:id="59" w:name="_Toc391883384"/>
      <w:r w:rsidRPr="009E30D1">
        <w:rPr>
          <w:rFonts w:eastAsia="Calibri"/>
        </w:rPr>
        <w:t>Alternativa de solución al problema</w:t>
      </w:r>
      <w:bookmarkEnd w:id="59"/>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adhesión de México a los principales instrumentos internacionales que respaldan los derechos humanos de las mujeres ha permitido elaborar políticas nacionales tendientes a la prevención y atención de la violencia de género, a través de acciones, disposiciones y condiciones legales, jurídicas y administrativas que permitan brindar garantías para la seguridad e integridad física y psicológica de las mujeres, un desarrollo igualitario entre mujeres y hombres y garantizar el ejercicio de la libertad de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Como muestra de ello, el Estado Mexicano ha promulgado diversos instrumentos jurídicos que reconocen los derechos humanos de las mujeres, como la Ley General de Acceso de las Mujeres a una Vida Libre de Violencia (LGAMVLV), que tiene por objeto establecer la coordinación entre la federación, las entidades federativas y los municipios para prevenir, atender, sancionar y erradicar la violencia contra las mujeres. Asimismo, establece la obligación del gobierno federal para establecer acciones y estrategias de política integral para promover el derecho de las mujeres a una vida libre de violencia y una cultura del respeto a los derechos humanos de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No obstante, la formulación y cumplimiento de los objetivos de la política nacional en materia de violencia contra las mujeres requiere de la participación de las instituciones de los tres órdenes de gobierno en coordinación con instancias sociales y privadas, cada una en sus propios ámbitos de competencia, por lo que este instrumento jurídico rector ha establecido las atribuciones correspondientes en materia de prevención, atención, sanción y erradicación de la violencia contra las mujeres.</w:t>
      </w:r>
    </w:p>
    <w:p w:rsidR="005901E8" w:rsidRPr="009E30D1" w:rsidRDefault="005901E8" w:rsidP="005901E8">
      <w:pPr>
        <w:spacing w:after="120" w:line="240" w:lineRule="auto"/>
        <w:jc w:val="both"/>
        <w:rPr>
          <w:rFonts w:ascii="Adobe Caslon Pro" w:hAnsi="Adobe Caslon Pro"/>
          <w:b/>
        </w:rPr>
      </w:pPr>
      <w:r w:rsidRPr="009E30D1">
        <w:rPr>
          <w:rFonts w:ascii="Adobe Caslon Pro" w:hAnsi="Adobe Caslon Pro"/>
        </w:rPr>
        <w:t xml:space="preserve">De esta manera, a la Secretaría de Desarrollo Social le corresponde: fomentar el desarrollo social desde la visión de protección integral de los derechos humanos de las mujeres con perspectiva de género, para garantizarles una vida libre de violencia; coadyuvar en la promoción de los Derechos Humanos de las mujeres; formular la política de desarrollo social del estado considerando el adelanto de las mujeres y su plena participación en todos los ámbitos de la vida; realizar acciones tendientes a mejorar las condiciones de las mujeres y sus familias que se encuentren en situación de </w:t>
      </w:r>
      <w:r w:rsidRPr="009E30D1">
        <w:rPr>
          <w:rFonts w:ascii="Adobe Caslon Pro" w:hAnsi="Adobe Caslon Pro"/>
        </w:rPr>
        <w:lastRenderedPageBreak/>
        <w:t xml:space="preserve">exclusión y de pobreza; promover políticas de igualdad de condiciones y oportunidades entre mujeres y hombres, para lograr el adelanto de las mujeres para su empoderamiento y la eliminación de las brechas y desventajas de género y </w:t>
      </w:r>
      <w:r w:rsidRPr="009E30D1">
        <w:rPr>
          <w:rFonts w:ascii="Adobe Caslon Pro" w:hAnsi="Adobe Caslon Pro"/>
          <w:b/>
        </w:rPr>
        <w:t>promover políticas de prevención y atención de la violencia contra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Por otro lado, el Reglamento que se desprende de esta </w:t>
      </w:r>
      <w:r w:rsidR="00867C1B">
        <w:rPr>
          <w:rFonts w:ascii="Adobe Caslon Pro" w:hAnsi="Adobe Caslon Pro"/>
        </w:rPr>
        <w:t>LGAMVLV</w:t>
      </w:r>
      <w:r w:rsidRPr="009E30D1">
        <w:rPr>
          <w:rFonts w:ascii="Adobe Caslon Pro" w:hAnsi="Adobe Caslon Pro"/>
        </w:rPr>
        <w:t xml:space="preserve"> establece, para la articulación de la Política Nacional Integral en la materia, los grandes ejes de acción que serán implementados a través de los Modelos correspondientes. Estos ejes de acción se encuentran señalados en el Artículo 4 de dicho reglamento y son caracterizados de la siguiente manera:</w:t>
      </w:r>
    </w:p>
    <w:p w:rsidR="005901E8" w:rsidRPr="009E30D1" w:rsidRDefault="005901E8" w:rsidP="005901E8">
      <w:pPr>
        <w:pStyle w:val="Prrafodelista"/>
        <w:numPr>
          <w:ilvl w:val="0"/>
          <w:numId w:val="12"/>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Prevención: Conjunto de estrategias para que los tres órdenes de gobierno con la participación social, generen condiciones idóneas a efecto de erradicar la violencia y cualquier forma de discriminación hacia la mujer, en los ámbitos público y privado, y modifiquen los patrones de comportamientos sociales y culturales basados en estereotipos de hombres y mujeres;</w:t>
      </w:r>
    </w:p>
    <w:p w:rsidR="005901E8" w:rsidRPr="009E30D1" w:rsidRDefault="005901E8" w:rsidP="005901E8">
      <w:pPr>
        <w:pStyle w:val="Prrafodelista"/>
        <w:numPr>
          <w:ilvl w:val="0"/>
          <w:numId w:val="12"/>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Atención: Conjunto de estrategias para que los tres órdenes de gobierno brinden acceso a la justicia restaurativa a Víctimas y establezcan acciones y medidas reeducativas a los Agresores, con la debida diligencia y Perspectiva de Género;</w:t>
      </w:r>
    </w:p>
    <w:p w:rsidR="005901E8" w:rsidRPr="009E30D1" w:rsidRDefault="005901E8" w:rsidP="005901E8">
      <w:pPr>
        <w:pStyle w:val="Prrafodelista"/>
        <w:numPr>
          <w:ilvl w:val="0"/>
          <w:numId w:val="12"/>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 xml:space="preserve">Sanción: Conjunto de estrategias para que los mecanismos judiciales y administrativos de los tres órdenes de gobierno establezcan las consecuencias jurídicas para el Agresor de la Violencia contra las Mujeres y asegure a las Víctimas y ofendidos el acceso efectivo a la reparación del daño, entendiendo ésta en un sentido </w:t>
      </w:r>
      <w:proofErr w:type="spellStart"/>
      <w:r w:rsidRPr="009E30D1">
        <w:rPr>
          <w:rFonts w:ascii="Adobe Caslon Pro" w:eastAsia="Calibri" w:hAnsi="Adobe Caslon Pro" w:cs="Times New Roman"/>
        </w:rPr>
        <w:t>restitutivo</w:t>
      </w:r>
      <w:proofErr w:type="spellEnd"/>
      <w:r w:rsidRPr="009E30D1">
        <w:rPr>
          <w:rFonts w:ascii="Adobe Caslon Pro" w:eastAsia="Calibri" w:hAnsi="Adobe Caslon Pro" w:cs="Times New Roman"/>
        </w:rPr>
        <w:t xml:space="preserve"> y transformador, que comprenda la indemnización, rehabilitación, satisfacción y garantías de no repetición, y</w:t>
      </w:r>
    </w:p>
    <w:p w:rsidR="005901E8" w:rsidRPr="009E30D1" w:rsidRDefault="005901E8" w:rsidP="005901E8">
      <w:pPr>
        <w:pStyle w:val="Prrafodelista"/>
        <w:numPr>
          <w:ilvl w:val="0"/>
          <w:numId w:val="12"/>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Erradicación: Conjunto de estrategias para que los tres órdenes de gobierno se coordinen de manera efectiva en la ejecución de los Ejes de Acción establecidos en las fracciones anteriores y en mecanismos de no repetición, abatimiento a la impunidad y remoción de los obstáculos que por acción u omisión del Estado genera Violencia contra las Mujeres, a fin de erradicar las prácticas, conductas, normas, costumbres sociales y culturales que menoscaben o anulen los Derechos Humanos de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El análisis de los grandes ejes de acción de la política nacional en materia de prevención, atención, sanción y erradicación de la violencia contra las mujeres permite asociar los objetivos que se desprenden del árbol que antecede, con dos grandes ejes: la prevención y atención, para con ello reconocer y priorizar los ámbitos de acción que con base en las atribuciones, objetivos y recursos de la SEDESOL son factibles de realizar.</w:t>
      </w:r>
    </w:p>
    <w:p w:rsidR="005901E8" w:rsidRPr="009E30D1" w:rsidRDefault="005901E8" w:rsidP="005901E8">
      <w:pPr>
        <w:spacing w:after="0" w:line="240" w:lineRule="auto"/>
        <w:jc w:val="both"/>
        <w:rPr>
          <w:rFonts w:ascii="Adobe Caslon Pro" w:hAnsi="Adobe Caslon Pro"/>
        </w:rPr>
      </w:pPr>
      <w:r w:rsidRPr="009E30D1">
        <w:rPr>
          <w:rFonts w:ascii="Adobe Caslon Pro" w:hAnsi="Adobe Caslon Pro"/>
        </w:rPr>
        <w:lastRenderedPageBreak/>
        <w:t xml:space="preserve">Para ello, es necesario determinar en primera instancia los objetivos que actualmente se está buscando alcanzar: </w:t>
      </w:r>
    </w:p>
    <w:p w:rsidR="005901E8" w:rsidRPr="009E30D1" w:rsidRDefault="005901E8" w:rsidP="005901E8">
      <w:pPr>
        <w:spacing w:after="0" w:line="240" w:lineRule="auto"/>
        <w:jc w:val="both"/>
        <w:rPr>
          <w:rFonts w:ascii="Adobe Caslon Pro" w:hAnsi="Adobe Caslon 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977"/>
        <w:gridCol w:w="2810"/>
        <w:gridCol w:w="2308"/>
      </w:tblGrid>
      <w:tr w:rsidR="005901E8" w:rsidRPr="009E30D1" w:rsidTr="00B41860">
        <w:trPr>
          <w:tblHeader/>
        </w:trPr>
        <w:tc>
          <w:tcPr>
            <w:tcW w:w="959" w:type="dxa"/>
            <w:shd w:val="clear" w:color="auto" w:fill="808080"/>
            <w:vAlign w:val="center"/>
          </w:tcPr>
          <w:p w:rsidR="005901E8" w:rsidRPr="009E30D1" w:rsidRDefault="005901E8" w:rsidP="00B41860">
            <w:pPr>
              <w:spacing w:after="0" w:line="240" w:lineRule="auto"/>
              <w:jc w:val="center"/>
              <w:rPr>
                <w:rFonts w:ascii="Adobe Caslon Pro" w:hAnsi="Adobe Caslon Pro"/>
                <w:b/>
                <w:sz w:val="20"/>
              </w:rPr>
            </w:pPr>
          </w:p>
          <w:p w:rsidR="005901E8" w:rsidRPr="009E30D1" w:rsidRDefault="005901E8" w:rsidP="00B41860">
            <w:pPr>
              <w:spacing w:after="0" w:line="240" w:lineRule="auto"/>
              <w:jc w:val="center"/>
              <w:rPr>
                <w:rFonts w:ascii="Adobe Caslon Pro" w:hAnsi="Adobe Caslon Pro"/>
                <w:b/>
                <w:sz w:val="20"/>
              </w:rPr>
            </w:pPr>
          </w:p>
          <w:p w:rsidR="005901E8" w:rsidRPr="009E30D1" w:rsidRDefault="005901E8" w:rsidP="00B41860">
            <w:pPr>
              <w:spacing w:after="0" w:line="240" w:lineRule="auto"/>
              <w:jc w:val="center"/>
              <w:rPr>
                <w:rFonts w:ascii="Adobe Caslon Pro" w:hAnsi="Adobe Caslon Pro"/>
                <w:b/>
                <w:sz w:val="20"/>
              </w:rPr>
            </w:pPr>
            <w:r w:rsidRPr="009E30D1">
              <w:rPr>
                <w:rFonts w:ascii="Adobe Caslon Pro" w:hAnsi="Adobe Caslon Pro"/>
                <w:b/>
                <w:sz w:val="20"/>
              </w:rPr>
              <w:t>Tipo</w:t>
            </w:r>
          </w:p>
        </w:tc>
        <w:tc>
          <w:tcPr>
            <w:tcW w:w="2977" w:type="dxa"/>
            <w:shd w:val="clear" w:color="auto" w:fill="808080"/>
            <w:vAlign w:val="center"/>
          </w:tcPr>
          <w:p w:rsidR="005901E8" w:rsidRPr="009E30D1" w:rsidRDefault="005901E8" w:rsidP="00B41860">
            <w:pPr>
              <w:spacing w:after="0" w:line="240" w:lineRule="auto"/>
              <w:jc w:val="center"/>
              <w:rPr>
                <w:rFonts w:ascii="Adobe Caslon Pro" w:hAnsi="Adobe Caslon Pro"/>
                <w:b/>
                <w:sz w:val="20"/>
              </w:rPr>
            </w:pPr>
            <w:r w:rsidRPr="009E30D1">
              <w:rPr>
                <w:rFonts w:ascii="Adobe Caslon Pro" w:hAnsi="Adobe Caslon Pro"/>
                <w:b/>
                <w:sz w:val="20"/>
              </w:rPr>
              <w:t>Objetivo</w:t>
            </w:r>
          </w:p>
        </w:tc>
        <w:tc>
          <w:tcPr>
            <w:tcW w:w="2810" w:type="dxa"/>
            <w:shd w:val="clear" w:color="auto" w:fill="808080"/>
            <w:vAlign w:val="center"/>
          </w:tcPr>
          <w:p w:rsidR="005901E8" w:rsidRPr="009E30D1" w:rsidRDefault="005901E8" w:rsidP="00B41860">
            <w:pPr>
              <w:spacing w:after="0" w:line="240" w:lineRule="auto"/>
              <w:jc w:val="center"/>
              <w:rPr>
                <w:rFonts w:ascii="Adobe Caslon Pro" w:hAnsi="Adobe Caslon Pro"/>
                <w:b/>
                <w:sz w:val="20"/>
              </w:rPr>
            </w:pPr>
            <w:r w:rsidRPr="009E30D1">
              <w:rPr>
                <w:rFonts w:ascii="Adobe Caslon Pro" w:hAnsi="Adobe Caslon Pro"/>
                <w:b/>
                <w:sz w:val="20"/>
              </w:rPr>
              <w:t>Acciones</w:t>
            </w:r>
          </w:p>
        </w:tc>
        <w:tc>
          <w:tcPr>
            <w:tcW w:w="2308" w:type="dxa"/>
            <w:shd w:val="clear" w:color="auto" w:fill="808080"/>
            <w:vAlign w:val="center"/>
          </w:tcPr>
          <w:p w:rsidR="005901E8" w:rsidRPr="009E30D1" w:rsidRDefault="005901E8" w:rsidP="00B41860">
            <w:pPr>
              <w:spacing w:after="0" w:line="240" w:lineRule="auto"/>
              <w:jc w:val="center"/>
              <w:rPr>
                <w:rFonts w:ascii="Adobe Caslon Pro" w:hAnsi="Adobe Caslon Pro"/>
                <w:b/>
                <w:sz w:val="20"/>
              </w:rPr>
            </w:pPr>
            <w:r w:rsidRPr="009E30D1">
              <w:rPr>
                <w:rFonts w:ascii="Adobe Caslon Pro" w:hAnsi="Adobe Caslon Pro"/>
                <w:b/>
                <w:sz w:val="20"/>
              </w:rPr>
              <w:t>Población Objetivo</w:t>
            </w:r>
          </w:p>
        </w:tc>
      </w:tr>
      <w:tr w:rsidR="005901E8" w:rsidRPr="009E30D1" w:rsidTr="00B41860">
        <w:trPr>
          <w:trHeight w:val="330"/>
        </w:trPr>
        <w:tc>
          <w:tcPr>
            <w:tcW w:w="959" w:type="dxa"/>
            <w:vMerge w:val="restart"/>
            <w:shd w:val="clear" w:color="auto" w:fill="auto"/>
            <w:textDirection w:val="btLr"/>
          </w:tcPr>
          <w:p w:rsidR="005901E8" w:rsidRPr="009E30D1" w:rsidRDefault="005901E8" w:rsidP="00B41860">
            <w:pPr>
              <w:spacing w:after="0" w:line="240" w:lineRule="auto"/>
              <w:jc w:val="center"/>
              <w:rPr>
                <w:rFonts w:ascii="Adobe Caslon Pro" w:hAnsi="Adobe Caslon Pro"/>
                <w:sz w:val="20"/>
              </w:rPr>
            </w:pPr>
            <w:r w:rsidRPr="009E30D1">
              <w:rPr>
                <w:rFonts w:ascii="Adobe Caslon Pro" w:hAnsi="Adobe Caslon Pro"/>
                <w:sz w:val="20"/>
              </w:rPr>
              <w:t>Prevención</w:t>
            </w: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Mayor conocimiento de los derechos de las mujeres</w:t>
            </w:r>
          </w:p>
        </w:tc>
        <w:tc>
          <w:tcPr>
            <w:tcW w:w="2810" w:type="dxa"/>
            <w:shd w:val="clear" w:color="auto" w:fill="auto"/>
            <w:vAlign w:val="center"/>
          </w:tcPr>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 xml:space="preserve">Campañas de información y difusión masiva </w:t>
            </w:r>
          </w:p>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Pláticas</w:t>
            </w:r>
          </w:p>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Foros, conferencias</w:t>
            </w:r>
          </w:p>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Círculos de lectura, cine-debate</w:t>
            </w:r>
          </w:p>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Concursos</w:t>
            </w:r>
          </w:p>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Actividades lúdicas y recreativas</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Mujeres y grupos de población que no cuentan con mecanismos específicos para el conocimiento de sus derechos.</w:t>
            </w:r>
          </w:p>
        </w:tc>
      </w:tr>
      <w:tr w:rsidR="005901E8" w:rsidRPr="009E30D1" w:rsidTr="00B41860">
        <w:trPr>
          <w:trHeight w:val="578"/>
        </w:trPr>
        <w:tc>
          <w:tcPr>
            <w:tcW w:w="959" w:type="dxa"/>
            <w:vMerge/>
            <w:shd w:val="clear" w:color="auto" w:fill="auto"/>
            <w:textDirection w:val="btLr"/>
          </w:tcPr>
          <w:p w:rsidR="005901E8" w:rsidRPr="009E30D1" w:rsidRDefault="005901E8" w:rsidP="00B41860">
            <w:pPr>
              <w:spacing w:after="0" w:line="240" w:lineRule="auto"/>
              <w:jc w:val="center"/>
              <w:rPr>
                <w:rFonts w:ascii="Adobe Caslon Pro" w:hAnsi="Adobe Caslon Pro"/>
                <w:sz w:val="20"/>
              </w:rPr>
            </w:pP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Conciencia de las mujeres sobre sus derechos</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Sensibilización en materia de género, derechos humanos y violencia contra las mujeres</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Mujeres y población en general</w:t>
            </w:r>
          </w:p>
        </w:tc>
      </w:tr>
      <w:tr w:rsidR="005901E8" w:rsidRPr="009E30D1" w:rsidTr="00B41860">
        <w:tc>
          <w:tcPr>
            <w:tcW w:w="959" w:type="dxa"/>
            <w:vMerge w:val="restart"/>
            <w:shd w:val="clear" w:color="auto" w:fill="auto"/>
            <w:textDirection w:val="btLr"/>
          </w:tcPr>
          <w:p w:rsidR="005901E8" w:rsidRPr="009E30D1" w:rsidRDefault="005901E8" w:rsidP="00B41860">
            <w:pPr>
              <w:spacing w:after="0" w:line="240" w:lineRule="auto"/>
              <w:jc w:val="center"/>
              <w:rPr>
                <w:rFonts w:ascii="Adobe Caslon Pro" w:hAnsi="Adobe Caslon Pro"/>
                <w:sz w:val="20"/>
              </w:rPr>
            </w:pPr>
            <w:r w:rsidRPr="009E30D1">
              <w:rPr>
                <w:rFonts w:ascii="Adobe Caslon Pro" w:hAnsi="Adobe Caslon Pro"/>
                <w:sz w:val="20"/>
              </w:rPr>
              <w:t>Atención</w:t>
            </w: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Apropiados mecanismos para solicitar auxilio en situaciones de emergencia</w:t>
            </w:r>
          </w:p>
        </w:tc>
        <w:tc>
          <w:tcPr>
            <w:tcW w:w="2810" w:type="dxa"/>
            <w:shd w:val="clear" w:color="auto" w:fill="auto"/>
            <w:vAlign w:val="center"/>
          </w:tcPr>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 xml:space="preserve">Servicios de atención telefónicos. </w:t>
            </w:r>
          </w:p>
          <w:p w:rsidR="005901E8" w:rsidRPr="009E30D1" w:rsidRDefault="005901E8" w:rsidP="00B41860">
            <w:pPr>
              <w:numPr>
                <w:ilvl w:val="0"/>
                <w:numId w:val="13"/>
              </w:numPr>
              <w:spacing w:after="0" w:line="240" w:lineRule="auto"/>
              <w:jc w:val="both"/>
              <w:rPr>
                <w:rFonts w:ascii="Adobe Caslon Pro" w:hAnsi="Adobe Caslon Pro"/>
                <w:sz w:val="20"/>
              </w:rPr>
            </w:pPr>
            <w:r w:rsidRPr="009E30D1">
              <w:rPr>
                <w:rFonts w:ascii="Adobe Caslon Pro" w:hAnsi="Adobe Caslon Pro"/>
                <w:sz w:val="20"/>
              </w:rPr>
              <w:t xml:space="preserve">Oficinas de atención </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Mujeres y en situación de violencia y las personas allegadas</w:t>
            </w:r>
          </w:p>
        </w:tc>
      </w:tr>
      <w:tr w:rsidR="005901E8" w:rsidRPr="009E30D1" w:rsidTr="00B41860">
        <w:tc>
          <w:tcPr>
            <w:tcW w:w="959" w:type="dxa"/>
            <w:vMerge/>
            <w:shd w:val="clear" w:color="auto" w:fill="auto"/>
          </w:tcPr>
          <w:p w:rsidR="005901E8" w:rsidRPr="009E30D1" w:rsidRDefault="005901E8" w:rsidP="00B41860">
            <w:pPr>
              <w:spacing w:after="0" w:line="240" w:lineRule="auto"/>
              <w:jc w:val="center"/>
              <w:rPr>
                <w:rFonts w:ascii="Adobe Caslon Pro" w:hAnsi="Adobe Caslon Pro"/>
                <w:sz w:val="20"/>
              </w:rPr>
            </w:pP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Ampliación de la oferta institucional para la atención de casos de violencia contra las mujeres.</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Establecimiento de acuerdos de colaboración entre instituciones.</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Instituciones públicas o sociales.</w:t>
            </w:r>
          </w:p>
        </w:tc>
      </w:tr>
      <w:tr w:rsidR="005901E8" w:rsidRPr="009E30D1" w:rsidTr="00B41860">
        <w:tc>
          <w:tcPr>
            <w:tcW w:w="959" w:type="dxa"/>
            <w:vMerge/>
            <w:shd w:val="clear" w:color="auto" w:fill="auto"/>
          </w:tcPr>
          <w:p w:rsidR="005901E8" w:rsidRPr="009E30D1" w:rsidRDefault="005901E8" w:rsidP="00B41860">
            <w:pPr>
              <w:spacing w:after="0" w:line="240" w:lineRule="auto"/>
              <w:jc w:val="center"/>
              <w:rPr>
                <w:rFonts w:ascii="Adobe Caslon Pro" w:hAnsi="Adobe Caslon Pro"/>
                <w:sz w:val="20"/>
              </w:rPr>
            </w:pPr>
          </w:p>
        </w:tc>
        <w:tc>
          <w:tcPr>
            <w:tcW w:w="2977" w:type="dxa"/>
            <w:shd w:val="clear" w:color="auto" w:fill="auto"/>
            <w:vAlign w:val="center"/>
          </w:tcPr>
          <w:p w:rsidR="005901E8" w:rsidRPr="009E30D1" w:rsidRDefault="00867C1B" w:rsidP="00867C1B">
            <w:pPr>
              <w:spacing w:after="0" w:line="240" w:lineRule="auto"/>
              <w:jc w:val="both"/>
              <w:rPr>
                <w:rFonts w:ascii="Adobe Caslon Pro" w:hAnsi="Adobe Caslon Pro"/>
                <w:sz w:val="20"/>
              </w:rPr>
            </w:pPr>
            <w:r>
              <w:rPr>
                <w:rFonts w:ascii="Adobe Caslon Pro" w:hAnsi="Adobe Caslon Pro"/>
                <w:sz w:val="20"/>
              </w:rPr>
              <w:t xml:space="preserve">Mayor </w:t>
            </w:r>
            <w:r w:rsidR="005901E8" w:rsidRPr="009E30D1">
              <w:rPr>
                <w:rFonts w:ascii="Adobe Caslon Pro" w:hAnsi="Adobe Caslon Pro"/>
                <w:sz w:val="20"/>
              </w:rPr>
              <w:t>articulación de la oferta institucional para la atención de la violencia contra las mujeres</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Establecimiento de acuerdos de colaboración entre instituciones.</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Instituciones públicas o sociales.</w:t>
            </w:r>
          </w:p>
        </w:tc>
      </w:tr>
      <w:tr w:rsidR="005901E8" w:rsidRPr="009E30D1" w:rsidTr="00B41860">
        <w:tc>
          <w:tcPr>
            <w:tcW w:w="959" w:type="dxa"/>
            <w:vMerge/>
            <w:shd w:val="clear" w:color="auto" w:fill="auto"/>
          </w:tcPr>
          <w:p w:rsidR="005901E8" w:rsidRPr="009E30D1" w:rsidRDefault="005901E8" w:rsidP="00B41860">
            <w:pPr>
              <w:spacing w:after="0" w:line="240" w:lineRule="auto"/>
              <w:jc w:val="center"/>
              <w:rPr>
                <w:rFonts w:ascii="Adobe Caslon Pro" w:hAnsi="Adobe Caslon Pro"/>
                <w:sz w:val="20"/>
              </w:rPr>
            </w:pP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Mujeres en situación de emergencia por situaciones de violencia cuentan con servicios de acogida</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Apoyo a refugios de las Organizaciones de la Sociedad Civil y de otras instancias públicas.</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Mujeres en situación de violencia, sus hijas e hijos.</w:t>
            </w:r>
          </w:p>
        </w:tc>
      </w:tr>
      <w:tr w:rsidR="005901E8" w:rsidRPr="009E30D1" w:rsidTr="00B41860">
        <w:tc>
          <w:tcPr>
            <w:tcW w:w="959" w:type="dxa"/>
            <w:vMerge/>
            <w:shd w:val="clear" w:color="auto" w:fill="auto"/>
          </w:tcPr>
          <w:p w:rsidR="005901E8" w:rsidRPr="009E30D1" w:rsidRDefault="005901E8" w:rsidP="00B41860">
            <w:pPr>
              <w:spacing w:after="0" w:line="240" w:lineRule="auto"/>
              <w:jc w:val="center"/>
              <w:rPr>
                <w:rFonts w:ascii="Adobe Caslon Pro" w:hAnsi="Adobe Caslon Pro"/>
                <w:sz w:val="20"/>
              </w:rPr>
            </w:pP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Empoderamiento económico de las mujeres víctimas de violencia</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Capacitación para el trabajo</w:t>
            </w:r>
          </w:p>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Apoyo a proyectos productivos</w:t>
            </w:r>
          </w:p>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Gestión de servicios de bolsa de trabajo.</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Mujeres en situación de violencia que son atendidas en las Unidades especializadas.</w:t>
            </w:r>
          </w:p>
        </w:tc>
      </w:tr>
      <w:tr w:rsidR="005901E8" w:rsidRPr="009E30D1" w:rsidTr="00B41860">
        <w:tc>
          <w:tcPr>
            <w:tcW w:w="959" w:type="dxa"/>
            <w:vMerge w:val="restart"/>
            <w:shd w:val="clear" w:color="auto" w:fill="auto"/>
            <w:textDirection w:val="btLr"/>
          </w:tcPr>
          <w:p w:rsidR="005901E8" w:rsidRPr="009E30D1" w:rsidRDefault="005901E8" w:rsidP="00B41860">
            <w:pPr>
              <w:spacing w:after="0" w:line="240" w:lineRule="auto"/>
              <w:jc w:val="center"/>
              <w:rPr>
                <w:rFonts w:ascii="Adobe Caslon Pro" w:hAnsi="Adobe Caslon Pro"/>
                <w:sz w:val="20"/>
              </w:rPr>
            </w:pPr>
            <w:r w:rsidRPr="009E30D1">
              <w:rPr>
                <w:rFonts w:ascii="Adobe Caslon Pro" w:hAnsi="Adobe Caslon Pro"/>
                <w:sz w:val="20"/>
              </w:rPr>
              <w:lastRenderedPageBreak/>
              <w:t>Fortalecimiento de las capacidades de prevención y atención de las IMEF</w:t>
            </w: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Alto nivel de formación de los impartidores de justicia en materia de violencia contra las mujeres</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Capacitación</w:t>
            </w:r>
          </w:p>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Sensibilización</w:t>
            </w:r>
          </w:p>
          <w:p w:rsidR="005901E8" w:rsidRPr="009E30D1" w:rsidRDefault="005901E8" w:rsidP="00B41860">
            <w:pPr>
              <w:spacing w:after="0" w:line="240" w:lineRule="auto"/>
              <w:jc w:val="both"/>
              <w:rPr>
                <w:rFonts w:ascii="Adobe Caslon Pro" w:hAnsi="Adobe Caslon Pro"/>
                <w:sz w:val="20"/>
              </w:rPr>
            </w:pP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Personal de las instancias de procuración de justicia</w:t>
            </w:r>
          </w:p>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Mujeres en situación de violencia.</w:t>
            </w:r>
          </w:p>
        </w:tc>
      </w:tr>
      <w:tr w:rsidR="005901E8" w:rsidRPr="009E30D1" w:rsidTr="00B41860">
        <w:tc>
          <w:tcPr>
            <w:tcW w:w="959" w:type="dxa"/>
            <w:vMerge/>
            <w:shd w:val="clear" w:color="auto" w:fill="auto"/>
            <w:textDirection w:val="btLr"/>
          </w:tcPr>
          <w:p w:rsidR="005901E8" w:rsidRPr="009E30D1" w:rsidRDefault="005901E8" w:rsidP="00B41860">
            <w:pPr>
              <w:spacing w:after="0" w:line="240" w:lineRule="auto"/>
              <w:jc w:val="both"/>
              <w:rPr>
                <w:rFonts w:ascii="Adobe Caslon Pro" w:hAnsi="Adobe Caslon Pro"/>
                <w:sz w:val="20"/>
              </w:rPr>
            </w:pP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Alto nivel de profesionalización del personal del servicio público en cuanto a la violencia contra las mujeres</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Capacitación</w:t>
            </w:r>
          </w:p>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Sensibilización</w:t>
            </w:r>
          </w:p>
          <w:p w:rsidR="005901E8" w:rsidRPr="009E30D1" w:rsidRDefault="005901E8" w:rsidP="00B41860">
            <w:pPr>
              <w:spacing w:after="0" w:line="240" w:lineRule="auto"/>
              <w:jc w:val="both"/>
              <w:rPr>
                <w:rFonts w:ascii="Adobe Caslon Pro" w:hAnsi="Adobe Caslon Pro"/>
                <w:sz w:val="20"/>
              </w:rPr>
            </w:pP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Personal de los tres niveles de gobierno que imparte acciones preventivas y de atención</w:t>
            </w:r>
          </w:p>
        </w:tc>
      </w:tr>
      <w:tr w:rsidR="005901E8" w:rsidRPr="009E30D1" w:rsidTr="00B41860">
        <w:tc>
          <w:tcPr>
            <w:tcW w:w="959" w:type="dxa"/>
            <w:vMerge/>
            <w:shd w:val="clear" w:color="auto" w:fill="auto"/>
            <w:textDirection w:val="btLr"/>
          </w:tcPr>
          <w:p w:rsidR="005901E8" w:rsidRPr="009E30D1" w:rsidRDefault="005901E8" w:rsidP="00B41860">
            <w:pPr>
              <w:spacing w:after="0" w:line="240" w:lineRule="auto"/>
              <w:jc w:val="both"/>
              <w:rPr>
                <w:rFonts w:ascii="Adobe Caslon Pro" w:hAnsi="Adobe Caslon Pro"/>
                <w:sz w:val="20"/>
              </w:rPr>
            </w:pP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Marcos normativos estatales actualizados y armonizados en cuanto a la violencia contra las mujeres</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Mesas de trabajo interinstitucional</w:t>
            </w:r>
          </w:p>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Foros</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Población en general y las instituciones involucradas en las acciones de prevención atención, sanción y erradicación de la violencia contra las mujeres.</w:t>
            </w:r>
          </w:p>
        </w:tc>
      </w:tr>
      <w:tr w:rsidR="005901E8" w:rsidRPr="009E30D1" w:rsidTr="00B41860">
        <w:tc>
          <w:tcPr>
            <w:tcW w:w="959" w:type="dxa"/>
            <w:vMerge/>
            <w:shd w:val="clear" w:color="auto" w:fill="auto"/>
          </w:tcPr>
          <w:p w:rsidR="005901E8" w:rsidRPr="009E30D1" w:rsidRDefault="005901E8" w:rsidP="00B41860">
            <w:pPr>
              <w:spacing w:after="0" w:line="240" w:lineRule="auto"/>
              <w:jc w:val="both"/>
              <w:rPr>
                <w:rFonts w:ascii="Adobe Caslon Pro" w:hAnsi="Adobe Caslon Pro"/>
                <w:sz w:val="20"/>
              </w:rPr>
            </w:pPr>
          </w:p>
        </w:tc>
        <w:tc>
          <w:tcPr>
            <w:tcW w:w="2977"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Diagnóstico y estudio especializados sobre la situación de violencia contra mujeres en la entidad.</w:t>
            </w:r>
          </w:p>
        </w:tc>
        <w:tc>
          <w:tcPr>
            <w:tcW w:w="2810"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Estudios e investigaciones.</w:t>
            </w:r>
          </w:p>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Diagnósticos estatales, regionales y por sectores de población.</w:t>
            </w:r>
          </w:p>
        </w:tc>
        <w:tc>
          <w:tcPr>
            <w:tcW w:w="2308" w:type="dxa"/>
            <w:shd w:val="clear" w:color="auto" w:fill="auto"/>
            <w:vAlign w:val="center"/>
          </w:tcPr>
          <w:p w:rsidR="005901E8" w:rsidRPr="009E30D1" w:rsidRDefault="005901E8" w:rsidP="00B41860">
            <w:pPr>
              <w:spacing w:after="0" w:line="240" w:lineRule="auto"/>
              <w:jc w:val="both"/>
              <w:rPr>
                <w:rFonts w:ascii="Adobe Caslon Pro" w:hAnsi="Adobe Caslon Pro"/>
                <w:sz w:val="20"/>
              </w:rPr>
            </w:pPr>
            <w:r w:rsidRPr="009E30D1">
              <w:rPr>
                <w:rFonts w:ascii="Adobe Caslon Pro" w:hAnsi="Adobe Caslon Pro"/>
                <w:sz w:val="20"/>
              </w:rPr>
              <w:t>Instancias de las Mujeres en las Entidades Federativas (IMEF).</w:t>
            </w:r>
          </w:p>
        </w:tc>
      </w:tr>
    </w:tbl>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Como bien se observó con anterioridad, la violencia contra las mujeres es un problema multidimensional y multifactorial que no puede verse de manera aislada, por lo que si bien su diagnóstico debe prever todas las variables tanto en materia de prevención, atención y sanción, </w:t>
      </w:r>
      <w:r w:rsidR="00867C1B">
        <w:rPr>
          <w:rFonts w:ascii="Adobe Caslon Pro" w:hAnsi="Adobe Caslon Pro"/>
        </w:rPr>
        <w:t xml:space="preserve">no obstante, </w:t>
      </w:r>
      <w:r w:rsidRPr="009E30D1">
        <w:rPr>
          <w:rFonts w:ascii="Adobe Caslon Pro" w:hAnsi="Adobe Caslon Pro"/>
        </w:rPr>
        <w:t>se deben focalizar acciones a partir de la distribución de responsabilidades en la Administración Pública Federal, que correspondan con las atribuciones delimitadas para cada instancia a fin de potenciar esfuerzos y evitar duplicar acciones que reduzcan el efecto de los recursos destinados para enfrentar dicha problemática.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En ese sentido y a partir del análisis de las atribuciones de la SEDESOL en la materia, enunciadas con anterioridad, se han identificado dos ejes de acción y objetivos de la LGAMVLV que van más allá de las competencias de la SEDESOL y el INDESOL: el ámbito de la sanción, que involucra la ejecución de modelos de sanción mediante las instancias jurídicas competentes; y el ámbito de la </w:t>
      </w:r>
      <w:r w:rsidRPr="009E30D1">
        <w:rPr>
          <w:rFonts w:ascii="Adobe Caslon Pro" w:hAnsi="Adobe Caslon Pro"/>
        </w:rPr>
        <w:lastRenderedPageBreak/>
        <w:t>erradicación, que supondría la suma de las políticas públicas que el Estado Mexicano en su conjunto pondría en marcha para dar cumplimiento a los compromisos internacionales en la materia.</w:t>
      </w:r>
    </w:p>
    <w:p w:rsidR="005901E8" w:rsidRPr="009E30D1" w:rsidRDefault="005901E8" w:rsidP="005901E8">
      <w:pPr>
        <w:pStyle w:val="Epgrafe"/>
        <w:keepNext/>
        <w:spacing w:after="120"/>
        <w:jc w:val="center"/>
        <w:rPr>
          <w:rFonts w:ascii="Adobe Caslon Pro" w:eastAsia="Calibri" w:hAnsi="Adobe Caslon Pro" w:cs="Times New Roman"/>
          <w:bCs w:val="0"/>
          <w:color w:val="auto"/>
          <w:sz w:val="22"/>
          <w:szCs w:val="22"/>
        </w:rPr>
      </w:pPr>
      <w:r w:rsidRPr="009E30D1">
        <w:rPr>
          <w:rFonts w:ascii="Adobe Caslon Pro" w:eastAsia="Calibri" w:hAnsi="Adobe Caslon Pro" w:cs="Times New Roman"/>
          <w:bCs w:val="0"/>
          <w:color w:val="auto"/>
          <w:sz w:val="22"/>
          <w:szCs w:val="22"/>
        </w:rPr>
        <w:t>Figura 7. Ámbitos de incidencia por responsabilidades institucionales</w:t>
      </w:r>
    </w:p>
    <w:p w:rsidR="005901E8" w:rsidRPr="009E30D1" w:rsidRDefault="005901E8" w:rsidP="005901E8">
      <w:pPr>
        <w:spacing w:after="120" w:line="240" w:lineRule="auto"/>
        <w:jc w:val="center"/>
        <w:rPr>
          <w:rFonts w:ascii="Adobe Caslon Pro" w:hAnsi="Adobe Caslon Pro"/>
        </w:rPr>
      </w:pPr>
      <w:r w:rsidRPr="009E30D1">
        <w:rPr>
          <w:rFonts w:ascii="Adobe Caslon Pro" w:hAnsi="Adobe Caslon Pro"/>
          <w:noProof/>
          <w:lang w:eastAsia="es-MX"/>
        </w:rPr>
        <w:drawing>
          <wp:inline distT="0" distB="0" distL="0" distR="0" wp14:anchorId="326AC7EB" wp14:editId="45844176">
            <wp:extent cx="4023360" cy="28610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21769" cy="2859892"/>
                    </a:xfrm>
                    <a:prstGeom prst="rect">
                      <a:avLst/>
                    </a:prstGeom>
                    <a:noFill/>
                  </pic:spPr>
                </pic:pic>
              </a:graphicData>
            </a:graphic>
          </wp:inline>
        </w:drawing>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Ahora bien, de acuerdo con este mismo análisis se identifican dos ejes de acción a través de los cuales la SEDESOL puede contribuir en la disminución de los “Altos niveles de violencia contra las mujeres”, que son la promoción y apoyo de acciones de </w:t>
      </w:r>
      <w:r w:rsidRPr="009E30D1">
        <w:rPr>
          <w:rFonts w:ascii="Adobe Caslon Pro" w:hAnsi="Adobe Caslon Pro"/>
          <w:b/>
        </w:rPr>
        <w:t>prevención</w:t>
      </w:r>
      <w:r w:rsidRPr="009E30D1">
        <w:rPr>
          <w:rFonts w:ascii="Adobe Caslon Pro" w:hAnsi="Adobe Caslon Pro"/>
        </w:rPr>
        <w:t xml:space="preserve"> y </w:t>
      </w:r>
      <w:r w:rsidRPr="009E30D1">
        <w:rPr>
          <w:rFonts w:ascii="Adobe Caslon Pro" w:hAnsi="Adobe Caslon Pro"/>
          <w:b/>
        </w:rPr>
        <w:t xml:space="preserve">atención </w:t>
      </w:r>
      <w:r w:rsidRPr="009E30D1">
        <w:rPr>
          <w:rFonts w:ascii="Adobe Caslon Pro" w:hAnsi="Adobe Caslon Pro"/>
        </w:rPr>
        <w:t xml:space="preserve">de la violencia contra las mujeres, toda vez que ambos ejes están en el ámbito de su competencia y atribuciones.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Es por lo anterior que el objetivo central de la presente propuesta de atención se centra en “</w:t>
      </w:r>
      <w:r w:rsidRPr="009E30D1">
        <w:rPr>
          <w:rFonts w:ascii="Adobe Caslon Pro" w:hAnsi="Adobe Caslon Pro"/>
          <w:b/>
        </w:rPr>
        <w:t>Prevenir y atender la violencia contra las mujeres”</w:t>
      </w:r>
      <w:r w:rsidRPr="009E30D1">
        <w:rPr>
          <w:rFonts w:ascii="Adobe Caslon Pro" w:hAnsi="Adobe Caslon Pro"/>
        </w:rPr>
        <w:t xml:space="preserve">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Si bien a la fecha no se han publicado los Modelos a los que se refiere el Reglamento de la LGAMVLV, se tiene una perspectiva operativa sobre las implicaciones de la prevención y atención de la violencia contra las mujeres que se desprende de las acciones implementadas a la fecha</w:t>
      </w:r>
      <w:r w:rsidRPr="009E30D1">
        <w:rPr>
          <w:rFonts w:ascii="Adobe Caslon Pro" w:hAnsi="Adobe Caslon Pro"/>
          <w:vertAlign w:val="superscript"/>
        </w:rPr>
        <w:footnoteReference w:id="28"/>
      </w:r>
      <w:r w:rsidRPr="009E30D1">
        <w:rPr>
          <w:rFonts w:ascii="Adobe Caslon Pro" w:hAnsi="Adobe Caslon Pro"/>
        </w:rPr>
        <w:t>. Para efectos del presente documento se asume en términos generales las siguientes definiciones: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Prevención.- No sólo entendida como acciones que procuren evitar la violencia antes de su ocurrencia, como pueden ser medidas de información, difusión y promoción de los derechos humanos de las mujeres, la detección temprana y oportuna de las posibles víctimas y perpetradores, </w:t>
      </w:r>
      <w:r w:rsidR="00867C1B">
        <w:rPr>
          <w:rFonts w:ascii="Adobe Caslon Pro" w:hAnsi="Adobe Caslon Pro"/>
        </w:rPr>
        <w:t>sino también</w:t>
      </w:r>
      <w:r w:rsidRPr="009E30D1">
        <w:rPr>
          <w:rFonts w:ascii="Adobe Caslon Pro" w:hAnsi="Adobe Caslon Pro"/>
        </w:rPr>
        <w:t xml:space="preserve"> las acciones que permitan aminorar los factores de riesgo, a efecto de tratar de impedir </w:t>
      </w:r>
      <w:r w:rsidRPr="009E30D1">
        <w:rPr>
          <w:rFonts w:ascii="Adobe Caslon Pro" w:hAnsi="Adobe Caslon Pro"/>
        </w:rPr>
        <w:lastRenderedPageBreak/>
        <w:t xml:space="preserve">su reproducción y contribuir a modificar las dinámicas sociales, con lo cual se disminuyen los factores que generan situaciones violentas y potencia aquellos que pueden contribuir a la protección de los grupos con mayor incidencia o riesgo de victimización.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Atención.- se refiere al conjunto de acciones y servicios que permiten dar una repuesta inmediata a las víctimas después de que el evento de violencia haya ocurrido con el objeto de aminorar el daño y evitar consecuencias fatales, tales como: la atención médica, asesoría jurídica, tratamiento psicológico, servicios de protección y albergue entre otros.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literatura especializada en materia de género, da cuenta que los esfuerzos gubernamentales para el adelanto de las mujeres han buscado la creación y el fortalecimiento de mecanismos institucionales que para formular e implementar políticas públicas dirigidas a facilitar y concretar el adelanto de las mujeres y/o la equidad de género. En el caso mexicano es la Ley para la Igualdad entre Mujeres y Hombres el primer ordenamiento que pone en agenda institucional la creación y operación de estos mecanismos. El artículo 15 de esta ley (fracción II) señala que le corresponde a las y los titulares de los Gobiernos Estatales y del Distrito Federal crear y fortalecer los mecanismos institucionales de promoción y procuración de la igualdad entre mujeres y hombres, mediante las instancias administrativas que, se ocupen del adelanto de las mujeres en los Estados y el Distrito Federal.</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Estos mecanismos son las instancias públicas o gubernamentales especializadas que tienen, entre otras tareas institucionales, la promoción y operación de acciones dirigidas a la prevención y atención de la violencia contra las mujeres, conforme a sus competencias y atribuciones. Es así que en el artículo 36, de la LGAMVLV, se establece que estos mecanismos formarán parte integral del Sistema Nacional para Prevenir, Atender, Sancionar y Erradicar la Violencia contra las Mujeres. Con el paso del tiempo estos mecanismos han sido conocidos como las Instancias de Mujeres en las Entidades Federativas (IMEF).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Ahora bien, se considera que la mejor alternativa para promover acciones de prevención y atención de la violencia contra las mujeres es mediante el apoyo de proyectos que desarrollan las IMEF, debido a que los costos por la generación de servicios especializados son menores para un programa, en tanto que los costos de representación son absorbidos por las IMEF. Además, la estrategia de cobertura se establece con mayor y mejor información, lo cual puede generar que los servicios se implementen en donde son más necesarios. Asimismo, los recursos disponibles pueden ser potenciados debido a que tanto el programa como las IMEF aportan para la puesta en marcha de servicios de atención y acciones de prevención.</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lastRenderedPageBreak/>
        <w:t>Estas instancias juegan un papel fundamental en la configuración de las políticas que a nivel local los gobiernos estatales promueven para que las mujeres accedan a una vida libre de violencia. En gran medida son instancias articuladoras de instituciones públicas, privadas y sociales cuyo objetivo es disminuir la violencia contra las mujeres; fungen como promotoras y en la mayoría de los casos operadoras de acciones para combatir este problema.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creciente visibilidad y presencia de las IMEF en las entidades federativas les han permitido adquirir un estatus institucional preponderante en la política de género, adquiriendo autonomía y acceso a espacios de toma de decisiones, logrando con ello arraigo y aceptación como agentes de cambio para que la política pública federal dirigida a prevenir y atender la violencia contra las mujeres pueda llegar de manera directa.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De acuerdo con el artículo 41 del Reglamento Interior de la SEDESOL, el Instituto Nacional de Desarrollo Social (INDESOL) tiene, entre otras, las siguientes atribuciones:</w:t>
      </w:r>
    </w:p>
    <w:p w:rsidR="005901E8" w:rsidRPr="009E30D1" w:rsidRDefault="005901E8" w:rsidP="005901E8">
      <w:pPr>
        <w:pStyle w:val="Prrafodelista"/>
        <w:numPr>
          <w:ilvl w:val="0"/>
          <w:numId w:val="14"/>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Promover, impulsar y coordinar acciones de capacitación, formación, asesoría, investigación e información, dirigidas al fortalecimiento de las capacidades institucionales de los gobiernos de las entidades federativas y municipios, así como de las organizaciones de la sociedad civil vinculadas a tareas de desarrollo social y superación de la pobreza.</w:t>
      </w:r>
    </w:p>
    <w:p w:rsidR="005901E8" w:rsidRPr="009E30D1" w:rsidRDefault="005901E8" w:rsidP="005901E8">
      <w:pPr>
        <w:pStyle w:val="Prrafodelista"/>
        <w:numPr>
          <w:ilvl w:val="0"/>
          <w:numId w:val="14"/>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Promover la integración de la perspectiva de género en los programas de desarrollo social;</w:t>
      </w:r>
    </w:p>
    <w:p w:rsidR="005901E8" w:rsidRPr="009E30D1" w:rsidRDefault="005901E8" w:rsidP="005901E8">
      <w:pPr>
        <w:pStyle w:val="Prrafodelista"/>
        <w:numPr>
          <w:ilvl w:val="0"/>
          <w:numId w:val="14"/>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Diseñar y aplicar modelos que permitan combatir las causas estructurales que generan condiciones de mayor riesgo y vulnerabilidad frente a los delitos en materia de trata de personas con especial referencia a la pobreza, marginación y la desigualdad social, y</w:t>
      </w:r>
    </w:p>
    <w:p w:rsidR="005901E8" w:rsidRPr="009E30D1" w:rsidRDefault="005901E8" w:rsidP="005901E8">
      <w:pPr>
        <w:pStyle w:val="Prrafodelista"/>
        <w:numPr>
          <w:ilvl w:val="0"/>
          <w:numId w:val="14"/>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Fomentar el desarrollo social desde la visión de protección integral de los derechos humanos de las víctimas y coadyuvar en su promoción.</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vocación pública del INDESOL está centrada en la generación de espacios de interlocución entre las instancias públicas, organismos sociales, instancias académicas y el sector privado para promover el análisis, la disertación y la gestión del conocimiento que en materia de desarrollo social demanda la necesidad de abordar las distintas problemáticas sociales, entre ellas, la igualdad de género, los derechos humanos y la violencia contra las mujeres, abordaje que se facilita expresamente a través el Programa de Apoyo a las Instancias de Mujeres en las Entidades Federativas (PAIMEF).</w:t>
      </w:r>
    </w:p>
    <w:p w:rsidR="005901E8" w:rsidRPr="009E30D1" w:rsidRDefault="005901E8" w:rsidP="005901E8">
      <w:pPr>
        <w:rPr>
          <w:rFonts w:ascii="Adobe Caslon Pro" w:hAnsi="Adobe Caslon Pro" w:cstheme="majorBidi"/>
          <w:b/>
          <w:bCs/>
          <w:color w:val="808080" w:themeColor="background1" w:themeShade="80"/>
          <w:sz w:val="24"/>
        </w:rPr>
      </w:pPr>
      <w:r w:rsidRPr="009E30D1">
        <w:br w:type="page"/>
      </w:r>
    </w:p>
    <w:p w:rsidR="005901E8" w:rsidRPr="009E30D1" w:rsidRDefault="005901E8" w:rsidP="005901E8">
      <w:pPr>
        <w:pStyle w:val="Ttulo3"/>
        <w:spacing w:before="0" w:after="120" w:line="240" w:lineRule="auto"/>
        <w:rPr>
          <w:rFonts w:eastAsia="Calibri"/>
        </w:rPr>
      </w:pPr>
      <w:bookmarkStart w:id="60" w:name="_Toc391883385"/>
      <w:r w:rsidRPr="009E30D1">
        <w:rPr>
          <w:rFonts w:eastAsia="Calibri"/>
        </w:rPr>
        <w:lastRenderedPageBreak/>
        <w:t>Matriz de Marco Lógico</w:t>
      </w:r>
      <w:bookmarkEnd w:id="60"/>
    </w:p>
    <w:p w:rsidR="005901E8" w:rsidRPr="009E30D1" w:rsidRDefault="005901E8" w:rsidP="005901E8">
      <w:pPr>
        <w:spacing w:after="120" w:line="240" w:lineRule="auto"/>
        <w:jc w:val="both"/>
        <w:rPr>
          <w:rFonts w:ascii="Adobe Caslon Pro" w:hAnsi="Adobe Caslon Pro"/>
          <w:b/>
        </w:rPr>
      </w:pPr>
      <w:r w:rsidRPr="009E30D1">
        <w:rPr>
          <w:rFonts w:ascii="Adobe Caslon Pro" w:hAnsi="Adobe Caslon Pro"/>
        </w:rPr>
        <w:t xml:space="preserve">Considerando que el objetivo central que se busca es prevenir y atender la violencia contra las mujeres para “Disminuir los altos niveles de violencia contra las mujeres” y delimitando que las acciones que se pueden realizar conforme las atribuciones de la SEDESOL </w:t>
      </w:r>
      <w:r w:rsidR="00867C1B">
        <w:rPr>
          <w:rFonts w:ascii="Adobe Caslon Pro" w:hAnsi="Adobe Caslon Pro"/>
        </w:rPr>
        <w:t>y el</w:t>
      </w:r>
      <w:r w:rsidRPr="009E30D1">
        <w:rPr>
          <w:rFonts w:ascii="Adobe Caslon Pro" w:hAnsi="Adobe Caslon Pro"/>
        </w:rPr>
        <w:t xml:space="preserve"> INDESOL son aquellas en materia de prevención y atención de la violencia contra las mujeres, a través de las Instancias de Mujer</w:t>
      </w:r>
      <w:r w:rsidR="00867C1B">
        <w:rPr>
          <w:rFonts w:ascii="Adobe Caslon Pro" w:hAnsi="Adobe Caslon Pro"/>
        </w:rPr>
        <w:t>es en las Entidades Federativas</w:t>
      </w:r>
      <w:r w:rsidRPr="009E30D1">
        <w:rPr>
          <w:rFonts w:ascii="Adobe Caslon Pro" w:hAnsi="Adobe Caslon Pro"/>
        </w:rPr>
        <w:t xml:space="preserve"> en conjunto con otras instancias que puedan participar en colaboración con éstas, se considera que el </w:t>
      </w:r>
      <w:r w:rsidRPr="009E30D1">
        <w:rPr>
          <w:rFonts w:ascii="Adobe Caslon Pro" w:hAnsi="Adobe Caslon Pro"/>
          <w:b/>
        </w:rPr>
        <w:t>objetivo específico</w:t>
      </w:r>
      <w:r w:rsidRPr="009E30D1">
        <w:rPr>
          <w:rFonts w:ascii="Adobe Caslon Pro" w:hAnsi="Adobe Caslon Pro"/>
        </w:rPr>
        <w:t xml:space="preserve"> (equiparable al propósito del Programa) debe ser “</w:t>
      </w:r>
      <w:r w:rsidRPr="009E30D1">
        <w:rPr>
          <w:rFonts w:ascii="Adobe Caslon Pro" w:hAnsi="Adobe Caslon Pro"/>
          <w:b/>
        </w:rPr>
        <w:t>Prevenir y atender la violencia contra las mujeres por medio de las acciones que promueven y operan las Instancias de Mujeres en las Entidades Federativas, en coordinación con diversas instancias públicas y sociales</w:t>
      </w:r>
      <w:r w:rsidRPr="009E30D1">
        <w:rPr>
          <w:rFonts w:ascii="Adobe Caslon Pro" w:hAnsi="Adobe Caslon Pro"/>
        </w:rPr>
        <w:t xml:space="preserve">”. Asimismo, al ser el fin último que se persigue “Una Sociedad igualitaria en el ejercicio de sus derechos sociales”, el </w:t>
      </w:r>
      <w:r w:rsidRPr="009E30D1">
        <w:rPr>
          <w:rFonts w:ascii="Adobe Caslon Pro" w:hAnsi="Adobe Caslon Pro"/>
          <w:b/>
        </w:rPr>
        <w:t>objetivo general del Programa</w:t>
      </w:r>
      <w:r w:rsidRPr="009E30D1">
        <w:rPr>
          <w:rFonts w:ascii="Adobe Caslon Pro" w:hAnsi="Adobe Caslon Pro"/>
        </w:rPr>
        <w:t xml:space="preserve"> (equivalente al fin del Programa) es “</w:t>
      </w:r>
      <w:r w:rsidRPr="009E30D1">
        <w:rPr>
          <w:rFonts w:ascii="Adobe Caslon Pro" w:hAnsi="Adobe Caslon Pro"/>
          <w:b/>
        </w:rPr>
        <w:t>Contribuir a la construcción de una sociedad igualitaria a través de acciones de prevención y atención dirigidas a disminuir la violencia contra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Una vez que se ha identificado que el objetivo central que es competencia de la SEDESOL </w:t>
      </w:r>
      <w:r w:rsidR="00867C1B">
        <w:rPr>
          <w:rFonts w:ascii="Adobe Caslon Pro" w:hAnsi="Adobe Caslon Pro"/>
        </w:rPr>
        <w:t xml:space="preserve">y el </w:t>
      </w:r>
      <w:r w:rsidRPr="009E30D1">
        <w:rPr>
          <w:rFonts w:ascii="Adobe Caslon Pro" w:hAnsi="Adobe Caslon Pro"/>
        </w:rPr>
        <w:t>INDESOL, a través de las IMEF, se enfoca en la prevención y atención, se identifican los aspectos más importantes a través de la Matriz de Marco Lógico donde se describe y determina la relación lógica entre los distintos ámbitos de acción conforme las competencias mencionadas en el apartado anterior, permitiendo entender y mejorar la lógica interna y el diseño del programa.</w:t>
      </w:r>
    </w:p>
    <w:tbl>
      <w:tblPr>
        <w:tblStyle w:val="Tablaconcuadrcula"/>
        <w:tblW w:w="5000" w:type="pct"/>
        <w:tblLook w:val="04A0" w:firstRow="1" w:lastRow="0" w:firstColumn="1" w:lastColumn="0" w:noHBand="0" w:noVBand="1"/>
      </w:tblPr>
      <w:tblGrid>
        <w:gridCol w:w="1593"/>
        <w:gridCol w:w="2481"/>
        <w:gridCol w:w="3321"/>
        <w:gridCol w:w="1659"/>
      </w:tblGrid>
      <w:tr w:rsidR="005901E8" w:rsidRPr="009E30D1" w:rsidTr="00B41860">
        <w:trPr>
          <w:tblHeader/>
        </w:trPr>
        <w:tc>
          <w:tcPr>
            <w:tcW w:w="880" w:type="pct"/>
            <w:shd w:val="clear" w:color="auto" w:fill="F2F2F2" w:themeFill="background1" w:themeFillShade="F2"/>
            <w:vAlign w:val="center"/>
          </w:tcPr>
          <w:p w:rsidR="005901E8" w:rsidRPr="009E30D1" w:rsidRDefault="005901E8" w:rsidP="00B41860">
            <w:pPr>
              <w:spacing w:after="120"/>
              <w:jc w:val="center"/>
              <w:rPr>
                <w:rFonts w:ascii="Adobe Caslon Pro" w:hAnsi="Adobe Caslon Pro"/>
                <w:b/>
                <w:sz w:val="20"/>
              </w:rPr>
            </w:pPr>
            <w:r w:rsidRPr="009E30D1">
              <w:rPr>
                <w:rFonts w:ascii="Adobe Caslon Pro" w:hAnsi="Adobe Caslon Pro"/>
                <w:b/>
                <w:sz w:val="20"/>
              </w:rPr>
              <w:t>Nivel</w:t>
            </w:r>
          </w:p>
        </w:tc>
        <w:tc>
          <w:tcPr>
            <w:tcW w:w="1370" w:type="pct"/>
            <w:shd w:val="clear" w:color="auto" w:fill="F2F2F2" w:themeFill="background1" w:themeFillShade="F2"/>
            <w:vAlign w:val="center"/>
          </w:tcPr>
          <w:p w:rsidR="005901E8" w:rsidRPr="009E30D1" w:rsidRDefault="005901E8" w:rsidP="00B41860">
            <w:pPr>
              <w:spacing w:after="120"/>
              <w:jc w:val="center"/>
              <w:rPr>
                <w:rFonts w:ascii="Adobe Caslon Pro" w:hAnsi="Adobe Caslon Pro"/>
                <w:b/>
                <w:sz w:val="20"/>
              </w:rPr>
            </w:pPr>
            <w:r w:rsidRPr="009E30D1">
              <w:rPr>
                <w:rFonts w:ascii="Adobe Caslon Pro" w:hAnsi="Adobe Caslon Pro"/>
                <w:b/>
                <w:sz w:val="20"/>
              </w:rPr>
              <w:t>Objetivo</w:t>
            </w:r>
          </w:p>
        </w:tc>
        <w:tc>
          <w:tcPr>
            <w:tcW w:w="1834" w:type="pct"/>
            <w:shd w:val="clear" w:color="auto" w:fill="F2F2F2" w:themeFill="background1" w:themeFillShade="F2"/>
            <w:vAlign w:val="center"/>
          </w:tcPr>
          <w:p w:rsidR="005901E8" w:rsidRPr="009E30D1" w:rsidRDefault="005901E8" w:rsidP="00B41860">
            <w:pPr>
              <w:spacing w:after="120"/>
              <w:jc w:val="center"/>
              <w:rPr>
                <w:rFonts w:ascii="Adobe Caslon Pro" w:hAnsi="Adobe Caslon Pro"/>
                <w:b/>
                <w:sz w:val="20"/>
              </w:rPr>
            </w:pPr>
            <w:r w:rsidRPr="009E30D1">
              <w:rPr>
                <w:rFonts w:ascii="Adobe Caslon Pro" w:hAnsi="Adobe Caslon Pro"/>
                <w:b/>
                <w:sz w:val="20"/>
              </w:rPr>
              <w:t>Propuestas de Indicador(es)</w:t>
            </w:r>
          </w:p>
        </w:tc>
        <w:tc>
          <w:tcPr>
            <w:tcW w:w="916" w:type="pct"/>
            <w:shd w:val="clear" w:color="auto" w:fill="F2F2F2" w:themeFill="background1" w:themeFillShade="F2"/>
            <w:vAlign w:val="center"/>
          </w:tcPr>
          <w:p w:rsidR="005901E8" w:rsidRPr="009E30D1" w:rsidRDefault="005901E8" w:rsidP="00B41860">
            <w:pPr>
              <w:spacing w:after="120"/>
              <w:jc w:val="center"/>
              <w:rPr>
                <w:rFonts w:ascii="Adobe Caslon Pro" w:hAnsi="Adobe Caslon Pro"/>
                <w:b/>
                <w:sz w:val="20"/>
              </w:rPr>
            </w:pPr>
            <w:r w:rsidRPr="009E30D1">
              <w:rPr>
                <w:rFonts w:ascii="Adobe Caslon Pro" w:hAnsi="Adobe Caslon Pro"/>
                <w:b/>
                <w:sz w:val="20"/>
              </w:rPr>
              <w:t>Medio(s) de verificación</w:t>
            </w:r>
          </w:p>
        </w:tc>
      </w:tr>
      <w:tr w:rsidR="005901E8" w:rsidRPr="009E30D1" w:rsidTr="00B41860">
        <w:trPr>
          <w:tblHeader/>
        </w:trPr>
        <w:tc>
          <w:tcPr>
            <w:tcW w:w="880" w:type="pct"/>
            <w:vMerge w:val="restar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Fin</w:t>
            </w:r>
          </w:p>
        </w:tc>
        <w:tc>
          <w:tcPr>
            <w:tcW w:w="1370" w:type="pct"/>
            <w:vMerge w:val="restar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Contribuir a la construcción de una sociedad igualitaria a través de acciones de prevención y atención dirigidas a disminuir la violencia contra las mujeres. (Estratégico- Eficacia-Trianual).</w:t>
            </w: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Porcentaje de mujeres que han sufrido al menos un incidente de violencia a lo largo de su vida en pareja. (Estratégico- Eficacia-Trianual).</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ENDIREH</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Porcentaje de Mujeres que perciben igualdad de los roles masculino y femenino en los hogares (Estratégico- Eficacia-Trianual).</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ENDIREH</w:t>
            </w:r>
          </w:p>
        </w:tc>
      </w:tr>
      <w:tr w:rsidR="005901E8" w:rsidRPr="009E30D1" w:rsidTr="00B41860">
        <w:trPr>
          <w:tblHeader/>
        </w:trPr>
        <w:tc>
          <w:tcPr>
            <w:tcW w:w="880" w:type="pct"/>
            <w:vMerge w:val="restar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lastRenderedPageBreak/>
              <w:t>Propósito</w:t>
            </w:r>
          </w:p>
        </w:tc>
        <w:tc>
          <w:tcPr>
            <w:tcW w:w="1370" w:type="pct"/>
            <w:vMerge w:val="restar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Las mujeres en situación de violencia son beneficiadas con servicios de prevención y atención que operan y promueven las Instancias de Mujeres en las Entidades Federativas, en coordinación con instituciones públicas y sociales.</w:t>
            </w: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Porcentaje de Mujeres de 15 años y más que experimentaron violencia física o sexual a lo largo de la relación con su última pareja y acudieron por ayuda a algún Instituto de la Mujer.</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ENDIREH</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Porcentaje de Mujeres de 15 años y más que experimentaron violencia física o sexual a lo largo de la relación con su última pareja y no acudieron por ayuda a alguna instancia.</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ENDIREH</w:t>
            </w:r>
          </w:p>
        </w:tc>
      </w:tr>
      <w:tr w:rsidR="005901E8" w:rsidRPr="009E30D1" w:rsidTr="00B41860">
        <w:trPr>
          <w:tblHeader/>
        </w:trPr>
        <w:tc>
          <w:tcPr>
            <w:tcW w:w="880" w:type="pct"/>
            <w:vMerge w:val="restar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Componente</w:t>
            </w:r>
          </w:p>
        </w:tc>
        <w:tc>
          <w:tcPr>
            <w:tcW w:w="1370" w:type="pct"/>
            <w:vMerge w:val="restar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Apoyo a las Instancias de Mujeres en las Entidades Federativas para la implementación de acciones de prevención y atención de la violencia contra las mujeres, otorgado.</w:t>
            </w: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Número de proyectos de las Instancias de Mujeres en las Entidades Federativas (IMEF) apoyados en el período establecido</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Cuestionario de Fortalecimiento Institucional de las IMEF (INDESOL).</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Número de servidores(as) públicos y especialistas de otros sectores capacitados(as) en materia de violencia contra las mujeres durante el ejercicio fiscal en curso, con el apoyo del PAIMEF en las entidades federativas.</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Informes Trimestrales</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Personas de la población en general en las entidades federativas beneficiadas con servicios de prevención de la violencia contra las mujeres, brindados por las IMEF en el ejercicio fiscal en curso con apoyo del PAIMEF.</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Informes Trimestrales</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Mujeres beneficiadas por los servicios especializados de prevención y atención de la violencia contra las mujeres brindados en las Unidades que crean y fortalecen las IMEF con apoyo del PAIMEF, durante el ejercicio fiscal en curso.</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Informes Trimestrales</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Unidades de atención especializada apoyadas por el PAIMEF, en las entidades federativas, durante el ejercicio fiscal en curso.</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Informes Trimestrales</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val="restar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Acciones estratégicas para el fortalecimiento institucional de las Instancias de Mujeres en las Entidades Federativas en materia de prevención y atención de la violencia contra las mujeres, realizadas</w:t>
            </w: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Convenios de coordinación suscritos para la creación y consolidación de sinergias en materia de atención y prevención de la violencia contra la mujer.</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Informes Trimestrales</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pStyle w:val="Prrafodelista"/>
              <w:numPr>
                <w:ilvl w:val="0"/>
                <w:numId w:val="15"/>
              </w:numPr>
              <w:spacing w:after="120"/>
              <w:jc w:val="both"/>
              <w:rPr>
                <w:rFonts w:ascii="Adobe Caslon Pro" w:hAnsi="Adobe Caslon Pro"/>
                <w:sz w:val="20"/>
              </w:rPr>
            </w:pPr>
            <w:r w:rsidRPr="009E30D1">
              <w:rPr>
                <w:rFonts w:ascii="Adobe Caslon Pro" w:hAnsi="Adobe Caslon Pro"/>
                <w:sz w:val="20"/>
              </w:rPr>
              <w:t>Acciones de profesionalización para prevenir y atender la violencia contra las mujeres realizadas por el PAIMEF.</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Informes Trimestrales</w:t>
            </w:r>
          </w:p>
        </w:tc>
      </w:tr>
      <w:tr w:rsidR="005901E8" w:rsidRPr="009E30D1" w:rsidTr="00B41860">
        <w:trPr>
          <w:tblHeader/>
        </w:trPr>
        <w:tc>
          <w:tcPr>
            <w:tcW w:w="88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370" w:type="pct"/>
            <w:vMerge/>
            <w:shd w:val="clear" w:color="auto" w:fill="auto"/>
            <w:vAlign w:val="center"/>
          </w:tcPr>
          <w:p w:rsidR="005901E8" w:rsidRPr="009E30D1" w:rsidRDefault="005901E8" w:rsidP="00B41860">
            <w:pPr>
              <w:spacing w:after="120"/>
              <w:jc w:val="center"/>
              <w:rPr>
                <w:rFonts w:ascii="Adobe Caslon Pro" w:hAnsi="Adobe Caslon Pro"/>
                <w:sz w:val="20"/>
              </w:rPr>
            </w:pPr>
          </w:p>
        </w:tc>
        <w:tc>
          <w:tcPr>
            <w:tcW w:w="1834"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Índice de Fortalecimiento Institucional de las IMEF para prevenir y atender la violencia contra las mujeres.</w:t>
            </w:r>
          </w:p>
        </w:tc>
        <w:tc>
          <w:tcPr>
            <w:tcW w:w="916" w:type="pct"/>
            <w:shd w:val="clear" w:color="auto" w:fill="auto"/>
            <w:vAlign w:val="center"/>
          </w:tcPr>
          <w:p w:rsidR="005901E8" w:rsidRPr="009E30D1" w:rsidRDefault="005901E8" w:rsidP="00B41860">
            <w:pPr>
              <w:spacing w:after="120"/>
              <w:jc w:val="center"/>
              <w:rPr>
                <w:rFonts w:ascii="Adobe Caslon Pro" w:hAnsi="Adobe Caslon Pro"/>
                <w:sz w:val="20"/>
              </w:rPr>
            </w:pPr>
            <w:r w:rsidRPr="009E30D1">
              <w:rPr>
                <w:rFonts w:ascii="Adobe Caslon Pro" w:hAnsi="Adobe Caslon Pro"/>
                <w:sz w:val="20"/>
              </w:rPr>
              <w:t>Informes Trimestrales</w:t>
            </w:r>
          </w:p>
        </w:tc>
      </w:tr>
    </w:tbl>
    <w:p w:rsidR="005901E8" w:rsidRPr="009E30D1" w:rsidRDefault="005901E8" w:rsidP="005901E8">
      <w:pPr>
        <w:spacing w:after="120" w:line="240" w:lineRule="auto"/>
        <w:rPr>
          <w:rFonts w:ascii="Adobe Caslon Pro" w:hAnsi="Adobe Caslon Pro"/>
        </w:rPr>
      </w:pPr>
    </w:p>
    <w:p w:rsidR="005901E8" w:rsidRPr="009E30D1" w:rsidRDefault="005901E8" w:rsidP="005901E8">
      <w:pPr>
        <w:pStyle w:val="Ttulo3"/>
        <w:spacing w:before="0" w:after="120" w:line="240" w:lineRule="auto"/>
        <w:rPr>
          <w:rFonts w:eastAsia="Calibri"/>
        </w:rPr>
      </w:pPr>
      <w:bookmarkStart w:id="61" w:name="_Toc391883386"/>
      <w:bookmarkStart w:id="62" w:name="_Toc389685690"/>
      <w:r w:rsidRPr="009E30D1">
        <w:rPr>
          <w:rFonts w:eastAsia="Calibri"/>
        </w:rPr>
        <w:t>Población objetivo y criterios de elegibilidad</w:t>
      </w:r>
      <w:bookmarkEnd w:id="61"/>
    </w:p>
    <w:p w:rsidR="005901E8" w:rsidRPr="009E30D1" w:rsidRDefault="005901E8" w:rsidP="005901E8">
      <w:pPr>
        <w:spacing w:after="120" w:line="240" w:lineRule="auto"/>
        <w:jc w:val="both"/>
        <w:rPr>
          <w:rFonts w:ascii="Adobe Caslon Pro" w:hAnsi="Adobe Caslon Pro"/>
        </w:rPr>
      </w:pPr>
      <w:bookmarkStart w:id="63" w:name="_Toc370243135"/>
      <w:r w:rsidRPr="009E30D1">
        <w:rPr>
          <w:rFonts w:ascii="Adobe Caslon Pro" w:hAnsi="Adobe Caslon Pro"/>
        </w:rPr>
        <w:t xml:space="preserve">La población objetivo es definida como un subconjunto de la población potencial que un programa gubernamental busca atender en el corto o mediano plazo, considerando las limitaciones presupuestarias e institucionales existentes. Sin embargo, a pesar de que la capacidad instalada para el abordaje integral de esta problemática a nivel nacional aún es incipiente, sería contrario a la ética pública y a los compromisos institucionales del Estado Mexicano, así como a la propia </w:t>
      </w:r>
      <w:r w:rsidR="00022747">
        <w:rPr>
          <w:rFonts w:ascii="Adobe Caslon Pro" w:hAnsi="Adobe Caslon Pro"/>
        </w:rPr>
        <w:lastRenderedPageBreak/>
        <w:t>LGAMVLV</w:t>
      </w:r>
      <w:r w:rsidRPr="009E30D1">
        <w:rPr>
          <w:rFonts w:ascii="Adobe Caslon Pro" w:hAnsi="Adobe Caslon Pro"/>
        </w:rPr>
        <w:t xml:space="preserve">, restringir o acotar el acceso de las mujeres a los servicios especializados de atención disponibles.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Aunado a lo anterior, se tiene que uno de los principales obstáculos para la eliminación de la violencia de género que padecen las mujeres es que la cultura patriarcal y la predominancia masculina se encuentran </w:t>
      </w:r>
      <w:r w:rsidR="00022747">
        <w:rPr>
          <w:rFonts w:ascii="Adobe Caslon Pro" w:hAnsi="Adobe Caslon Pro"/>
        </w:rPr>
        <w:t>“</w:t>
      </w:r>
      <w:r w:rsidRPr="009E30D1">
        <w:rPr>
          <w:rFonts w:ascii="Adobe Caslon Pro" w:hAnsi="Adobe Caslon Pro"/>
        </w:rPr>
        <w:t>normalizadas</w:t>
      </w:r>
      <w:r w:rsidR="00022747">
        <w:rPr>
          <w:rFonts w:ascii="Adobe Caslon Pro" w:hAnsi="Adobe Caslon Pro"/>
        </w:rPr>
        <w:t>”</w:t>
      </w:r>
      <w:r w:rsidRPr="009E30D1">
        <w:rPr>
          <w:rFonts w:ascii="Adobe Caslon Pro" w:hAnsi="Adobe Caslon Pro"/>
        </w:rPr>
        <w:t xml:space="preserve"> e </w:t>
      </w:r>
      <w:r w:rsidR="00022747">
        <w:rPr>
          <w:rFonts w:ascii="Adobe Caslon Pro" w:hAnsi="Adobe Caslon Pro"/>
        </w:rPr>
        <w:t>“</w:t>
      </w:r>
      <w:r w:rsidRPr="009E30D1">
        <w:rPr>
          <w:rFonts w:ascii="Adobe Caslon Pro" w:hAnsi="Adobe Caslon Pro"/>
        </w:rPr>
        <w:t>integradas</w:t>
      </w:r>
      <w:r w:rsidR="00022747">
        <w:rPr>
          <w:rFonts w:ascii="Adobe Caslon Pro" w:hAnsi="Adobe Caslon Pro"/>
        </w:rPr>
        <w:t>”</w:t>
      </w:r>
      <w:r w:rsidRPr="009E30D1">
        <w:rPr>
          <w:rFonts w:ascii="Adobe Caslon Pro" w:hAnsi="Adobe Caslon Pro"/>
        </w:rPr>
        <w:t xml:space="preserve"> al imaginario social como naturales y socialmente aceptables. Por ello a pesar de que muchas mujeres reconocen haber padecido algún evento de violencia no necesariamente lo externan para buscar ayuda de instancias públicas.</w:t>
      </w:r>
    </w:p>
    <w:p w:rsidR="005901E8" w:rsidRPr="009E30D1" w:rsidRDefault="005901E8" w:rsidP="005901E8">
      <w:pPr>
        <w:spacing w:after="120" w:line="240" w:lineRule="auto"/>
        <w:jc w:val="both"/>
        <w:rPr>
          <w:rFonts w:ascii="Adobe Caslon Pro" w:hAnsi="Adobe Caslon Pro"/>
          <w:b/>
        </w:rPr>
      </w:pPr>
      <w:r w:rsidRPr="009E30D1">
        <w:rPr>
          <w:rFonts w:ascii="Adobe Caslon Pro" w:hAnsi="Adobe Caslon Pro"/>
        </w:rPr>
        <w:t xml:space="preserve">Como se observa en el apartado de diagnóstico, el reconocimiento de la violencia contra las mujeres como problema social, como delito y como materia de las instituciones públicas aún es incipiente; en gran medida es por ello que a pesar de las graves consecuencias que tiene en la vida de las mujeres se tiene escasa denuncia y poca demanda de servicios. Por lo que para efecto de la presente propuesta de atención, la población potencial es igual que la población objetivo, toda vez que no puede restringirse el acceso a los servicios de prevención que puedan evitar oportunamente los efectos perjudiciales de la violencia de género, ni tampoco a la atención que debe darse con una perspectiva integral, con calidad, calidez, como una política social reivindicatoria de derechos. </w:t>
      </w:r>
      <w:bookmarkEnd w:id="63"/>
      <w:r w:rsidRPr="009E30D1">
        <w:rPr>
          <w:rFonts w:ascii="Adobe Caslon Pro" w:hAnsi="Adobe Caslon Pro"/>
        </w:rPr>
        <w:t>Por lo anterior, la población objetivo es “</w:t>
      </w:r>
      <w:r w:rsidRPr="009E30D1">
        <w:rPr>
          <w:rFonts w:ascii="Adobe Caslon Pro" w:hAnsi="Adobe Caslon Pro"/>
          <w:b/>
        </w:rPr>
        <w:t>Mujeres en situación de violencia”.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La actualización de las poblaciones potencial y </w:t>
      </w:r>
      <w:proofErr w:type="gramStart"/>
      <w:r w:rsidRPr="009E30D1">
        <w:rPr>
          <w:rFonts w:ascii="Adobe Caslon Pro" w:hAnsi="Adobe Caslon Pro"/>
        </w:rPr>
        <w:t>objetivo</w:t>
      </w:r>
      <w:proofErr w:type="gramEnd"/>
      <w:r w:rsidRPr="009E30D1">
        <w:rPr>
          <w:rFonts w:ascii="Adobe Caslon Pro" w:hAnsi="Adobe Caslon Pro"/>
        </w:rPr>
        <w:t xml:space="preserve"> está sujeta a la disponibilidad de información estadística, cuya fuente principal de información es la ENDIREH. La actualización de la encuesta no es recurrente, vale la pena mencionar que la primera encuesta se realizó en 2003, la segunda tres años después (2006), la tercera y última encuesta cinco años más tarde (2011); hasta el momento el INEGI no ha determinado púbicamente la periodicidad oficial para levantar la información. Una vez que la información estadística se encuentre disponible, la actualización de las poblaciones se puede llevar a cabo.</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Dada la complejidad inherente a la medición de la violencia que padecen las mujeres por cuestiones de género, para realizar la proyección de la población potencial y objetivo, y con la finalidad de trazar un posible escenario, se considera la proyección poblacional del Consejo Nacional de población (CONAPO) y se mantiene la proporción de mujeres en situación de violencia (58.4%) en los primeros años. Posteriormente se propone un supuesto sobre la disminución gradual de la misma, toda vez que en el marco de la planeación nacional, la erradicación de la violencia contra las mujeres es una tarea central de la política social.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evolución de la población en situación de violencia se observa en siguiente gráfica.</w:t>
      </w:r>
    </w:p>
    <w:p w:rsidR="005901E8" w:rsidRPr="009E30D1" w:rsidRDefault="00A862B5" w:rsidP="005901E8">
      <w:pPr>
        <w:spacing w:after="120" w:line="240" w:lineRule="auto"/>
        <w:jc w:val="center"/>
        <w:rPr>
          <w:rFonts w:ascii="Adobe Caslon Pro" w:hAnsi="Adobe Caslon Pro"/>
        </w:rPr>
      </w:pPr>
      <w:r w:rsidRPr="009E30D1">
        <w:rPr>
          <w:rFonts w:ascii="Adobe Caslon Pro" w:hAnsi="Adobe Caslon Pro"/>
          <w:b/>
          <w:bCs/>
          <w:lang w:val="es-ES_tradnl"/>
        </w:rPr>
        <w:t>Gráfica 22</w:t>
      </w:r>
      <w:r w:rsidR="005901E8" w:rsidRPr="009E30D1">
        <w:rPr>
          <w:rFonts w:ascii="Adobe Caslon Pro" w:hAnsi="Adobe Caslon Pro"/>
          <w:b/>
          <w:bCs/>
          <w:lang w:val="es-ES_tradnl"/>
        </w:rPr>
        <w:t xml:space="preserve">. </w:t>
      </w:r>
      <w:r w:rsidR="005901E8" w:rsidRPr="009E30D1">
        <w:rPr>
          <w:rFonts w:ascii="Adobe Caslon Pro" w:hAnsi="Adobe Caslon Pro"/>
          <w:b/>
          <w:bCs/>
        </w:rPr>
        <w:t>Proyección de la evolución de la población objetivo de 2011-2018</w:t>
      </w:r>
    </w:p>
    <w:p w:rsidR="005901E8" w:rsidRPr="009E30D1" w:rsidRDefault="005901E8" w:rsidP="005901E8">
      <w:pPr>
        <w:spacing w:after="120" w:line="240" w:lineRule="auto"/>
        <w:jc w:val="center"/>
        <w:rPr>
          <w:rFonts w:ascii="Adobe Caslon Pro" w:hAnsi="Adobe Caslon Pro"/>
        </w:rPr>
      </w:pPr>
      <w:r w:rsidRPr="009E30D1">
        <w:rPr>
          <w:rFonts w:ascii="Adobe Caslon Pro" w:hAnsi="Adobe Caslon Pro"/>
          <w:noProof/>
          <w:lang w:eastAsia="es-MX"/>
        </w:rPr>
        <w:lastRenderedPageBreak/>
        <w:drawing>
          <wp:inline distT="0" distB="0" distL="0" distR="0" wp14:anchorId="7DD02374" wp14:editId="34ED264E">
            <wp:extent cx="5257800" cy="2995613"/>
            <wp:effectExtent l="0" t="0" r="19050" b="1460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901E8" w:rsidRPr="009E30D1" w:rsidRDefault="005901E8" w:rsidP="005901E8">
      <w:pPr>
        <w:spacing w:after="120" w:line="240" w:lineRule="auto"/>
        <w:jc w:val="center"/>
        <w:rPr>
          <w:rFonts w:ascii="Adobe Caslon Pro" w:hAnsi="Adobe Caslon Pro" w:cs="Arial"/>
          <w:i/>
          <w:sz w:val="18"/>
          <w:szCs w:val="18"/>
          <w:lang w:val="es-ES_tradnl"/>
        </w:rPr>
      </w:pPr>
      <w:r w:rsidRPr="009E30D1">
        <w:rPr>
          <w:rFonts w:ascii="Adobe Caslon Pro" w:hAnsi="Adobe Caslon Pro" w:cs="Arial"/>
          <w:i/>
          <w:sz w:val="18"/>
          <w:szCs w:val="18"/>
          <w:lang w:val="es-ES_tradnl"/>
        </w:rPr>
        <w:t>Fuente: Dirección General de Análisis y Prospectiva de la SEDESOL, con proyecciones poblacionales de CONAPO.</w:t>
      </w:r>
      <w:bookmarkEnd w:id="62"/>
    </w:p>
    <w:p w:rsidR="005901E8" w:rsidRPr="009E30D1" w:rsidRDefault="005901E8" w:rsidP="005901E8">
      <w:pPr>
        <w:spacing w:after="120" w:line="240" w:lineRule="auto"/>
        <w:jc w:val="center"/>
        <w:rPr>
          <w:rFonts w:ascii="Adobe Caslon Pro" w:hAnsi="Adobe Caslon Pro" w:cs="Arial"/>
          <w:i/>
          <w:sz w:val="18"/>
          <w:szCs w:val="18"/>
          <w:lang w:val="es-ES_tradnl"/>
        </w:rPr>
      </w:pPr>
    </w:p>
    <w:p w:rsidR="005901E8" w:rsidRPr="009E30D1" w:rsidRDefault="005901E8" w:rsidP="005901E8">
      <w:pPr>
        <w:pStyle w:val="Ttulo3"/>
        <w:spacing w:before="0" w:after="120"/>
        <w:rPr>
          <w:rFonts w:eastAsia="Calibri"/>
        </w:rPr>
      </w:pPr>
      <w:bookmarkStart w:id="64" w:name="_Toc391883387"/>
      <w:r w:rsidRPr="009E30D1">
        <w:rPr>
          <w:rFonts w:eastAsia="Calibri"/>
        </w:rPr>
        <w:t>Cobertura</w:t>
      </w:r>
      <w:bookmarkEnd w:id="64"/>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De acuerdo con la Ley General de Acceso de las Mujeres a una Vida Libre de Violencia, ordenamiento normativo fundamental en la materia, la violencia contra las mujeres se define como cualquier acción u omisión, basada en su género, que les cause daño o sufrimiento psicológico, físico, patrimonial, económico, sexual o la muerte tanto en el ámbito privado como en el público (Artículo 4, fracción IV).</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El artículo 6 de la misma Ley señala que los tipos de violencia son:</w:t>
      </w:r>
    </w:p>
    <w:p w:rsidR="005901E8" w:rsidRPr="009E30D1" w:rsidRDefault="005901E8" w:rsidP="005901E8">
      <w:pPr>
        <w:numPr>
          <w:ilvl w:val="0"/>
          <w:numId w:val="10"/>
        </w:numPr>
        <w:spacing w:after="120" w:line="240" w:lineRule="auto"/>
        <w:jc w:val="both"/>
        <w:rPr>
          <w:rFonts w:ascii="Adobe Caslon Pro" w:hAnsi="Adobe Caslon Pro"/>
        </w:rPr>
      </w:pPr>
      <w:r w:rsidRPr="009E30D1">
        <w:rPr>
          <w:rFonts w:ascii="Adobe Caslon Pro" w:hAnsi="Adobe Caslon Pro"/>
        </w:rPr>
        <w:t>La violencia psicológica. Es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w:t>
      </w:r>
    </w:p>
    <w:p w:rsidR="005901E8" w:rsidRPr="009E30D1" w:rsidRDefault="005901E8" w:rsidP="005901E8">
      <w:pPr>
        <w:numPr>
          <w:ilvl w:val="0"/>
          <w:numId w:val="10"/>
        </w:numPr>
        <w:spacing w:after="120" w:line="240" w:lineRule="auto"/>
        <w:jc w:val="both"/>
        <w:rPr>
          <w:rFonts w:ascii="Adobe Caslon Pro" w:hAnsi="Adobe Caslon Pro"/>
        </w:rPr>
      </w:pPr>
      <w:r w:rsidRPr="009E30D1">
        <w:rPr>
          <w:rFonts w:ascii="Adobe Caslon Pro" w:hAnsi="Adobe Caslon Pro"/>
        </w:rPr>
        <w:t>La violencia física.- Es cualquier acto que inflige daño no accidental, usando la fuerza física o algún tipo de arma u objeto que pueda provocar o no lesiones ya sean internas, externas, o ambas;</w:t>
      </w:r>
    </w:p>
    <w:p w:rsidR="005901E8" w:rsidRPr="009E30D1" w:rsidRDefault="005901E8" w:rsidP="005901E8">
      <w:pPr>
        <w:numPr>
          <w:ilvl w:val="0"/>
          <w:numId w:val="10"/>
        </w:numPr>
        <w:spacing w:after="120" w:line="240" w:lineRule="auto"/>
        <w:jc w:val="both"/>
        <w:rPr>
          <w:rFonts w:ascii="Adobe Caslon Pro" w:hAnsi="Adobe Caslon Pro"/>
        </w:rPr>
      </w:pPr>
      <w:r w:rsidRPr="009E30D1">
        <w:rPr>
          <w:rFonts w:ascii="Adobe Caslon Pro" w:hAnsi="Adobe Caslon Pro"/>
        </w:rPr>
        <w:lastRenderedPageBreak/>
        <w:t>La violencia patrimonial.- 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w:t>
      </w:r>
    </w:p>
    <w:p w:rsidR="005901E8" w:rsidRPr="009E30D1" w:rsidRDefault="005901E8" w:rsidP="005901E8">
      <w:pPr>
        <w:numPr>
          <w:ilvl w:val="0"/>
          <w:numId w:val="10"/>
        </w:numPr>
        <w:spacing w:after="120" w:line="240" w:lineRule="auto"/>
        <w:jc w:val="both"/>
        <w:rPr>
          <w:rFonts w:ascii="Adobe Caslon Pro" w:hAnsi="Adobe Caslon Pro"/>
        </w:rPr>
      </w:pPr>
      <w:r w:rsidRPr="009E30D1">
        <w:rPr>
          <w:rFonts w:ascii="Adobe Caslon Pro" w:hAnsi="Adobe Caslon Pro"/>
        </w:rPr>
        <w:t>Violencia económica.-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 y</w:t>
      </w:r>
    </w:p>
    <w:p w:rsidR="005901E8" w:rsidRPr="009E30D1" w:rsidRDefault="005901E8" w:rsidP="005901E8">
      <w:pPr>
        <w:numPr>
          <w:ilvl w:val="0"/>
          <w:numId w:val="10"/>
        </w:numPr>
        <w:spacing w:after="120" w:line="240" w:lineRule="auto"/>
        <w:jc w:val="both"/>
        <w:rPr>
          <w:rFonts w:ascii="Adobe Caslon Pro" w:hAnsi="Adobe Caslon Pro"/>
        </w:rPr>
      </w:pPr>
      <w:r w:rsidRPr="009E30D1">
        <w:rPr>
          <w:rFonts w:ascii="Adobe Caslon Pro" w:hAnsi="Adobe Caslon Pro"/>
        </w:rPr>
        <w:t>La violencia sexual.- Es cualquier acto que degrada o daña el cuerpo y/o la sexualidad de la Víctima y que por tanto atenta contra su libertad, dignidad e integridad física. Es una expresión de abuso de poder que implica la supremacía masculina sobre la mujer, al denigrarla y concebirla como objeto.</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En ese mismo ordenamiento, el Título II señala las formas, manifestaciones o los ámbitos de ocurrencia en que se presenta la violencia contra las mujeres, a saber:</w:t>
      </w:r>
    </w:p>
    <w:p w:rsidR="005901E8" w:rsidRPr="009E30D1" w:rsidRDefault="005901E8" w:rsidP="005901E8">
      <w:pPr>
        <w:numPr>
          <w:ilvl w:val="0"/>
          <w:numId w:val="11"/>
        </w:numPr>
        <w:spacing w:after="120" w:line="240" w:lineRule="auto"/>
        <w:jc w:val="both"/>
        <w:rPr>
          <w:rFonts w:ascii="Adobe Caslon Pro" w:hAnsi="Adobe Caslon Pro"/>
        </w:rPr>
      </w:pPr>
      <w:r w:rsidRPr="009E30D1">
        <w:rPr>
          <w:rFonts w:ascii="Adobe Caslon Pro" w:hAnsi="Adobe Caslon Pro"/>
        </w:rPr>
        <w:t>Violencia familiar</w:t>
      </w:r>
    </w:p>
    <w:p w:rsidR="005901E8" w:rsidRPr="009E30D1" w:rsidRDefault="005901E8" w:rsidP="005901E8">
      <w:pPr>
        <w:numPr>
          <w:ilvl w:val="0"/>
          <w:numId w:val="11"/>
        </w:numPr>
        <w:spacing w:after="120" w:line="240" w:lineRule="auto"/>
        <w:jc w:val="both"/>
        <w:rPr>
          <w:rFonts w:ascii="Adobe Caslon Pro" w:hAnsi="Adobe Caslon Pro"/>
        </w:rPr>
      </w:pPr>
      <w:r w:rsidRPr="009E30D1">
        <w:rPr>
          <w:rFonts w:ascii="Adobe Caslon Pro" w:hAnsi="Adobe Caslon Pro"/>
        </w:rPr>
        <w:t>Violencia laboral</w:t>
      </w:r>
    </w:p>
    <w:p w:rsidR="005901E8" w:rsidRPr="009E30D1" w:rsidRDefault="005901E8" w:rsidP="005901E8">
      <w:pPr>
        <w:numPr>
          <w:ilvl w:val="0"/>
          <w:numId w:val="11"/>
        </w:numPr>
        <w:spacing w:after="120" w:line="240" w:lineRule="auto"/>
        <w:jc w:val="both"/>
        <w:rPr>
          <w:rFonts w:ascii="Adobe Caslon Pro" w:hAnsi="Adobe Caslon Pro"/>
        </w:rPr>
      </w:pPr>
      <w:r w:rsidRPr="009E30D1">
        <w:rPr>
          <w:rFonts w:ascii="Adobe Caslon Pro" w:hAnsi="Adobe Caslon Pro"/>
        </w:rPr>
        <w:t>Violencia docente</w:t>
      </w:r>
    </w:p>
    <w:p w:rsidR="005901E8" w:rsidRPr="009E30D1" w:rsidRDefault="005901E8" w:rsidP="005901E8">
      <w:pPr>
        <w:numPr>
          <w:ilvl w:val="0"/>
          <w:numId w:val="11"/>
        </w:numPr>
        <w:spacing w:after="120" w:line="240" w:lineRule="auto"/>
        <w:jc w:val="both"/>
        <w:rPr>
          <w:rFonts w:ascii="Adobe Caslon Pro" w:hAnsi="Adobe Caslon Pro"/>
        </w:rPr>
      </w:pPr>
      <w:r w:rsidRPr="009E30D1">
        <w:rPr>
          <w:rFonts w:ascii="Adobe Caslon Pro" w:hAnsi="Adobe Caslon Pro"/>
        </w:rPr>
        <w:t>Violencia comunitaria</w:t>
      </w:r>
    </w:p>
    <w:p w:rsidR="005901E8" w:rsidRPr="009E30D1" w:rsidRDefault="005901E8" w:rsidP="005901E8">
      <w:pPr>
        <w:numPr>
          <w:ilvl w:val="0"/>
          <w:numId w:val="11"/>
        </w:numPr>
        <w:spacing w:after="120" w:line="240" w:lineRule="auto"/>
        <w:jc w:val="both"/>
        <w:rPr>
          <w:rFonts w:ascii="Adobe Caslon Pro" w:hAnsi="Adobe Caslon Pro"/>
        </w:rPr>
      </w:pPr>
      <w:r w:rsidRPr="009E30D1">
        <w:rPr>
          <w:rFonts w:ascii="Adobe Caslon Pro" w:hAnsi="Adobe Caslon Pro"/>
        </w:rPr>
        <w:t>Violencia institucional</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Debido a que la presente propuesta de atención considera acciones en materia de prevención y atención de la violencia contra las mujeres y de acuerdo con la literatura especializada en la caracterización de los tipos, formas y manifestaciones de la violencia contra las mujeres que antecede, habría que decir que todas las mujeres son susceptibles de ser víctimas de violencia. Si bien se han identificado diversos factores que potencian y agravan estas situaciones, no existen factores determinantes que puedan ser relacionados con un perfil específico que coloque a las personas en una situación particularmente susceptible de padecer un evento de violencia por cuestiones de género.</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Por ende, las IMEF no deben discriminar o restringir la atención de un sector particular, por lo que se estima adecuado que la cobertura sea nacional dado que las 32 IMEF están en posibilidades de </w:t>
      </w:r>
      <w:r w:rsidRPr="009E30D1">
        <w:rPr>
          <w:rFonts w:ascii="Adobe Caslon Pro" w:hAnsi="Adobe Caslon Pro"/>
        </w:rPr>
        <w:lastRenderedPageBreak/>
        <w:t>participar a través de la ejecución de proyectos en materia de prevención y atención de la violencia contra las mujeres, en cada entidad federativa donde operan.</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Las características particulares que envuelven la intervención del programa a través de la ejecución de proyectos por parte de las IMEF demanda que la estrategia de cobertura se centre de manera particular en las acciones que se realizan para contribuir a la disminución de la violencia contra las mujeres a través de la prevención y atención.</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Ello implica un proceso de amplia colaboración entre el programa y las IMEF para el diseño de estrategias, en el que se consideren acciones relacionadas con los mecanismos que permitan hacer llegar los servicios y recursos a un mayor número de personas beneficiarias. Estos mecanismos deben contemplar los siguientes aspectos:</w:t>
      </w:r>
    </w:p>
    <w:p w:rsidR="005901E8" w:rsidRPr="009E30D1" w:rsidRDefault="005901E8" w:rsidP="005901E8">
      <w:pPr>
        <w:pStyle w:val="Prrafodelista"/>
        <w:numPr>
          <w:ilvl w:val="0"/>
          <w:numId w:val="21"/>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Flexibilidad para que las mujeres en situación de violencia puedan acceder a diferentes servicios de atención que proveen las IMEF</w:t>
      </w:r>
    </w:p>
    <w:p w:rsidR="005901E8" w:rsidRPr="009E30D1" w:rsidRDefault="005901E8" w:rsidP="005901E8">
      <w:pPr>
        <w:pStyle w:val="Prrafodelista"/>
        <w:numPr>
          <w:ilvl w:val="0"/>
          <w:numId w:val="21"/>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Generación de sinergias con instituciones públicas, privadas y sociales tanto para potenciar los recursos aplicados en los proyectos, pero principalmente para institucionalizar la prevención y atención de la violencia contra las mujeres en las entidades federativas</w:t>
      </w:r>
    </w:p>
    <w:p w:rsidR="005901E8" w:rsidRPr="009E30D1" w:rsidRDefault="005901E8" w:rsidP="005901E8">
      <w:pPr>
        <w:pStyle w:val="Prrafodelista"/>
        <w:numPr>
          <w:ilvl w:val="0"/>
          <w:numId w:val="21"/>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Est</w:t>
      </w:r>
      <w:r w:rsidR="00022747">
        <w:rPr>
          <w:rFonts w:ascii="Adobe Caslon Pro" w:eastAsia="Calibri" w:hAnsi="Adobe Caslon Pro" w:cs="Times New Roman"/>
        </w:rPr>
        <w:t>rategias de promoción, difusión y</w:t>
      </w:r>
      <w:r w:rsidRPr="009E30D1">
        <w:rPr>
          <w:rFonts w:ascii="Adobe Caslon Pro" w:eastAsia="Calibri" w:hAnsi="Adobe Caslon Pro" w:cs="Times New Roman"/>
        </w:rPr>
        <w:t xml:space="preserve"> reconocimiento de las IMEF y del PAIMEF en los estados con la finalidad de formar, orientar y sensibilizar a los diversos actores sociales que propicien un cambio cultural y social en la materia.</w:t>
      </w:r>
    </w:p>
    <w:p w:rsidR="005901E8" w:rsidRPr="009E30D1" w:rsidRDefault="005901E8" w:rsidP="005901E8">
      <w:pPr>
        <w:spacing w:after="120" w:line="240" w:lineRule="auto"/>
        <w:ind w:left="360"/>
        <w:jc w:val="both"/>
        <w:rPr>
          <w:rFonts w:ascii="Adobe Caslon Pro" w:hAnsi="Adobe Caslon Pro"/>
        </w:rPr>
      </w:pPr>
      <w:r w:rsidRPr="009E30D1">
        <w:rPr>
          <w:rFonts w:ascii="Adobe Caslon Pro" w:hAnsi="Adobe Caslon Pro"/>
        </w:rPr>
        <w:t xml:space="preserve">El conjunto de las estrategias que se diseñen en colaboración con las IMEF deben mostrar cualitativamente, en el largo plazo la disminución de las brechas existentes en la población </w:t>
      </w:r>
      <w:proofErr w:type="gramStart"/>
      <w:r w:rsidRPr="009E30D1">
        <w:rPr>
          <w:rFonts w:ascii="Adobe Caslon Pro" w:hAnsi="Adobe Caslon Pro"/>
        </w:rPr>
        <w:t>objetivo</w:t>
      </w:r>
      <w:proofErr w:type="gramEnd"/>
      <w:r w:rsidRPr="009E30D1">
        <w:rPr>
          <w:rFonts w:ascii="Adobe Caslon Pro" w:hAnsi="Adobe Caslon Pro"/>
        </w:rPr>
        <w:t xml:space="preserve"> y atendida.</w:t>
      </w:r>
    </w:p>
    <w:p w:rsidR="005901E8" w:rsidRPr="009E30D1" w:rsidRDefault="005901E8" w:rsidP="005901E8">
      <w:pPr>
        <w:pStyle w:val="Ttulo3"/>
        <w:spacing w:before="0" w:after="120" w:line="240" w:lineRule="auto"/>
        <w:rPr>
          <w:rFonts w:eastAsia="Calibri"/>
        </w:rPr>
      </w:pPr>
      <w:bookmarkStart w:id="65" w:name="_Toc391883388"/>
      <w:r w:rsidRPr="009E30D1">
        <w:rPr>
          <w:rFonts w:eastAsia="Calibri"/>
        </w:rPr>
        <w:t>Tipos y montos de apoyo</w:t>
      </w:r>
      <w:bookmarkEnd w:id="65"/>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El Programa otorga recursos monetarios a las IMEF participantes para la ejecución de proyectos anuales que implementen acciones específicas dirigidas a la prevención y atención de la violencia contra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Adicionalmente realiza acciones estratégicas para el fortalecimiento institucional de las IMEF en materia de prevención y atención de la violencia contra las mujeres, realizadas a nivel central por el INDESOL, en su carácter de instancia responsable de la operación del Programa.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Cada una de las IMEF debe presentar un proyecto que considere acciones para la prevención, atención y el fortalecimiento institucional para prevenir y atender la violencia contra las mujeres, para poder recibir los recursos del programa.</w:t>
      </w:r>
    </w:p>
    <w:p w:rsidR="005901E8" w:rsidRPr="009E30D1" w:rsidRDefault="005901E8" w:rsidP="005901E8">
      <w:pPr>
        <w:tabs>
          <w:tab w:val="left" w:pos="1152"/>
        </w:tabs>
        <w:spacing w:after="120" w:line="240" w:lineRule="auto"/>
        <w:rPr>
          <w:rFonts w:ascii="Adobe Caslon Pro" w:hAnsi="Adobe Caslon Pro"/>
        </w:rPr>
      </w:pPr>
      <w:r w:rsidRPr="009E30D1">
        <w:rPr>
          <w:rFonts w:ascii="Adobe Caslon Pro" w:hAnsi="Adobe Caslon Pro"/>
        </w:rPr>
        <w:lastRenderedPageBreak/>
        <w:t>Conforme el análisis de objetivos y atribuciones, las acciones que realicen las IMEF a través de la ejecución de los proyectos se enmarcarán en las siguientes vertientes:</w:t>
      </w:r>
    </w:p>
    <w:p w:rsidR="005901E8" w:rsidRPr="009E30D1" w:rsidRDefault="005901E8" w:rsidP="005901E8">
      <w:pPr>
        <w:pStyle w:val="Prrafodelista"/>
        <w:numPr>
          <w:ilvl w:val="0"/>
          <w:numId w:val="19"/>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 xml:space="preserve">Acciones tendientes a fortalecer la coordinación y articulación estratégica entre las diversas instancias públicas y sociales para institucionalizar la prevención y la atención de la violencia contra las mujeres en las entidades federativas. </w:t>
      </w:r>
    </w:p>
    <w:p w:rsidR="005901E8" w:rsidRPr="009E30D1" w:rsidRDefault="005901E8" w:rsidP="005901E8">
      <w:pPr>
        <w:pStyle w:val="Prrafodelista"/>
        <w:numPr>
          <w:ilvl w:val="0"/>
          <w:numId w:val="19"/>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Acciones y prácticas de prevención de la violencia contra las mujeres, dirigidas a la población en general a fin de propiciar los cambios culturales y sociales necesarios para lograr la erradicación de la violencia.</w:t>
      </w:r>
    </w:p>
    <w:p w:rsidR="005901E8" w:rsidRPr="009E30D1" w:rsidRDefault="005901E8" w:rsidP="005901E8">
      <w:pPr>
        <w:pStyle w:val="Prrafodelista"/>
        <w:numPr>
          <w:ilvl w:val="0"/>
          <w:numId w:val="19"/>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Atención especializada a las mujeres desde la perspectiva de género y en el marco de los derechos humanos.</w:t>
      </w:r>
    </w:p>
    <w:p w:rsidR="005901E8" w:rsidRPr="009E30D1" w:rsidRDefault="005901E8" w:rsidP="005901E8">
      <w:pPr>
        <w:tabs>
          <w:tab w:val="left" w:pos="1152"/>
        </w:tabs>
        <w:spacing w:after="120" w:line="240" w:lineRule="auto"/>
        <w:rPr>
          <w:rFonts w:ascii="Adobe Caslon Pro" w:hAnsi="Adobe Caslon Pro"/>
        </w:rPr>
      </w:pPr>
      <w:r w:rsidRPr="009E30D1">
        <w:rPr>
          <w:rFonts w:ascii="Adobe Caslon Pro" w:hAnsi="Adobe Caslon Pro"/>
        </w:rPr>
        <w:t>A continuación se enumeran líneas de acción o intervención que se desprenden de las vertientes mencionadas, mismas que no son excluyentes ni limitativas para el desarrollo de acciones en materia de prevención y atención de la violencia contra las mujeres, pero que presentan un panorama de la posibilidad de acciones que se pueden emprender para incidir en la disminución de la violencia contra las mujeres.</w:t>
      </w:r>
    </w:p>
    <w:p w:rsidR="005901E8" w:rsidRPr="009E30D1" w:rsidRDefault="005901E8" w:rsidP="005901E8">
      <w:pPr>
        <w:tabs>
          <w:tab w:val="left" w:pos="1152"/>
        </w:tabs>
        <w:spacing w:after="120" w:line="240" w:lineRule="auto"/>
        <w:rPr>
          <w:rFonts w:ascii="Adobe Caslon Pro" w:hAnsi="Adobe Caslon Pro"/>
        </w:rPr>
      </w:pPr>
    </w:p>
    <w:p w:rsidR="005901E8" w:rsidRPr="009E30D1" w:rsidRDefault="005901E8" w:rsidP="005901E8">
      <w:pPr>
        <w:tabs>
          <w:tab w:val="left" w:pos="1152"/>
        </w:tabs>
        <w:spacing w:after="120" w:line="240" w:lineRule="auto"/>
        <w:rPr>
          <w:rFonts w:ascii="Adobe Caslon Pro" w:hAnsi="Adobe Caslon Pro"/>
        </w:rPr>
      </w:pPr>
    </w:p>
    <w:p w:rsidR="005901E8" w:rsidRPr="009E30D1" w:rsidRDefault="005901E8" w:rsidP="005901E8">
      <w:pPr>
        <w:tabs>
          <w:tab w:val="left" w:pos="1152"/>
        </w:tabs>
        <w:spacing w:after="120" w:line="240" w:lineRule="auto"/>
        <w:rPr>
          <w:rFonts w:ascii="Adobe Caslon Pro" w:hAnsi="Adobe Caslon Pro"/>
        </w:rPr>
        <w:sectPr w:rsidR="005901E8" w:rsidRPr="009E30D1" w:rsidSect="00525BF1">
          <w:headerReference w:type="default" r:id="rId44"/>
          <w:pgSz w:w="12240" w:h="15840"/>
          <w:pgMar w:top="1417" w:right="1701" w:bottom="1417" w:left="1701" w:header="708" w:footer="708" w:gutter="0"/>
          <w:cols w:space="708"/>
          <w:docGrid w:linePitch="360"/>
        </w:sectPr>
      </w:pPr>
    </w:p>
    <w:p w:rsidR="005901E8" w:rsidRPr="009E30D1" w:rsidRDefault="005901E8" w:rsidP="005901E8">
      <w:pPr>
        <w:pStyle w:val="Texto"/>
        <w:spacing w:after="120" w:line="240" w:lineRule="auto"/>
        <w:ind w:firstLine="0"/>
        <w:jc w:val="center"/>
        <w:rPr>
          <w:rFonts w:ascii="Adobe Caslon Pro" w:eastAsia="Calibri" w:hAnsi="Adobe Caslon Pro" w:cs="Times New Roman"/>
          <w:b/>
          <w:sz w:val="22"/>
          <w:szCs w:val="22"/>
          <w:lang w:val="es-MX" w:eastAsia="en-US"/>
        </w:rPr>
      </w:pPr>
      <w:r w:rsidRPr="009E30D1">
        <w:rPr>
          <w:rFonts w:ascii="Adobe Caslon Pro" w:eastAsia="Calibri" w:hAnsi="Adobe Caslon Pro" w:cs="Times New Roman"/>
          <w:b/>
          <w:sz w:val="22"/>
          <w:szCs w:val="22"/>
          <w:lang w:val="es-MX" w:eastAsia="en-US"/>
        </w:rPr>
        <w:lastRenderedPageBreak/>
        <w:t xml:space="preserve">Cuadro </w:t>
      </w:r>
      <w:r w:rsidR="00276AE9" w:rsidRPr="009E30D1">
        <w:rPr>
          <w:rFonts w:ascii="Adobe Caslon Pro" w:eastAsia="Calibri" w:hAnsi="Adobe Caslon Pro" w:cs="Times New Roman"/>
          <w:b/>
          <w:sz w:val="22"/>
          <w:szCs w:val="22"/>
          <w:lang w:val="es-MX" w:eastAsia="en-US"/>
        </w:rPr>
        <w:t>17</w:t>
      </w:r>
      <w:r w:rsidRPr="009E30D1">
        <w:rPr>
          <w:rFonts w:ascii="Adobe Caslon Pro" w:eastAsia="Calibri" w:hAnsi="Adobe Caslon Pro" w:cs="Times New Roman"/>
          <w:b/>
          <w:sz w:val="22"/>
          <w:szCs w:val="22"/>
          <w:lang w:val="es-MX" w:eastAsia="en-US"/>
        </w:rPr>
        <w:t>. Vertientes del Programa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73"/>
        <w:gridCol w:w="2769"/>
        <w:gridCol w:w="8708"/>
      </w:tblGrid>
      <w:tr w:rsidR="005901E8" w:rsidRPr="009E30D1" w:rsidTr="00B41860">
        <w:trPr>
          <w:trHeight w:val="20"/>
          <w:tblHeader/>
        </w:trPr>
        <w:tc>
          <w:tcPr>
            <w:tcW w:w="636" w:type="pct"/>
            <w:shd w:val="pct20" w:color="auto" w:fill="auto"/>
            <w:noWrap/>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szCs w:val="22"/>
                <w:lang w:val="es-MX" w:eastAsia="en-US"/>
              </w:rPr>
            </w:pPr>
            <w:r w:rsidRPr="009E30D1">
              <w:rPr>
                <w:rFonts w:ascii="Adobe Caslon Pro" w:eastAsia="Calibri" w:hAnsi="Adobe Caslon Pro" w:cs="Times New Roman"/>
                <w:b/>
                <w:sz w:val="20"/>
                <w:szCs w:val="22"/>
                <w:lang w:val="es-MX" w:eastAsia="en-US"/>
              </w:rPr>
              <w:t>Vertiente</w:t>
            </w:r>
          </w:p>
        </w:tc>
        <w:tc>
          <w:tcPr>
            <w:tcW w:w="1053" w:type="pct"/>
            <w:shd w:val="pct20" w:color="auto" w:fill="auto"/>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szCs w:val="22"/>
                <w:lang w:val="es-MX" w:eastAsia="en-US"/>
              </w:rPr>
            </w:pPr>
            <w:r w:rsidRPr="009E30D1">
              <w:rPr>
                <w:rFonts w:ascii="Adobe Caslon Pro" w:eastAsia="Calibri" w:hAnsi="Adobe Caslon Pro" w:cs="Times New Roman"/>
                <w:b/>
                <w:sz w:val="20"/>
                <w:szCs w:val="22"/>
                <w:lang w:val="es-MX" w:eastAsia="en-US"/>
              </w:rPr>
              <w:t>Líneas de acción o intervención</w:t>
            </w:r>
          </w:p>
        </w:tc>
        <w:tc>
          <w:tcPr>
            <w:tcW w:w="3311" w:type="pct"/>
            <w:shd w:val="pct20" w:color="auto" w:fill="auto"/>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szCs w:val="22"/>
                <w:lang w:val="es-MX" w:eastAsia="en-US"/>
              </w:rPr>
            </w:pPr>
            <w:r w:rsidRPr="009E30D1">
              <w:rPr>
                <w:rFonts w:ascii="Adobe Caslon Pro" w:eastAsia="Calibri" w:hAnsi="Adobe Caslon Pro" w:cs="Times New Roman"/>
                <w:b/>
                <w:sz w:val="20"/>
                <w:szCs w:val="22"/>
                <w:lang w:val="es-MX" w:eastAsia="en-US"/>
              </w:rPr>
              <w:t>Ejemplos de acciones</w:t>
            </w:r>
            <w:r w:rsidRPr="009E30D1">
              <w:rPr>
                <w:rFonts w:ascii="Adobe Caslon Pro" w:eastAsia="Calibri" w:hAnsi="Adobe Caslon Pro" w:cs="Times New Roman"/>
                <w:sz w:val="20"/>
                <w:szCs w:val="22"/>
                <w:vertAlign w:val="superscript"/>
                <w:lang w:val="es-MX" w:eastAsia="en-US"/>
              </w:rPr>
              <w:footnoteReference w:id="29"/>
            </w:r>
          </w:p>
        </w:tc>
      </w:tr>
      <w:tr w:rsidR="005901E8" w:rsidRPr="009E30D1" w:rsidTr="00B41860">
        <w:trPr>
          <w:trHeight w:val="20"/>
        </w:trPr>
        <w:tc>
          <w:tcPr>
            <w:tcW w:w="636" w:type="pct"/>
            <w:vMerge w:val="restart"/>
            <w:vAlign w:val="center"/>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szCs w:val="22"/>
                <w:lang w:val="es-MX" w:eastAsia="en-US"/>
              </w:rPr>
            </w:pPr>
            <w:r w:rsidRPr="009E30D1">
              <w:rPr>
                <w:rFonts w:ascii="Adobe Caslon Pro" w:eastAsia="Calibri" w:hAnsi="Adobe Caslon Pro" w:cs="Times New Roman"/>
                <w:b/>
                <w:sz w:val="20"/>
                <w:szCs w:val="22"/>
                <w:lang w:val="es-MX" w:eastAsia="en-US"/>
              </w:rPr>
              <w:t>Acciones tendientes a fortalecer la coordinación y articulación estratégica entre las diversas instancias públicas y sociales para institucionalizar la prevención y la atención de la violencia contra las mujeres en las entidades federativas.</w:t>
            </w:r>
          </w:p>
        </w:tc>
        <w:tc>
          <w:tcPr>
            <w:tcW w:w="1053" w:type="pct"/>
          </w:tcPr>
          <w:p w:rsidR="005901E8" w:rsidRPr="009E30D1" w:rsidRDefault="005901E8" w:rsidP="00B41860">
            <w:pPr>
              <w:pStyle w:val="Texto"/>
              <w:spacing w:after="120" w:line="240" w:lineRule="auto"/>
              <w:ind w:firstLine="0"/>
              <w:jc w:val="left"/>
              <w:rPr>
                <w:rFonts w:ascii="Adobe Caslon Pro" w:eastAsia="Calibri" w:hAnsi="Adobe Caslon Pro" w:cs="Times New Roman"/>
                <w:sz w:val="20"/>
                <w:szCs w:val="22"/>
                <w:lang w:val="es-MX" w:eastAsia="en-US"/>
              </w:rPr>
            </w:pPr>
            <w:r w:rsidRPr="009E30D1">
              <w:rPr>
                <w:rFonts w:ascii="Adobe Caslon Pro" w:eastAsia="Calibri" w:hAnsi="Adobe Caslon Pro" w:cs="Times New Roman"/>
                <w:sz w:val="20"/>
                <w:szCs w:val="22"/>
                <w:lang w:val="es-MX" w:eastAsia="en-US"/>
              </w:rPr>
              <w:t>Creación y consolidación de sinergias interinstitucionales e intersectoriales que impulsen la agenda y la política pública en la materia, tanto en la entidad federativa como en sus municipios.</w:t>
            </w:r>
          </w:p>
        </w:tc>
        <w:tc>
          <w:tcPr>
            <w:tcW w:w="3311" w:type="pct"/>
          </w:tcPr>
          <w:p w:rsidR="005901E8" w:rsidRPr="009E30D1" w:rsidRDefault="005901E8" w:rsidP="00B41860">
            <w:pPr>
              <w:pStyle w:val="Texto"/>
              <w:numPr>
                <w:ilvl w:val="0"/>
                <w:numId w:val="22"/>
              </w:numPr>
              <w:spacing w:after="120" w:line="240" w:lineRule="auto"/>
              <w:ind w:left="432" w:hanging="432"/>
              <w:rPr>
                <w:rFonts w:ascii="Adobe Caslon Pro" w:eastAsia="Calibri" w:hAnsi="Adobe Caslon Pro" w:cs="Times New Roman"/>
                <w:sz w:val="20"/>
                <w:szCs w:val="22"/>
                <w:lang w:val="es-MX" w:eastAsia="en-US"/>
              </w:rPr>
            </w:pPr>
            <w:r w:rsidRPr="009E30D1">
              <w:rPr>
                <w:rFonts w:ascii="Adobe Caslon Pro" w:eastAsia="Calibri" w:hAnsi="Adobe Caslon Pro" w:cs="Times New Roman"/>
                <w:sz w:val="20"/>
                <w:szCs w:val="22"/>
                <w:lang w:val="es-MX" w:eastAsia="en-US"/>
              </w:rPr>
              <w:t>Formular y suscribir Protocolos Interinstitucionales para la atención de mujeres en situación de violencia en instancias de procuración de justicia, para la intervención policial, entre otros.</w:t>
            </w:r>
          </w:p>
          <w:p w:rsidR="005901E8" w:rsidRPr="009E30D1" w:rsidRDefault="005901E8" w:rsidP="00B41860">
            <w:pPr>
              <w:pStyle w:val="Texto"/>
              <w:numPr>
                <w:ilvl w:val="0"/>
                <w:numId w:val="22"/>
              </w:numPr>
              <w:spacing w:after="120" w:line="240" w:lineRule="auto"/>
              <w:ind w:left="432" w:hanging="432"/>
              <w:rPr>
                <w:rFonts w:ascii="Adobe Caslon Pro" w:eastAsia="Calibri" w:hAnsi="Adobe Caslon Pro" w:cs="Times New Roman"/>
                <w:sz w:val="20"/>
                <w:szCs w:val="22"/>
                <w:lang w:val="es-MX" w:eastAsia="en-US"/>
              </w:rPr>
            </w:pPr>
            <w:r w:rsidRPr="009E30D1">
              <w:rPr>
                <w:rFonts w:ascii="Adobe Caslon Pro" w:eastAsia="Calibri" w:hAnsi="Adobe Caslon Pro" w:cs="Times New Roman"/>
                <w:sz w:val="20"/>
                <w:szCs w:val="22"/>
                <w:lang w:val="es-MX" w:eastAsia="en-US"/>
              </w:rPr>
              <w:t>Apoyar y fomentar la vinculación de las diferentes instancias (Organizaciones de la Sociedad Civil, Instituciones Académicas; Instituciones Públicas de los tres órdenes de gobierno) para la implementación de acciones conjuntas en materia de prevención y atención de la violencia contra las mujeres.</w:t>
            </w:r>
          </w:p>
          <w:p w:rsidR="005901E8" w:rsidRPr="009E30D1" w:rsidRDefault="005901E8" w:rsidP="00B41860">
            <w:pPr>
              <w:pStyle w:val="Texto"/>
              <w:numPr>
                <w:ilvl w:val="0"/>
                <w:numId w:val="22"/>
              </w:numPr>
              <w:spacing w:after="120" w:line="240" w:lineRule="auto"/>
              <w:ind w:left="432" w:hanging="432"/>
              <w:rPr>
                <w:rFonts w:ascii="Adobe Caslon Pro" w:eastAsia="Calibri" w:hAnsi="Adobe Caslon Pro" w:cs="Times New Roman"/>
                <w:sz w:val="20"/>
                <w:szCs w:val="22"/>
                <w:lang w:val="es-MX" w:eastAsia="en-US"/>
              </w:rPr>
            </w:pPr>
            <w:r w:rsidRPr="009E30D1">
              <w:rPr>
                <w:rFonts w:ascii="Adobe Caslon Pro" w:eastAsia="Calibri" w:hAnsi="Adobe Caslon Pro" w:cs="Times New Roman"/>
                <w:sz w:val="20"/>
                <w:szCs w:val="22"/>
                <w:lang w:val="es-MX" w:eastAsia="en-US"/>
              </w:rPr>
              <w:t>Establecer convenios de colaboración con gobiernos municipales que refuercen el acercamiento a la población, de los servicios de prevención y atención.</w:t>
            </w:r>
          </w:p>
        </w:tc>
      </w:tr>
      <w:tr w:rsidR="005901E8" w:rsidRPr="009E30D1" w:rsidTr="00B41860">
        <w:trPr>
          <w:trHeight w:val="20"/>
        </w:trPr>
        <w:tc>
          <w:tcPr>
            <w:tcW w:w="636" w:type="pct"/>
            <w:vMerge/>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szCs w:val="22"/>
                <w:lang w:val="es-MX" w:eastAsia="en-US"/>
              </w:rPr>
            </w:pPr>
          </w:p>
        </w:tc>
        <w:tc>
          <w:tcPr>
            <w:tcW w:w="1053" w:type="pct"/>
          </w:tcPr>
          <w:p w:rsidR="005901E8" w:rsidRPr="009E30D1" w:rsidRDefault="005901E8" w:rsidP="00B41860">
            <w:pPr>
              <w:pStyle w:val="Texto"/>
              <w:spacing w:after="120" w:line="240" w:lineRule="auto"/>
              <w:ind w:firstLine="0"/>
              <w:jc w:val="left"/>
              <w:rPr>
                <w:rFonts w:ascii="Adobe Caslon Pro" w:eastAsia="Calibri" w:hAnsi="Adobe Caslon Pro" w:cs="Times New Roman"/>
                <w:sz w:val="20"/>
                <w:szCs w:val="22"/>
                <w:lang w:val="es-MX" w:eastAsia="en-US"/>
              </w:rPr>
            </w:pPr>
            <w:r w:rsidRPr="009E30D1">
              <w:rPr>
                <w:rFonts w:ascii="Adobe Caslon Pro" w:eastAsia="Calibri" w:hAnsi="Adobe Caslon Pro" w:cs="Times New Roman"/>
                <w:sz w:val="20"/>
                <w:szCs w:val="22"/>
                <w:lang w:val="es-MX" w:eastAsia="en-US"/>
              </w:rPr>
              <w:t>Promoción de la armonización legislativa en materia de violencia contra las mujeres y su cumplimiento.</w:t>
            </w:r>
          </w:p>
        </w:tc>
        <w:tc>
          <w:tcPr>
            <w:tcW w:w="3311" w:type="pct"/>
          </w:tcPr>
          <w:p w:rsidR="005901E8" w:rsidRPr="009E30D1" w:rsidRDefault="005901E8" w:rsidP="00B41860">
            <w:pPr>
              <w:pStyle w:val="Texto"/>
              <w:numPr>
                <w:ilvl w:val="0"/>
                <w:numId w:val="23"/>
              </w:numPr>
              <w:spacing w:after="120" w:line="240" w:lineRule="auto"/>
              <w:rPr>
                <w:rFonts w:ascii="Adobe Caslon Pro" w:eastAsia="Calibri" w:hAnsi="Adobe Caslon Pro" w:cs="Times New Roman"/>
                <w:sz w:val="20"/>
                <w:szCs w:val="22"/>
                <w:lang w:val="es-MX" w:eastAsia="en-US"/>
              </w:rPr>
            </w:pPr>
            <w:r w:rsidRPr="009E30D1">
              <w:rPr>
                <w:rFonts w:ascii="Adobe Caslon Pro" w:eastAsia="Calibri" w:hAnsi="Adobe Caslon Pro" w:cs="Times New Roman"/>
                <w:sz w:val="20"/>
                <w:szCs w:val="22"/>
                <w:lang w:val="es-MX" w:eastAsia="en-US"/>
              </w:rPr>
              <w:t>Desarrollar propuestas de armonización y actualización legislativa mediante la promoción de espacios de análisis y discusión jurídica-social (mesas, comités, grupos, consejos).</w:t>
            </w:r>
          </w:p>
        </w:tc>
      </w:tr>
      <w:tr w:rsidR="005901E8" w:rsidRPr="009E30D1" w:rsidTr="00B41860">
        <w:trPr>
          <w:trHeight w:val="20"/>
        </w:trPr>
        <w:tc>
          <w:tcPr>
            <w:tcW w:w="636" w:type="pct"/>
            <w:vMerge/>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szCs w:val="22"/>
                <w:lang w:val="es-MX" w:eastAsia="en-US"/>
              </w:rPr>
            </w:pPr>
          </w:p>
        </w:tc>
        <w:tc>
          <w:tcPr>
            <w:tcW w:w="1053" w:type="pct"/>
          </w:tcPr>
          <w:p w:rsidR="005901E8" w:rsidRPr="009E30D1" w:rsidRDefault="005901E8" w:rsidP="00B41860">
            <w:pPr>
              <w:pStyle w:val="Texto"/>
              <w:spacing w:after="120" w:line="240" w:lineRule="auto"/>
              <w:ind w:firstLine="0"/>
              <w:jc w:val="left"/>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Planeación y desarrollo organizacional para prevenir y atender la violencia contra las mujeres.</w:t>
            </w:r>
          </w:p>
        </w:tc>
        <w:tc>
          <w:tcPr>
            <w:tcW w:w="3311" w:type="pct"/>
          </w:tcPr>
          <w:p w:rsidR="005901E8" w:rsidRPr="009E30D1" w:rsidRDefault="005901E8" w:rsidP="00B41860">
            <w:pPr>
              <w:pStyle w:val="Texto"/>
              <w:numPr>
                <w:ilvl w:val="0"/>
                <w:numId w:val="23"/>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Formular e implementar marcos metodológicos, de planeación y programación para prevenir y atender la violencia contra las mujeres tales como:</w:t>
            </w:r>
          </w:p>
          <w:p w:rsidR="005901E8" w:rsidRPr="009E30D1" w:rsidRDefault="005901E8" w:rsidP="00B41860">
            <w:pPr>
              <w:pStyle w:val="Texto"/>
              <w:numPr>
                <w:ilvl w:val="0"/>
                <w:numId w:val="3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Programas Estatales y Municipales para Prevenir, Atender, Sancionar y Erradicar la Violencia contra las Mujeres.</w:t>
            </w:r>
          </w:p>
          <w:p w:rsidR="005901E8" w:rsidRPr="009E30D1" w:rsidRDefault="005901E8" w:rsidP="00B41860">
            <w:pPr>
              <w:pStyle w:val="Texto"/>
              <w:numPr>
                <w:ilvl w:val="0"/>
                <w:numId w:val="3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Planeación estratégica.</w:t>
            </w:r>
          </w:p>
          <w:p w:rsidR="005901E8" w:rsidRPr="009E30D1" w:rsidRDefault="005901E8" w:rsidP="00B41860">
            <w:pPr>
              <w:pStyle w:val="Texto"/>
              <w:numPr>
                <w:ilvl w:val="0"/>
                <w:numId w:val="3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Programas institucionales.</w:t>
            </w:r>
          </w:p>
          <w:p w:rsidR="005901E8" w:rsidRPr="009E30D1" w:rsidRDefault="005901E8" w:rsidP="00B41860">
            <w:pPr>
              <w:pStyle w:val="Texto"/>
              <w:numPr>
                <w:ilvl w:val="0"/>
                <w:numId w:val="3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Estrategias de intervención focalizadas.</w:t>
            </w:r>
          </w:p>
          <w:p w:rsidR="005901E8" w:rsidRPr="009E30D1" w:rsidRDefault="005901E8" w:rsidP="00B41860">
            <w:pPr>
              <w:pStyle w:val="Texto"/>
              <w:numPr>
                <w:ilvl w:val="0"/>
                <w:numId w:val="3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Manuales de organización.</w:t>
            </w:r>
          </w:p>
          <w:p w:rsidR="005901E8" w:rsidRPr="009E30D1" w:rsidRDefault="005901E8" w:rsidP="00B41860">
            <w:pPr>
              <w:pStyle w:val="Texto"/>
              <w:numPr>
                <w:ilvl w:val="0"/>
                <w:numId w:val="3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Manuales de procedimientos.</w:t>
            </w:r>
          </w:p>
          <w:p w:rsidR="005901E8" w:rsidRPr="009E30D1" w:rsidRDefault="005901E8" w:rsidP="00B41860">
            <w:pPr>
              <w:pStyle w:val="Texto"/>
              <w:numPr>
                <w:ilvl w:val="0"/>
                <w:numId w:val="3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Programas de seguridad y protección civil para refugios y centros de atención.</w:t>
            </w:r>
          </w:p>
        </w:tc>
      </w:tr>
      <w:tr w:rsidR="005901E8" w:rsidRPr="009E30D1" w:rsidTr="00B41860">
        <w:trPr>
          <w:trHeight w:val="20"/>
        </w:trPr>
        <w:tc>
          <w:tcPr>
            <w:tcW w:w="636" w:type="pct"/>
            <w:vMerge w:val="restart"/>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2"/>
                <w:szCs w:val="22"/>
                <w:lang w:val="es-MX" w:eastAsia="en-US"/>
              </w:rPr>
            </w:pPr>
          </w:p>
        </w:tc>
        <w:tc>
          <w:tcPr>
            <w:tcW w:w="1053" w:type="pct"/>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Procesos de capacitación, formación, actualización y profesionalización para los actores sociales y públicos.</w:t>
            </w:r>
          </w:p>
        </w:tc>
        <w:tc>
          <w:tcPr>
            <w:tcW w:w="3311" w:type="pct"/>
          </w:tcPr>
          <w:p w:rsidR="005901E8" w:rsidRPr="009E30D1" w:rsidRDefault="005901E8" w:rsidP="00B41860">
            <w:pPr>
              <w:pStyle w:val="Texto"/>
              <w:numPr>
                <w:ilvl w:val="0"/>
                <w:numId w:val="23"/>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Realizar procesos de concientización y capacitación (cursos, talleres, diplomados, certificación, entre otros) al funcionariado de las instancias de procuración de justicia en temas tales como:</w:t>
            </w:r>
          </w:p>
          <w:p w:rsidR="005901E8" w:rsidRPr="009E30D1" w:rsidRDefault="005901E8" w:rsidP="00B41860">
            <w:pPr>
              <w:pStyle w:val="Texto"/>
              <w:numPr>
                <w:ilvl w:val="0"/>
                <w:numId w:val="3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Protección de víctimas</w:t>
            </w:r>
          </w:p>
          <w:p w:rsidR="005901E8" w:rsidRPr="009E30D1" w:rsidRDefault="005901E8" w:rsidP="00B41860">
            <w:pPr>
              <w:pStyle w:val="Texto"/>
              <w:numPr>
                <w:ilvl w:val="0"/>
                <w:numId w:val="3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Procesos de conciliación en el marco de la Ley General de Víctimas.</w:t>
            </w:r>
          </w:p>
          <w:p w:rsidR="005901E8" w:rsidRPr="009E30D1" w:rsidRDefault="005901E8" w:rsidP="00B41860">
            <w:pPr>
              <w:pStyle w:val="Texto"/>
              <w:numPr>
                <w:ilvl w:val="0"/>
                <w:numId w:val="3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Trata de personas, priorizando a mujeres y niñas.</w:t>
            </w:r>
          </w:p>
          <w:p w:rsidR="005901E8" w:rsidRPr="009E30D1" w:rsidRDefault="005901E8" w:rsidP="00B41860">
            <w:pPr>
              <w:pStyle w:val="Texto"/>
              <w:numPr>
                <w:ilvl w:val="0"/>
                <w:numId w:val="3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Órdenes de protección.</w:t>
            </w:r>
          </w:p>
          <w:p w:rsidR="005901E8" w:rsidRPr="009E30D1" w:rsidRDefault="005901E8" w:rsidP="00B41860">
            <w:pPr>
              <w:pStyle w:val="Texto"/>
              <w:numPr>
                <w:ilvl w:val="0"/>
                <w:numId w:val="3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Alerta de género.</w:t>
            </w:r>
          </w:p>
          <w:p w:rsidR="005901E8" w:rsidRPr="009E30D1" w:rsidRDefault="005901E8" w:rsidP="00B41860">
            <w:pPr>
              <w:pStyle w:val="Texto"/>
              <w:numPr>
                <w:ilvl w:val="0"/>
                <w:numId w:val="36"/>
              </w:numPr>
              <w:spacing w:after="120" w:line="240" w:lineRule="auto"/>
              <w:rPr>
                <w:rFonts w:ascii="Adobe Caslon Pro" w:eastAsia="Calibri" w:hAnsi="Adobe Caslon Pro" w:cs="Times New Roman"/>
                <w:sz w:val="20"/>
                <w:lang w:val="es-MX" w:eastAsia="en-US"/>
              </w:rPr>
            </w:pPr>
            <w:proofErr w:type="spellStart"/>
            <w:r w:rsidRPr="009E30D1">
              <w:rPr>
                <w:rFonts w:ascii="Adobe Caslon Pro" w:eastAsia="Calibri" w:hAnsi="Adobe Caslon Pro" w:cs="Times New Roman"/>
                <w:sz w:val="20"/>
                <w:lang w:val="es-MX" w:eastAsia="en-US"/>
              </w:rPr>
              <w:t>Feminicidio</w:t>
            </w:r>
            <w:proofErr w:type="spellEnd"/>
            <w:r w:rsidRPr="009E30D1">
              <w:rPr>
                <w:rFonts w:ascii="Adobe Caslon Pro" w:eastAsia="Calibri" w:hAnsi="Adobe Caslon Pro" w:cs="Times New Roman"/>
                <w:sz w:val="20"/>
                <w:lang w:val="es-MX" w:eastAsia="en-US"/>
              </w:rPr>
              <w:t>.</w:t>
            </w:r>
          </w:p>
          <w:p w:rsidR="005901E8" w:rsidRPr="009E30D1" w:rsidRDefault="005901E8" w:rsidP="00B41860">
            <w:pPr>
              <w:pStyle w:val="Texto"/>
              <w:numPr>
                <w:ilvl w:val="0"/>
                <w:numId w:val="24"/>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Realizar acciones de especialización y sensibilización dirigidas a los diversos actores públicos y sociales que participan en los procesos de prevención y atención de la violencia contra las mujeres, entre otros: Organizaciones de la Sociedad Civil, promotoras/es comunitarias/os, líderes sociales, dependencias de los tres órdenes de gobierno, del poder judicial, legislativo y ejecutivo, magisterio e instituciones educativas, Instituciones académicas, medios de comunicación, entre otros.</w:t>
            </w:r>
          </w:p>
          <w:p w:rsidR="005901E8" w:rsidRPr="009E30D1" w:rsidRDefault="005901E8" w:rsidP="00B41860">
            <w:pPr>
              <w:pStyle w:val="Texto"/>
              <w:numPr>
                <w:ilvl w:val="0"/>
                <w:numId w:val="24"/>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Generar espacios de análisis, discusión y reflexión especializada: Mesas de trabajo, foros, seminarios, </w:t>
            </w:r>
            <w:r w:rsidRPr="009E30D1">
              <w:rPr>
                <w:rFonts w:ascii="Adobe Caslon Pro" w:eastAsia="Calibri" w:hAnsi="Adobe Caslon Pro" w:cs="Times New Roman"/>
                <w:sz w:val="20"/>
                <w:lang w:val="es-MX" w:eastAsia="en-US"/>
              </w:rPr>
              <w:lastRenderedPageBreak/>
              <w:t>encuentros, congresos.</w:t>
            </w:r>
          </w:p>
          <w:p w:rsidR="005901E8" w:rsidRPr="009E30D1" w:rsidRDefault="005901E8" w:rsidP="00B41860">
            <w:pPr>
              <w:pStyle w:val="Texto"/>
              <w:numPr>
                <w:ilvl w:val="0"/>
                <w:numId w:val="24"/>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Llevar a cabo asesorías especializadas para profesionalización en la materia. </w:t>
            </w:r>
          </w:p>
        </w:tc>
      </w:tr>
      <w:tr w:rsidR="005901E8" w:rsidRPr="009E30D1" w:rsidTr="00B41860">
        <w:trPr>
          <w:trHeight w:val="20"/>
        </w:trPr>
        <w:tc>
          <w:tcPr>
            <w:tcW w:w="636" w:type="pct"/>
            <w:vMerge/>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2"/>
                <w:szCs w:val="22"/>
                <w:lang w:val="es-MX" w:eastAsia="en-US"/>
              </w:rPr>
            </w:pPr>
          </w:p>
        </w:tc>
        <w:tc>
          <w:tcPr>
            <w:tcW w:w="1053" w:type="pct"/>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Gestión del conocimiento e información especializada.</w:t>
            </w:r>
            <w:r w:rsidRPr="00022747">
              <w:rPr>
                <w:rFonts w:ascii="Adobe Caslon Pro" w:eastAsia="Calibri" w:hAnsi="Adobe Caslon Pro" w:cs="Times New Roman"/>
                <w:sz w:val="20"/>
                <w:vertAlign w:val="superscript"/>
                <w:lang w:val="es-MX" w:eastAsia="en-US"/>
              </w:rPr>
              <w:footnoteReference w:id="30"/>
            </w:r>
          </w:p>
        </w:tc>
        <w:tc>
          <w:tcPr>
            <w:tcW w:w="3311" w:type="pct"/>
          </w:tcPr>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Formular documentos especializados en materia de violencia de género y contra las mujeres tales como:</w:t>
            </w:r>
          </w:p>
          <w:p w:rsidR="005901E8" w:rsidRPr="009E30D1" w:rsidRDefault="005901E8" w:rsidP="00B41860">
            <w:pPr>
              <w:pStyle w:val="Texto"/>
              <w:numPr>
                <w:ilvl w:val="0"/>
                <w:numId w:val="3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Investigaciones, evaluaciones, estudios, diagnósticos, mapas de riesgo </w:t>
            </w:r>
            <w:proofErr w:type="spellStart"/>
            <w:r w:rsidRPr="009E30D1">
              <w:rPr>
                <w:rFonts w:ascii="Adobe Caslon Pro" w:eastAsia="Calibri" w:hAnsi="Adobe Caslon Pro" w:cs="Times New Roman"/>
                <w:sz w:val="20"/>
                <w:lang w:val="es-MX" w:eastAsia="en-US"/>
              </w:rPr>
              <w:t>georreferenciados</w:t>
            </w:r>
            <w:proofErr w:type="spellEnd"/>
            <w:r w:rsidRPr="009E30D1">
              <w:rPr>
                <w:rFonts w:ascii="Adobe Caslon Pro" w:eastAsia="Calibri" w:hAnsi="Adobe Caslon Pro" w:cs="Times New Roman"/>
                <w:sz w:val="20"/>
                <w:lang w:val="es-MX" w:eastAsia="en-US"/>
              </w:rPr>
              <w:t>.</w:t>
            </w:r>
          </w:p>
          <w:p w:rsidR="005901E8" w:rsidRPr="009E30D1" w:rsidRDefault="005901E8" w:rsidP="00B41860">
            <w:pPr>
              <w:pStyle w:val="Texto"/>
              <w:numPr>
                <w:ilvl w:val="0"/>
                <w:numId w:val="3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Modelos, protocolos y metodologías de intervención.</w:t>
            </w:r>
          </w:p>
          <w:p w:rsidR="005901E8" w:rsidRPr="009E30D1" w:rsidRDefault="005901E8" w:rsidP="00B41860">
            <w:pPr>
              <w:pStyle w:val="Texto"/>
              <w:numPr>
                <w:ilvl w:val="0"/>
                <w:numId w:val="3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Protocolos de argumentación estratégica, Guías para la atención especializada a partir de la recuperación de buenas prácticas.</w:t>
            </w:r>
          </w:p>
          <w:p w:rsidR="005901E8" w:rsidRPr="009E30D1" w:rsidRDefault="005901E8" w:rsidP="00B41860">
            <w:pPr>
              <w:pStyle w:val="Texto"/>
              <w:numPr>
                <w:ilvl w:val="0"/>
                <w:numId w:val="3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Sistemas de información, Bancos de datos, Bases de datos, Plataformas, Expedientes electrónicos, Páginas electrónicas, etc.</w:t>
            </w:r>
          </w:p>
          <w:p w:rsidR="005901E8" w:rsidRPr="009E30D1" w:rsidRDefault="005901E8" w:rsidP="00B41860">
            <w:pPr>
              <w:pStyle w:val="Texto"/>
              <w:numPr>
                <w:ilvl w:val="0"/>
                <w:numId w:val="3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Estrategias institucionales de comunicación social para prevenir la violencia contra las mujeres.</w:t>
            </w:r>
          </w:p>
          <w:p w:rsidR="005901E8" w:rsidRPr="009E30D1" w:rsidRDefault="005901E8" w:rsidP="00B41860">
            <w:pPr>
              <w:pStyle w:val="Texto"/>
              <w:numPr>
                <w:ilvl w:val="0"/>
                <w:numId w:val="3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Memorias, Informes, levantamiento de encuestas locales.</w:t>
            </w:r>
          </w:p>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Apoyar la integración de espacios de documentación y consulta especializada, tales como:</w:t>
            </w:r>
          </w:p>
          <w:p w:rsidR="005901E8" w:rsidRPr="009E30D1" w:rsidRDefault="005901E8" w:rsidP="00B41860">
            <w:pPr>
              <w:pStyle w:val="Texto"/>
              <w:spacing w:after="120" w:line="240" w:lineRule="auto"/>
              <w:ind w:left="864"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Archivo institucional.</w:t>
            </w:r>
          </w:p>
          <w:p w:rsidR="005901E8" w:rsidRPr="009E30D1" w:rsidRDefault="005901E8" w:rsidP="00B41860">
            <w:pPr>
              <w:pStyle w:val="Texto"/>
              <w:numPr>
                <w:ilvl w:val="0"/>
                <w:numId w:val="38"/>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Centros de información y documentación.</w:t>
            </w:r>
          </w:p>
          <w:p w:rsidR="005901E8" w:rsidRPr="009E30D1" w:rsidRDefault="005901E8" w:rsidP="00B41860">
            <w:pPr>
              <w:pStyle w:val="Texto"/>
              <w:numPr>
                <w:ilvl w:val="0"/>
                <w:numId w:val="38"/>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Colecciones especializadas.</w:t>
            </w:r>
          </w:p>
        </w:tc>
      </w:tr>
      <w:tr w:rsidR="005901E8" w:rsidRPr="009E30D1" w:rsidTr="00B41860">
        <w:trPr>
          <w:trHeight w:val="20"/>
        </w:trPr>
        <w:tc>
          <w:tcPr>
            <w:tcW w:w="636" w:type="pct"/>
            <w:vMerge/>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2"/>
                <w:szCs w:val="22"/>
                <w:lang w:val="es-MX" w:eastAsia="en-US"/>
              </w:rPr>
            </w:pPr>
          </w:p>
        </w:tc>
        <w:tc>
          <w:tcPr>
            <w:tcW w:w="1053" w:type="pct"/>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Generar mecanismos de participación social que incluyan el monitoreo, seguimiento, evaluación y sistematización de las acciones de prevención y atención.</w:t>
            </w:r>
          </w:p>
        </w:tc>
        <w:tc>
          <w:tcPr>
            <w:tcW w:w="3311" w:type="pct"/>
          </w:tcPr>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Llevar a cabo espacios de interlocución y acompañamiento especializado, tales como:</w:t>
            </w:r>
          </w:p>
          <w:p w:rsidR="005901E8" w:rsidRPr="009E30D1" w:rsidRDefault="005901E8" w:rsidP="00B41860">
            <w:pPr>
              <w:pStyle w:val="Texto"/>
              <w:numPr>
                <w:ilvl w:val="0"/>
                <w:numId w:val="39"/>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Observatorios Ciudadanos.</w:t>
            </w:r>
          </w:p>
          <w:p w:rsidR="005901E8" w:rsidRPr="009E30D1" w:rsidRDefault="005901E8" w:rsidP="00B41860">
            <w:pPr>
              <w:pStyle w:val="Texto"/>
              <w:numPr>
                <w:ilvl w:val="0"/>
                <w:numId w:val="39"/>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Conversatorios y talleres Interactivos.</w:t>
            </w:r>
          </w:p>
          <w:p w:rsidR="005901E8" w:rsidRPr="009E30D1" w:rsidRDefault="005901E8" w:rsidP="00B41860">
            <w:pPr>
              <w:pStyle w:val="Texto"/>
              <w:numPr>
                <w:ilvl w:val="0"/>
                <w:numId w:val="39"/>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Programas de acompañamiento y Mejora</w:t>
            </w:r>
          </w:p>
          <w:p w:rsidR="005901E8" w:rsidRPr="009E30D1" w:rsidRDefault="005901E8" w:rsidP="00B41860">
            <w:pPr>
              <w:pStyle w:val="Texto"/>
              <w:numPr>
                <w:ilvl w:val="0"/>
                <w:numId w:val="39"/>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Comités de participación social.</w:t>
            </w:r>
          </w:p>
        </w:tc>
      </w:tr>
      <w:tr w:rsidR="005901E8" w:rsidRPr="009E30D1" w:rsidTr="00B41860">
        <w:trPr>
          <w:trHeight w:val="20"/>
        </w:trPr>
        <w:tc>
          <w:tcPr>
            <w:tcW w:w="636" w:type="pct"/>
            <w:vMerge w:val="restart"/>
            <w:shd w:val="clear" w:color="auto" w:fill="FFFFFF"/>
            <w:vAlign w:val="center"/>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r w:rsidRPr="009E30D1">
              <w:rPr>
                <w:rFonts w:ascii="Adobe Caslon Pro" w:eastAsia="Calibri" w:hAnsi="Adobe Caslon Pro" w:cs="Times New Roman"/>
                <w:b/>
                <w:sz w:val="20"/>
                <w:lang w:val="es-MX" w:eastAsia="en-US"/>
              </w:rPr>
              <w:t xml:space="preserve">Acciones y prácticas de prevención de la violencia contra las mujeres, dirigidas a la población en general conforme a las características sociodemográficas y necesidades particulares, con prioridad a las personas en situación de </w:t>
            </w:r>
            <w:r w:rsidRPr="009E30D1">
              <w:rPr>
                <w:rFonts w:ascii="Adobe Caslon Pro" w:eastAsia="Calibri" w:hAnsi="Adobe Caslon Pro" w:cs="Times New Roman"/>
                <w:b/>
                <w:sz w:val="20"/>
                <w:lang w:val="es-MX" w:eastAsia="en-US"/>
              </w:rPr>
              <w:lastRenderedPageBreak/>
              <w:t>vulnerabilidad, exclusión, discriminación, marginación y pobreza, a fin de propiciar los cambios culturales y sociales necesarios para lograr la erradicación de la violencia.</w:t>
            </w:r>
          </w:p>
        </w:tc>
        <w:tc>
          <w:tcPr>
            <w:tcW w:w="1053" w:type="pct"/>
            <w:shd w:val="clear" w:color="auto" w:fill="FFFFFF"/>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Difusión, promoción y orientación acerca de la violencia contra las mujeres para los diferentes sectores de la población.</w:t>
            </w:r>
          </w:p>
        </w:tc>
        <w:tc>
          <w:tcPr>
            <w:tcW w:w="3311" w:type="pct"/>
            <w:shd w:val="clear" w:color="auto" w:fill="FFFFFF"/>
          </w:tcPr>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Realizar campañas de información y difusión masiva con actividades tales como:</w:t>
            </w:r>
          </w:p>
          <w:p w:rsidR="005901E8" w:rsidRPr="009E30D1" w:rsidRDefault="005901E8" w:rsidP="00B41860">
            <w:pPr>
              <w:pStyle w:val="Texto"/>
              <w:numPr>
                <w:ilvl w:val="0"/>
                <w:numId w:val="40"/>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Jornadas interinstitucionales y Ferias de servicios.</w:t>
            </w:r>
          </w:p>
          <w:p w:rsidR="005901E8" w:rsidRPr="009E30D1" w:rsidRDefault="005901E8" w:rsidP="00B41860">
            <w:pPr>
              <w:pStyle w:val="Texto"/>
              <w:numPr>
                <w:ilvl w:val="0"/>
                <w:numId w:val="40"/>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Actividades (pláticas, foros, conferencias, encuentros, entre otros).</w:t>
            </w:r>
          </w:p>
          <w:p w:rsidR="005901E8" w:rsidRPr="009E30D1" w:rsidRDefault="005901E8" w:rsidP="00B41860">
            <w:pPr>
              <w:pStyle w:val="Texto"/>
              <w:numPr>
                <w:ilvl w:val="0"/>
                <w:numId w:val="40"/>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Espacios en medios de información (cine, radio, televisión, páginas de internet y medios impresos).</w:t>
            </w:r>
          </w:p>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Diseñar y reproducir materiales de difusión o de apoyo didáctico, tales como:</w:t>
            </w:r>
          </w:p>
          <w:p w:rsidR="005901E8" w:rsidRPr="009E30D1" w:rsidRDefault="005901E8" w:rsidP="00B41860">
            <w:pPr>
              <w:pStyle w:val="Texto"/>
              <w:numPr>
                <w:ilvl w:val="0"/>
                <w:numId w:val="42"/>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Textos impresos (libros, revistas, folletos, trípticos, dípticos, volantes).</w:t>
            </w:r>
          </w:p>
          <w:p w:rsidR="005901E8" w:rsidRPr="009E30D1" w:rsidRDefault="005901E8" w:rsidP="00B41860">
            <w:pPr>
              <w:pStyle w:val="Texto"/>
              <w:numPr>
                <w:ilvl w:val="0"/>
                <w:numId w:val="42"/>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Artículos promocionales.</w:t>
            </w:r>
          </w:p>
          <w:p w:rsidR="005901E8" w:rsidRPr="009E30D1" w:rsidRDefault="005901E8" w:rsidP="00B41860">
            <w:pPr>
              <w:pStyle w:val="Texto"/>
              <w:numPr>
                <w:ilvl w:val="0"/>
                <w:numId w:val="42"/>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Herramientas y materiales didácticos.</w:t>
            </w:r>
          </w:p>
          <w:p w:rsidR="005901E8" w:rsidRPr="009E30D1" w:rsidRDefault="005901E8" w:rsidP="00B41860">
            <w:pPr>
              <w:pStyle w:val="Texto"/>
              <w:numPr>
                <w:ilvl w:val="0"/>
                <w:numId w:val="42"/>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Audiovisuales.</w:t>
            </w:r>
          </w:p>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Promover una vida libre de violencia mediante actividades lúdicas, artísticas y culturales, entre otras:</w:t>
            </w:r>
          </w:p>
          <w:p w:rsidR="005901E8" w:rsidRPr="009E30D1" w:rsidRDefault="005901E8" w:rsidP="00B41860">
            <w:pPr>
              <w:pStyle w:val="Texto"/>
              <w:numPr>
                <w:ilvl w:val="0"/>
                <w:numId w:val="41"/>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Círculos de lectura, poesía, canciones, cuento, pintura, danza y elaboración de artesanías.</w:t>
            </w:r>
          </w:p>
          <w:p w:rsidR="005901E8" w:rsidRPr="009E30D1" w:rsidRDefault="005901E8" w:rsidP="00B41860">
            <w:pPr>
              <w:pStyle w:val="Texto"/>
              <w:numPr>
                <w:ilvl w:val="0"/>
                <w:numId w:val="41"/>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Teatro, Pantomima, títeres y marionetas, etc.</w:t>
            </w:r>
          </w:p>
          <w:p w:rsidR="005901E8" w:rsidRPr="009E30D1" w:rsidRDefault="005901E8" w:rsidP="00B41860">
            <w:pPr>
              <w:pStyle w:val="Texto"/>
              <w:numPr>
                <w:ilvl w:val="0"/>
                <w:numId w:val="41"/>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Ciclos de Cine-debate.</w:t>
            </w:r>
          </w:p>
          <w:p w:rsidR="005901E8" w:rsidRPr="009E30D1" w:rsidRDefault="005901E8" w:rsidP="00B41860">
            <w:pPr>
              <w:pStyle w:val="Texto"/>
              <w:numPr>
                <w:ilvl w:val="0"/>
                <w:numId w:val="41"/>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Concursos: Narrativa, Buenas prácticas; etc.</w:t>
            </w:r>
          </w:p>
          <w:p w:rsidR="005901E8" w:rsidRPr="009E30D1" w:rsidRDefault="005901E8" w:rsidP="00B41860">
            <w:pPr>
              <w:pStyle w:val="Texto"/>
              <w:numPr>
                <w:ilvl w:val="0"/>
                <w:numId w:val="41"/>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Exposiciones, </w:t>
            </w:r>
            <w:proofErr w:type="spellStart"/>
            <w:r w:rsidRPr="009E30D1">
              <w:rPr>
                <w:rFonts w:ascii="Adobe Caslon Pro" w:eastAsia="Calibri" w:hAnsi="Adobe Caslon Pro" w:cs="Times New Roman"/>
                <w:sz w:val="20"/>
                <w:lang w:val="es-MX" w:eastAsia="en-US"/>
              </w:rPr>
              <w:t>displays</w:t>
            </w:r>
            <w:proofErr w:type="spellEnd"/>
            <w:r w:rsidRPr="009E30D1">
              <w:rPr>
                <w:rFonts w:ascii="Adobe Caslon Pro" w:eastAsia="Calibri" w:hAnsi="Adobe Caslon Pro" w:cs="Times New Roman"/>
                <w:sz w:val="20"/>
                <w:lang w:val="es-MX" w:eastAsia="en-US"/>
              </w:rPr>
              <w:t>, etc.</w:t>
            </w:r>
          </w:p>
          <w:p w:rsidR="005901E8" w:rsidRPr="009E30D1" w:rsidRDefault="005901E8" w:rsidP="00B41860">
            <w:pPr>
              <w:pStyle w:val="Texto"/>
              <w:numPr>
                <w:ilvl w:val="0"/>
                <w:numId w:val="41"/>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Juegos tradicionales: Lotería, Sopa de letras, Serpientes y escaleras, </w:t>
            </w:r>
            <w:proofErr w:type="spellStart"/>
            <w:r w:rsidRPr="009E30D1">
              <w:rPr>
                <w:rFonts w:ascii="Adobe Caslon Pro" w:eastAsia="Calibri" w:hAnsi="Adobe Caslon Pro" w:cs="Times New Roman"/>
                <w:sz w:val="20"/>
                <w:lang w:val="es-MX" w:eastAsia="en-US"/>
              </w:rPr>
              <w:t>Trivias</w:t>
            </w:r>
            <w:proofErr w:type="spellEnd"/>
            <w:r w:rsidRPr="009E30D1">
              <w:rPr>
                <w:rFonts w:ascii="Adobe Caslon Pro" w:eastAsia="Calibri" w:hAnsi="Adobe Caslon Pro" w:cs="Times New Roman"/>
                <w:sz w:val="20"/>
                <w:lang w:val="es-MX" w:eastAsia="en-US"/>
              </w:rPr>
              <w:t>, etc.</w:t>
            </w:r>
          </w:p>
        </w:tc>
      </w:tr>
      <w:tr w:rsidR="005901E8" w:rsidRPr="009E30D1" w:rsidTr="00B41860">
        <w:trPr>
          <w:trHeight w:val="20"/>
        </w:trPr>
        <w:tc>
          <w:tcPr>
            <w:tcW w:w="636" w:type="pct"/>
            <w:vMerge/>
            <w:shd w:val="clear" w:color="auto" w:fill="FFFFFF"/>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p>
        </w:tc>
        <w:tc>
          <w:tcPr>
            <w:tcW w:w="1053" w:type="pct"/>
            <w:shd w:val="clear" w:color="auto" w:fill="FFFFFF"/>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Formación y sensibilización de los diversos sectores sociales en materia de género, derechos humanos de las mujeres y violencia contra las mujeres. </w:t>
            </w:r>
          </w:p>
        </w:tc>
        <w:tc>
          <w:tcPr>
            <w:tcW w:w="3311" w:type="pct"/>
            <w:shd w:val="clear" w:color="auto" w:fill="FFFFFF"/>
          </w:tcPr>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Realizar procesos de formación o capacitación (talleres, cursos, seminarios y diplomados) dirigidos a la población en general o dirigidos en particular a un grupo de población específico, tales como:</w:t>
            </w:r>
          </w:p>
          <w:p w:rsidR="005901E8" w:rsidRPr="009E30D1" w:rsidRDefault="005901E8" w:rsidP="00B41860">
            <w:pPr>
              <w:pStyle w:val="Texto"/>
              <w:numPr>
                <w:ilvl w:val="0"/>
                <w:numId w:val="44"/>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Poblaciones juveniles</w:t>
            </w:r>
          </w:p>
          <w:p w:rsidR="005901E8" w:rsidRPr="009E30D1" w:rsidRDefault="005901E8" w:rsidP="00B41860">
            <w:pPr>
              <w:pStyle w:val="Texto"/>
              <w:numPr>
                <w:ilvl w:val="0"/>
                <w:numId w:val="44"/>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Niñas y niños</w:t>
            </w:r>
          </w:p>
          <w:p w:rsidR="005901E8" w:rsidRPr="009E30D1" w:rsidRDefault="005901E8" w:rsidP="00B41860">
            <w:pPr>
              <w:pStyle w:val="Texto"/>
              <w:numPr>
                <w:ilvl w:val="0"/>
                <w:numId w:val="44"/>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Comunidades indígenas</w:t>
            </w:r>
          </w:p>
          <w:p w:rsidR="005901E8" w:rsidRPr="009E30D1" w:rsidRDefault="005901E8" w:rsidP="00B41860">
            <w:pPr>
              <w:pStyle w:val="Texto"/>
              <w:numPr>
                <w:ilvl w:val="0"/>
                <w:numId w:val="44"/>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Personas adultas mayores</w:t>
            </w:r>
          </w:p>
          <w:p w:rsidR="005901E8" w:rsidRPr="009E30D1" w:rsidRDefault="005901E8" w:rsidP="00B41860">
            <w:pPr>
              <w:pStyle w:val="Texto"/>
              <w:numPr>
                <w:ilvl w:val="0"/>
                <w:numId w:val="44"/>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Personas con discapacidad</w:t>
            </w:r>
          </w:p>
          <w:p w:rsidR="005901E8" w:rsidRPr="009E30D1" w:rsidRDefault="005901E8" w:rsidP="00B41860">
            <w:pPr>
              <w:pStyle w:val="Texto"/>
              <w:numPr>
                <w:ilvl w:val="0"/>
                <w:numId w:val="25"/>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Desarrollar Procesos vivenciales de concientización y sensibilización en temas tales como:</w:t>
            </w:r>
          </w:p>
          <w:p w:rsidR="005901E8" w:rsidRPr="009E30D1" w:rsidRDefault="005901E8" w:rsidP="00B41860">
            <w:pPr>
              <w:pStyle w:val="Texto"/>
              <w:numPr>
                <w:ilvl w:val="0"/>
                <w:numId w:val="43"/>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Reeducación de agresores.</w:t>
            </w:r>
          </w:p>
          <w:p w:rsidR="005901E8" w:rsidRPr="009E30D1" w:rsidRDefault="005901E8" w:rsidP="00B41860">
            <w:pPr>
              <w:pStyle w:val="Texto"/>
              <w:numPr>
                <w:ilvl w:val="0"/>
                <w:numId w:val="43"/>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Talleres de empoderamiento de mujeres.</w:t>
            </w:r>
          </w:p>
          <w:p w:rsidR="005901E8" w:rsidRPr="009E30D1" w:rsidRDefault="005901E8" w:rsidP="00B41860">
            <w:pPr>
              <w:pStyle w:val="Texto"/>
              <w:numPr>
                <w:ilvl w:val="0"/>
                <w:numId w:val="43"/>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Educación para la paz y la resolución no violencia de conflictos</w:t>
            </w:r>
          </w:p>
          <w:p w:rsidR="005901E8" w:rsidRPr="009E30D1" w:rsidRDefault="005901E8" w:rsidP="00B41860">
            <w:pPr>
              <w:pStyle w:val="Texto"/>
              <w:numPr>
                <w:ilvl w:val="0"/>
                <w:numId w:val="43"/>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Masculinidades.</w:t>
            </w:r>
          </w:p>
        </w:tc>
      </w:tr>
      <w:tr w:rsidR="005901E8" w:rsidRPr="009E30D1" w:rsidTr="00B41860">
        <w:trPr>
          <w:trHeight w:val="20"/>
        </w:trPr>
        <w:tc>
          <w:tcPr>
            <w:tcW w:w="636" w:type="pct"/>
            <w:vMerge/>
            <w:shd w:val="clear" w:color="auto" w:fill="FFFFFF"/>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p>
        </w:tc>
        <w:tc>
          <w:tcPr>
            <w:tcW w:w="1053" w:type="pct"/>
            <w:shd w:val="clear" w:color="auto" w:fill="FFFFFF"/>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Interacción con actores sociales </w:t>
            </w:r>
            <w:r w:rsidRPr="009E30D1">
              <w:rPr>
                <w:rFonts w:ascii="Adobe Caslon Pro" w:eastAsia="Calibri" w:hAnsi="Adobe Caslon Pro" w:cs="Times New Roman"/>
                <w:sz w:val="20"/>
                <w:lang w:val="es-MX" w:eastAsia="en-US"/>
              </w:rPr>
              <w:lastRenderedPageBreak/>
              <w:t>para la prevención de la violencia contra las mujeres.</w:t>
            </w:r>
          </w:p>
        </w:tc>
        <w:tc>
          <w:tcPr>
            <w:tcW w:w="3311" w:type="pct"/>
            <w:shd w:val="clear" w:color="auto" w:fill="FFFFFF"/>
          </w:tcPr>
          <w:p w:rsidR="005901E8" w:rsidRPr="009E30D1" w:rsidRDefault="005901E8" w:rsidP="00B41860">
            <w:pPr>
              <w:pStyle w:val="Texto"/>
              <w:numPr>
                <w:ilvl w:val="0"/>
                <w:numId w:val="26"/>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 xml:space="preserve">Brindar apoyo a promotoras comunitarias para el acercamiento a la población de los servicios de </w:t>
            </w:r>
            <w:r w:rsidRPr="009E30D1">
              <w:rPr>
                <w:rFonts w:ascii="Adobe Caslon Pro" w:eastAsia="Calibri" w:hAnsi="Adobe Caslon Pro" w:cs="Times New Roman"/>
                <w:sz w:val="20"/>
                <w:lang w:val="es-MX" w:eastAsia="en-US"/>
              </w:rPr>
              <w:lastRenderedPageBreak/>
              <w:t>atención especializada que brindan las IMEF.</w:t>
            </w:r>
          </w:p>
          <w:p w:rsidR="005901E8" w:rsidRPr="009E30D1" w:rsidRDefault="005901E8" w:rsidP="00B41860">
            <w:pPr>
              <w:pStyle w:val="Texto"/>
              <w:numPr>
                <w:ilvl w:val="0"/>
                <w:numId w:val="26"/>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Apoyar a las Casas de la Mujer Indígena mediante el suministro de recursos materiales y humanos para que realicen acciones de prevención de la violencia contra las mujeres en comunidades indígenas.</w:t>
            </w:r>
          </w:p>
          <w:p w:rsidR="005901E8" w:rsidRPr="009E30D1" w:rsidRDefault="005901E8" w:rsidP="00B41860">
            <w:pPr>
              <w:pStyle w:val="Texto"/>
              <w:numPr>
                <w:ilvl w:val="0"/>
                <w:numId w:val="26"/>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Contribuir a la participación de estudiantes universitarios/as en actividades de promoción de una vida libre de violencia en las comunidades.</w:t>
            </w:r>
          </w:p>
          <w:p w:rsidR="005901E8" w:rsidRPr="009E30D1" w:rsidRDefault="005901E8" w:rsidP="00B41860">
            <w:pPr>
              <w:pStyle w:val="Texto"/>
              <w:numPr>
                <w:ilvl w:val="0"/>
                <w:numId w:val="26"/>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Realizar brigadas de prevención de la violencia contra las mujeres en conjunto con organizaciones de la sociedad civil.</w:t>
            </w:r>
          </w:p>
        </w:tc>
      </w:tr>
      <w:tr w:rsidR="005901E8" w:rsidRPr="009E30D1" w:rsidTr="00B41860">
        <w:trPr>
          <w:trHeight w:val="20"/>
        </w:trPr>
        <w:tc>
          <w:tcPr>
            <w:tcW w:w="636" w:type="pct"/>
            <w:vMerge w:val="restart"/>
            <w:vAlign w:val="center"/>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p>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r w:rsidRPr="009E30D1">
              <w:rPr>
                <w:rFonts w:ascii="Adobe Caslon Pro" w:eastAsia="Calibri" w:hAnsi="Adobe Caslon Pro" w:cs="Times New Roman"/>
                <w:b/>
                <w:sz w:val="20"/>
                <w:lang w:val="es-MX" w:eastAsia="en-US"/>
              </w:rPr>
              <w:t xml:space="preserve">Atención especializada a las mujeres, y en su caso, a sus hijas e hijos y personas allegadas, en situación de violencia, desde la perspectiva de género y en el marco de los derechos humanos, el desarrollo humano </w:t>
            </w:r>
            <w:r w:rsidRPr="009E30D1">
              <w:rPr>
                <w:rFonts w:ascii="Adobe Caslon Pro" w:eastAsia="Calibri" w:hAnsi="Adobe Caslon Pro" w:cs="Times New Roman"/>
                <w:b/>
                <w:sz w:val="20"/>
                <w:lang w:val="es-MX" w:eastAsia="en-US"/>
              </w:rPr>
              <w:lastRenderedPageBreak/>
              <w:t>y la interculturalidad</w:t>
            </w:r>
          </w:p>
        </w:tc>
        <w:tc>
          <w:tcPr>
            <w:tcW w:w="1053" w:type="pct"/>
            <w:vAlign w:val="center"/>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Creación y apoyo de servicios especializados e integrales de atención (jurídicos, psicológicos, trabajo social y derivación médica) de las IMEF y de las diversas instituciones gubernamentales y sociales involucradas en esa materia.</w:t>
            </w:r>
          </w:p>
          <w:p w:rsidR="005901E8" w:rsidRPr="009E30D1" w:rsidRDefault="005901E8" w:rsidP="00B41860">
            <w:pPr>
              <w:pStyle w:val="Texto"/>
              <w:numPr>
                <w:ilvl w:val="0"/>
                <w:numId w:val="33"/>
              </w:numPr>
              <w:spacing w:after="120" w:line="240" w:lineRule="auto"/>
              <w:ind w:left="36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Centros de Justicia para Mujeres.</w:t>
            </w:r>
          </w:p>
          <w:p w:rsidR="005901E8" w:rsidRPr="009E30D1" w:rsidRDefault="005901E8" w:rsidP="00B41860">
            <w:pPr>
              <w:pStyle w:val="Texto"/>
              <w:numPr>
                <w:ilvl w:val="0"/>
                <w:numId w:val="33"/>
              </w:numPr>
              <w:spacing w:after="120" w:line="240" w:lineRule="auto"/>
              <w:ind w:left="36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Servicios de atención externa (SAE):</w:t>
            </w:r>
          </w:p>
          <w:p w:rsidR="005901E8" w:rsidRPr="009E30D1" w:rsidRDefault="005901E8" w:rsidP="00B41860">
            <w:pPr>
              <w:pStyle w:val="Texto"/>
              <w:numPr>
                <w:ilvl w:val="0"/>
                <w:numId w:val="33"/>
              </w:numPr>
              <w:spacing w:after="120" w:line="240" w:lineRule="auto"/>
              <w:ind w:left="36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Servicios de alojamiento, protección y atención </w:t>
            </w:r>
            <w:r w:rsidRPr="009E30D1">
              <w:rPr>
                <w:rFonts w:ascii="Adobe Caslon Pro" w:eastAsia="Calibri" w:hAnsi="Adobe Caslon Pro" w:cs="Times New Roman"/>
                <w:sz w:val="20"/>
                <w:lang w:val="es-MX" w:eastAsia="en-US"/>
              </w:rPr>
              <w:lastRenderedPageBreak/>
              <w:t>(SAPA):</w:t>
            </w:r>
          </w:p>
        </w:tc>
        <w:tc>
          <w:tcPr>
            <w:tcW w:w="3311" w:type="pct"/>
            <w:vAlign w:val="center"/>
          </w:tcPr>
          <w:p w:rsidR="005901E8" w:rsidRPr="009E30D1" w:rsidRDefault="005901E8" w:rsidP="00B41860">
            <w:pPr>
              <w:pStyle w:val="Texto"/>
              <w:numPr>
                <w:ilvl w:val="0"/>
                <w:numId w:val="27"/>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Promover un sistema de atención y protección a mujeres víctimas y/o en situación de riesgo en coordinación con los municipios, las organizaciones de la sociedad civil, universidades, organismos públicos y privados, en los siguientes tipos de servicios de atención:</w:t>
            </w:r>
          </w:p>
          <w:p w:rsidR="005901E8" w:rsidRPr="009E30D1" w:rsidRDefault="005901E8" w:rsidP="00B41860">
            <w:pPr>
              <w:pStyle w:val="Texto"/>
              <w:numPr>
                <w:ilvl w:val="0"/>
                <w:numId w:val="4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Centros de Justicia para Mujeres (CJM).</w:t>
            </w:r>
          </w:p>
          <w:p w:rsidR="005901E8" w:rsidRPr="009E30D1" w:rsidRDefault="005901E8" w:rsidP="00B41860">
            <w:pPr>
              <w:pStyle w:val="Texto"/>
              <w:numPr>
                <w:ilvl w:val="0"/>
                <w:numId w:val="34"/>
              </w:numPr>
              <w:spacing w:after="120" w:line="240" w:lineRule="auto"/>
              <w:ind w:left="1296"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Fortalecimiento de la operación mediante equipamiento y apoyo con recursos humanos para la atención especializada de mujeres en situación de violencia.</w:t>
            </w:r>
          </w:p>
          <w:p w:rsidR="005901E8" w:rsidRPr="009E30D1" w:rsidRDefault="005901E8" w:rsidP="00B41860">
            <w:pPr>
              <w:pStyle w:val="Texto"/>
              <w:numPr>
                <w:ilvl w:val="0"/>
                <w:numId w:val="4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Servicios de atención externa (SAE)</w:t>
            </w:r>
          </w:p>
          <w:p w:rsidR="005901E8" w:rsidRPr="009E30D1" w:rsidRDefault="005901E8" w:rsidP="00B41860">
            <w:pPr>
              <w:pStyle w:val="Texto"/>
              <w:numPr>
                <w:ilvl w:val="0"/>
                <w:numId w:val="34"/>
              </w:numPr>
              <w:spacing w:after="120" w:line="240" w:lineRule="auto"/>
              <w:ind w:left="1296"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Apoyo para la creación o el fortalecimiento de unidades mediante el equipamiento y el apoyo con recursos humanos para la atención especializada de mujeres en situación de violencia, en las modalidades:</w:t>
            </w:r>
          </w:p>
          <w:p w:rsidR="005901E8" w:rsidRPr="009E30D1" w:rsidRDefault="005901E8" w:rsidP="00B41860">
            <w:pPr>
              <w:pStyle w:val="Texto"/>
              <w:numPr>
                <w:ilvl w:val="0"/>
                <w:numId w:val="28"/>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Centros de Atención</w:t>
            </w:r>
          </w:p>
          <w:p w:rsidR="005901E8" w:rsidRPr="009E30D1" w:rsidRDefault="005901E8" w:rsidP="00B41860">
            <w:pPr>
              <w:pStyle w:val="Texto"/>
              <w:numPr>
                <w:ilvl w:val="0"/>
                <w:numId w:val="28"/>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Módulos de orientación y ventanillas de información</w:t>
            </w:r>
          </w:p>
          <w:p w:rsidR="005901E8" w:rsidRPr="009E30D1" w:rsidRDefault="005901E8" w:rsidP="00B41860">
            <w:pPr>
              <w:pStyle w:val="Texto"/>
              <w:numPr>
                <w:ilvl w:val="0"/>
                <w:numId w:val="28"/>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Líneas telefónicas</w:t>
            </w:r>
          </w:p>
          <w:p w:rsidR="005901E8" w:rsidRPr="009E30D1" w:rsidRDefault="005901E8" w:rsidP="00B41860">
            <w:pPr>
              <w:pStyle w:val="Texto"/>
              <w:numPr>
                <w:ilvl w:val="0"/>
                <w:numId w:val="28"/>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lastRenderedPageBreak/>
              <w:t>Unidades de Prevención Itinerantes (Móviles)</w:t>
            </w:r>
          </w:p>
          <w:p w:rsidR="005901E8" w:rsidRPr="009E30D1" w:rsidRDefault="005901E8" w:rsidP="00B41860">
            <w:pPr>
              <w:pStyle w:val="Texto"/>
              <w:numPr>
                <w:ilvl w:val="0"/>
                <w:numId w:val="28"/>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Centro de Atención Itinerante</w:t>
            </w:r>
          </w:p>
          <w:p w:rsidR="005901E8" w:rsidRPr="009E30D1" w:rsidRDefault="005901E8" w:rsidP="00B41860">
            <w:pPr>
              <w:pStyle w:val="Texto"/>
              <w:numPr>
                <w:ilvl w:val="0"/>
                <w:numId w:val="45"/>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Servicios de alojamiento, protección y atención (SAPA)</w:t>
            </w:r>
          </w:p>
          <w:p w:rsidR="005901E8" w:rsidRPr="009E30D1" w:rsidRDefault="005901E8" w:rsidP="00B41860">
            <w:pPr>
              <w:pStyle w:val="Texto"/>
              <w:numPr>
                <w:ilvl w:val="0"/>
                <w:numId w:val="34"/>
              </w:numPr>
              <w:spacing w:after="120" w:line="240" w:lineRule="auto"/>
              <w:ind w:left="1296"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Apoyo para la creación o el fortalecimiento de unidades de alojamiento y protección mediante la dotación de recursos materiales para la operación, equipamiento, así como el apoyo con recursos humanos para la atención especializada de mujeres en situación de violencia, en las modalidades:</w:t>
            </w:r>
          </w:p>
          <w:p w:rsidR="005901E8" w:rsidRPr="009E30D1" w:rsidRDefault="005901E8" w:rsidP="00B41860">
            <w:pPr>
              <w:pStyle w:val="Texto"/>
              <w:numPr>
                <w:ilvl w:val="0"/>
                <w:numId w:val="29"/>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Refugios</w:t>
            </w:r>
          </w:p>
          <w:p w:rsidR="005901E8" w:rsidRPr="009E30D1" w:rsidRDefault="005901E8" w:rsidP="00B41860">
            <w:pPr>
              <w:pStyle w:val="Texto"/>
              <w:numPr>
                <w:ilvl w:val="0"/>
                <w:numId w:val="29"/>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Casas de emergencia</w:t>
            </w:r>
          </w:p>
          <w:p w:rsidR="005901E8" w:rsidRPr="009E30D1" w:rsidRDefault="005901E8" w:rsidP="00B41860">
            <w:pPr>
              <w:pStyle w:val="Texto"/>
              <w:numPr>
                <w:ilvl w:val="0"/>
                <w:numId w:val="29"/>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Casas de tránsito</w:t>
            </w:r>
          </w:p>
          <w:p w:rsidR="005901E8" w:rsidRPr="009E30D1" w:rsidRDefault="005901E8" w:rsidP="00B41860">
            <w:pPr>
              <w:pStyle w:val="Texto"/>
              <w:numPr>
                <w:ilvl w:val="0"/>
                <w:numId w:val="29"/>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Habitaciones de emergencia</w:t>
            </w:r>
          </w:p>
          <w:p w:rsidR="005901E8" w:rsidRPr="009E30D1" w:rsidRDefault="005901E8" w:rsidP="00B41860">
            <w:pPr>
              <w:pStyle w:val="Texto"/>
              <w:numPr>
                <w:ilvl w:val="0"/>
                <w:numId w:val="29"/>
              </w:numPr>
              <w:tabs>
                <w:tab w:val="left" w:pos="1733"/>
              </w:tabs>
              <w:spacing w:after="120" w:line="240" w:lineRule="auto"/>
              <w:ind w:left="1733" w:hanging="45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Albergues</w:t>
            </w:r>
          </w:p>
        </w:tc>
      </w:tr>
      <w:tr w:rsidR="005901E8" w:rsidRPr="009E30D1" w:rsidTr="00B41860">
        <w:trPr>
          <w:trHeight w:val="20"/>
        </w:trPr>
        <w:tc>
          <w:tcPr>
            <w:tcW w:w="636" w:type="pct"/>
            <w:vMerge/>
            <w:vAlign w:val="center"/>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p>
        </w:tc>
        <w:tc>
          <w:tcPr>
            <w:tcW w:w="1053" w:type="pct"/>
            <w:vAlign w:val="center"/>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p>
        </w:tc>
        <w:tc>
          <w:tcPr>
            <w:tcW w:w="3311" w:type="pct"/>
            <w:vAlign w:val="center"/>
          </w:tcPr>
          <w:p w:rsidR="005901E8" w:rsidRPr="009E30D1" w:rsidRDefault="005901E8" w:rsidP="00B41860">
            <w:pPr>
              <w:pStyle w:val="Texto"/>
              <w:numPr>
                <w:ilvl w:val="0"/>
                <w:numId w:val="29"/>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Apoyar la creación o el fortalecimiento de espacios municipales para brindar intervención primaria (preventiva) y la identificación de casos que requieran ser canalizados a los servicios de atención externa (SAE), de alojamiento y protección (SAPA) o a los Centros de Justicia para Mujeres (CJM), tales como:</w:t>
            </w:r>
          </w:p>
          <w:p w:rsidR="005901E8" w:rsidRPr="009E30D1" w:rsidRDefault="005901E8" w:rsidP="00B41860">
            <w:pPr>
              <w:pStyle w:val="Texto"/>
              <w:numPr>
                <w:ilvl w:val="0"/>
                <w:numId w:val="4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Áreas de Atención en las Instancias Municipales de la Mujer</w:t>
            </w:r>
          </w:p>
          <w:p w:rsidR="005901E8" w:rsidRPr="009E30D1" w:rsidRDefault="005901E8" w:rsidP="00B41860">
            <w:pPr>
              <w:pStyle w:val="Texto"/>
              <w:numPr>
                <w:ilvl w:val="0"/>
                <w:numId w:val="4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Casas de la Mujer Indígena</w:t>
            </w:r>
          </w:p>
          <w:p w:rsidR="005901E8" w:rsidRPr="009E30D1" w:rsidRDefault="005901E8" w:rsidP="00B41860">
            <w:pPr>
              <w:pStyle w:val="Texto"/>
              <w:numPr>
                <w:ilvl w:val="0"/>
                <w:numId w:val="46"/>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Centros Comunitarios</w:t>
            </w:r>
          </w:p>
        </w:tc>
      </w:tr>
      <w:tr w:rsidR="005901E8" w:rsidRPr="009E30D1" w:rsidTr="00B41860">
        <w:trPr>
          <w:trHeight w:val="20"/>
        </w:trPr>
        <w:tc>
          <w:tcPr>
            <w:tcW w:w="636" w:type="pct"/>
            <w:vMerge/>
            <w:vAlign w:val="center"/>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p>
        </w:tc>
        <w:tc>
          <w:tcPr>
            <w:tcW w:w="1053" w:type="pct"/>
            <w:vAlign w:val="center"/>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Acciones para la promoción de la autonomía económica y empoderamiento de las usuarias de los servicios especializados de atención.</w:t>
            </w:r>
          </w:p>
        </w:tc>
        <w:tc>
          <w:tcPr>
            <w:tcW w:w="3311" w:type="pct"/>
            <w:vAlign w:val="center"/>
          </w:tcPr>
          <w:p w:rsidR="005901E8" w:rsidRPr="009E30D1" w:rsidRDefault="005901E8" w:rsidP="00B41860">
            <w:pPr>
              <w:pStyle w:val="Texto"/>
              <w:numPr>
                <w:ilvl w:val="0"/>
                <w:numId w:val="32"/>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Realizar talleres de capacitación para el desarrollo de habilidades y destrezas laborales o productivas en las mujeres atendidas por los servicios especializados.</w:t>
            </w:r>
          </w:p>
          <w:p w:rsidR="005901E8" w:rsidRPr="009E30D1" w:rsidRDefault="005901E8" w:rsidP="00B41860">
            <w:pPr>
              <w:pStyle w:val="Texto"/>
              <w:numPr>
                <w:ilvl w:val="0"/>
                <w:numId w:val="32"/>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Desarrollar la gestión de servicios para el bienestar social y la inserción a la comunidad de las mujeres en situación de violencia, tales como: la gestión de microcréditos, becas, vivienda, bolsas de trabajo, educación abierta, servicios de salud, entre otros, mediante la coordinación interinstitucional e intersectorial.</w:t>
            </w:r>
          </w:p>
          <w:p w:rsidR="005901E8" w:rsidRPr="009E30D1" w:rsidRDefault="005901E8" w:rsidP="00B41860">
            <w:pPr>
              <w:pStyle w:val="Texto"/>
              <w:numPr>
                <w:ilvl w:val="0"/>
                <w:numId w:val="31"/>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Apoyar proyectos productivos para mujeres en situación de violencia que hayan sido atendidas en las unidades de atención operadas o promovidas por las IMEF con recursos del PAIMEF.</w:t>
            </w:r>
          </w:p>
        </w:tc>
      </w:tr>
      <w:tr w:rsidR="005901E8" w:rsidRPr="009E30D1" w:rsidTr="00B41860">
        <w:trPr>
          <w:trHeight w:val="20"/>
        </w:trPr>
        <w:tc>
          <w:tcPr>
            <w:tcW w:w="636" w:type="pct"/>
            <w:vMerge/>
            <w:vAlign w:val="center"/>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p>
        </w:tc>
        <w:tc>
          <w:tcPr>
            <w:tcW w:w="1053" w:type="pct"/>
            <w:vAlign w:val="center"/>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 xml:space="preserve">Procesos judiciales y administrativos. </w:t>
            </w:r>
          </w:p>
        </w:tc>
        <w:tc>
          <w:tcPr>
            <w:tcW w:w="3311" w:type="pct"/>
            <w:vAlign w:val="center"/>
          </w:tcPr>
          <w:p w:rsidR="005901E8" w:rsidRPr="009E30D1" w:rsidRDefault="005901E8" w:rsidP="00B41860">
            <w:pPr>
              <w:pStyle w:val="Texto"/>
              <w:numPr>
                <w:ilvl w:val="0"/>
                <w:numId w:val="31"/>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Brindar apoyo económico a las mujeres víctimas de la violencia de género en los procesos judiciales y administrativos que tengan como propósito el acceso a la justicia y la reparación del daño, conforme a los marcos jurídicos correspondientes, mediante la aplicación de recursos para solventar:</w:t>
            </w:r>
          </w:p>
          <w:p w:rsidR="005901E8" w:rsidRPr="009E30D1" w:rsidRDefault="005901E8" w:rsidP="00B41860">
            <w:pPr>
              <w:pStyle w:val="Texto"/>
              <w:numPr>
                <w:ilvl w:val="0"/>
                <w:numId w:val="48"/>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Trámites del proceso.</w:t>
            </w:r>
          </w:p>
          <w:p w:rsidR="005901E8" w:rsidRPr="009E30D1" w:rsidRDefault="005901E8" w:rsidP="00B41860">
            <w:pPr>
              <w:pStyle w:val="Texto"/>
              <w:numPr>
                <w:ilvl w:val="0"/>
                <w:numId w:val="48"/>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Pago de alimentos, hospedaje y traslados emergentes.</w:t>
            </w:r>
          </w:p>
          <w:p w:rsidR="005901E8" w:rsidRPr="009E30D1" w:rsidRDefault="005901E8" w:rsidP="00B41860">
            <w:pPr>
              <w:pStyle w:val="Texto"/>
              <w:numPr>
                <w:ilvl w:val="0"/>
                <w:numId w:val="48"/>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Vales de despensa, tarjetas telefónicas, papelería y mensajería.</w:t>
            </w:r>
          </w:p>
        </w:tc>
      </w:tr>
      <w:tr w:rsidR="005901E8" w:rsidRPr="009E30D1" w:rsidTr="00B41860">
        <w:trPr>
          <w:trHeight w:val="20"/>
        </w:trPr>
        <w:tc>
          <w:tcPr>
            <w:tcW w:w="636" w:type="pct"/>
            <w:vMerge/>
            <w:vAlign w:val="center"/>
          </w:tcPr>
          <w:p w:rsidR="005901E8" w:rsidRPr="009E30D1" w:rsidRDefault="005901E8" w:rsidP="00B41860">
            <w:pPr>
              <w:pStyle w:val="Texto"/>
              <w:spacing w:after="120" w:line="240" w:lineRule="auto"/>
              <w:ind w:firstLine="0"/>
              <w:jc w:val="center"/>
              <w:rPr>
                <w:rFonts w:ascii="Adobe Caslon Pro" w:eastAsia="Calibri" w:hAnsi="Adobe Caslon Pro" w:cs="Times New Roman"/>
                <w:b/>
                <w:sz w:val="20"/>
                <w:lang w:val="es-MX" w:eastAsia="en-US"/>
              </w:rPr>
            </w:pPr>
          </w:p>
        </w:tc>
        <w:tc>
          <w:tcPr>
            <w:tcW w:w="1053" w:type="pct"/>
            <w:vAlign w:val="center"/>
          </w:tcPr>
          <w:p w:rsidR="005901E8" w:rsidRPr="009E30D1" w:rsidRDefault="005901E8" w:rsidP="00B41860">
            <w:pPr>
              <w:pStyle w:val="Texto"/>
              <w:spacing w:after="120" w:line="240" w:lineRule="auto"/>
              <w:ind w:firstLine="0"/>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Contención emocional y autocuidado del personal.</w:t>
            </w:r>
          </w:p>
        </w:tc>
        <w:tc>
          <w:tcPr>
            <w:tcW w:w="3311" w:type="pct"/>
            <w:vAlign w:val="center"/>
          </w:tcPr>
          <w:p w:rsidR="005901E8" w:rsidRPr="009E30D1" w:rsidRDefault="005901E8" w:rsidP="00B41860">
            <w:pPr>
              <w:pStyle w:val="Texto"/>
              <w:numPr>
                <w:ilvl w:val="0"/>
                <w:numId w:val="30"/>
              </w:numPr>
              <w:spacing w:after="120" w:line="240" w:lineRule="auto"/>
              <w:ind w:left="432" w:hanging="432"/>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Realizar procesos de contención emocional para el personal que brinda la atención especializada a mujeres en situación de violencia, mediante:</w:t>
            </w:r>
          </w:p>
          <w:p w:rsidR="005901E8" w:rsidRPr="009E30D1" w:rsidRDefault="005901E8" w:rsidP="00B41860">
            <w:pPr>
              <w:pStyle w:val="Texto"/>
              <w:numPr>
                <w:ilvl w:val="0"/>
                <w:numId w:val="4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Terapia individual y grupal.</w:t>
            </w:r>
          </w:p>
          <w:p w:rsidR="005901E8" w:rsidRPr="009E30D1" w:rsidRDefault="005901E8" w:rsidP="00B41860">
            <w:pPr>
              <w:pStyle w:val="Texto"/>
              <w:numPr>
                <w:ilvl w:val="0"/>
                <w:numId w:val="4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Grupos de autoayuda con facilitador(a).</w:t>
            </w:r>
          </w:p>
          <w:p w:rsidR="005901E8" w:rsidRPr="009E30D1" w:rsidRDefault="005901E8" w:rsidP="00B41860">
            <w:pPr>
              <w:pStyle w:val="Texto"/>
              <w:numPr>
                <w:ilvl w:val="0"/>
                <w:numId w:val="47"/>
              </w:numPr>
              <w:spacing w:after="120" w:line="240" w:lineRule="auto"/>
              <w:rPr>
                <w:rFonts w:ascii="Adobe Caslon Pro" w:eastAsia="Calibri" w:hAnsi="Adobe Caslon Pro" w:cs="Times New Roman"/>
                <w:sz w:val="20"/>
                <w:lang w:val="es-MX" w:eastAsia="en-US"/>
              </w:rPr>
            </w:pPr>
            <w:r w:rsidRPr="009E30D1">
              <w:rPr>
                <w:rFonts w:ascii="Adobe Caslon Pro" w:eastAsia="Calibri" w:hAnsi="Adobe Caslon Pro" w:cs="Times New Roman"/>
                <w:sz w:val="20"/>
                <w:lang w:val="es-MX" w:eastAsia="en-US"/>
              </w:rPr>
              <w:t>Programas de autocuidado.</w:t>
            </w:r>
          </w:p>
        </w:tc>
      </w:tr>
    </w:tbl>
    <w:p w:rsidR="005901E8" w:rsidRPr="009E30D1" w:rsidRDefault="005901E8" w:rsidP="005901E8">
      <w:pPr>
        <w:spacing w:after="120" w:line="240" w:lineRule="auto"/>
        <w:rPr>
          <w:rFonts w:ascii="Adobe Caslon Pro" w:hAnsi="Adobe Caslon Pro"/>
        </w:rPr>
        <w:sectPr w:rsidR="005901E8" w:rsidRPr="009E30D1" w:rsidSect="00525BF1">
          <w:pgSz w:w="15840" w:h="12240" w:orient="landscape"/>
          <w:pgMar w:top="1701" w:right="1417" w:bottom="1701" w:left="1417" w:header="708" w:footer="708" w:gutter="0"/>
          <w:cols w:space="708"/>
          <w:docGrid w:linePitch="360"/>
        </w:sect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lastRenderedPageBreak/>
        <w:t>El monto a distribuir por el programa est</w:t>
      </w:r>
      <w:r w:rsidR="00022747">
        <w:rPr>
          <w:rFonts w:ascii="Adobe Caslon Pro" w:hAnsi="Adobe Caslon Pro"/>
        </w:rPr>
        <w:t>á</w:t>
      </w:r>
      <w:r w:rsidRPr="009E30D1">
        <w:rPr>
          <w:rFonts w:ascii="Adobe Caslon Pro" w:hAnsi="Adobe Caslon Pro"/>
        </w:rPr>
        <w:t xml:space="preserve"> sujeto a la partida presupuestal que en lo específico etiquete el congreso para la operación del mismo. No obstante, los recursos monetarios distribuibles entre las IMEF participantes deben considerar la problemática que existe en las entidades federativas, acordes con los objetivos del programa, así como el desempeño de las IMEF durante ejercicios anteriores.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Lo anterior permite integrar factores como la proporción de mujeres en situación de violencia que prevalece en las entidades federativas, las mujeres en situación de pobreza, los municipios que por sus características socioeconómicas y niveles de marginación sean prioridad nacional, así como la dispersión poblacional. Por otro lado, permite considerar la evaluación de la gestión de los proyectos de las IMEF y el fortalecimiento de las IMEF para el desarrollo de los proyectos de prevención y atención de la violencia contra las mujeres.</w:t>
      </w:r>
    </w:p>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pStyle w:val="Ttulo3"/>
        <w:spacing w:before="0" w:after="120" w:line="240" w:lineRule="auto"/>
        <w:rPr>
          <w:rFonts w:eastAsia="Calibri"/>
        </w:rPr>
      </w:pPr>
      <w:bookmarkStart w:id="66" w:name="_Toc391883389"/>
      <w:r w:rsidRPr="009E30D1">
        <w:rPr>
          <w:rFonts w:eastAsia="Calibri"/>
        </w:rPr>
        <w:t>Criterios de selección</w:t>
      </w:r>
      <w:bookmarkEnd w:id="66"/>
    </w:p>
    <w:p w:rsidR="005901E8" w:rsidRPr="009E30D1" w:rsidRDefault="005901E8" w:rsidP="005901E8">
      <w:pPr>
        <w:spacing w:after="120" w:line="240" w:lineRule="auto"/>
        <w:rPr>
          <w:rFonts w:ascii="Adobe Caslon Pro" w:hAnsi="Adobe Caslon Pro"/>
        </w:rPr>
      </w:pPr>
      <w:r w:rsidRPr="009E30D1">
        <w:rPr>
          <w:rFonts w:ascii="Adobe Caslon Pro" w:hAnsi="Adobe Caslon Pro"/>
        </w:rPr>
        <w:t>Dado que la prevención y atención se realiza a través de los proyectos ejecutados por las IMEF y con el objeto de elegir los proyectos que permitan generar los mejores resultados se presenta en el siguiente esquema los criterios mínimos que debe atender los proyectos de las IMEF:</w:t>
      </w:r>
    </w:p>
    <w:tbl>
      <w:tblPr>
        <w:tblStyle w:val="Tablaconcuadrcula"/>
        <w:tblW w:w="0" w:type="auto"/>
        <w:tblLayout w:type="fixed"/>
        <w:tblLook w:val="04A0" w:firstRow="1" w:lastRow="0" w:firstColumn="1" w:lastColumn="0" w:noHBand="0" w:noVBand="1"/>
      </w:tblPr>
      <w:tblGrid>
        <w:gridCol w:w="5778"/>
        <w:gridCol w:w="3276"/>
      </w:tblGrid>
      <w:tr w:rsidR="005901E8" w:rsidRPr="009E30D1" w:rsidTr="00B41860">
        <w:trPr>
          <w:tblHeader/>
        </w:trPr>
        <w:tc>
          <w:tcPr>
            <w:tcW w:w="5778" w:type="dxa"/>
            <w:vAlign w:val="center"/>
          </w:tcPr>
          <w:p w:rsidR="005901E8" w:rsidRPr="009E30D1" w:rsidRDefault="005901E8" w:rsidP="00B41860">
            <w:pPr>
              <w:spacing w:after="120"/>
              <w:jc w:val="center"/>
              <w:rPr>
                <w:rFonts w:ascii="Adobe Caslon Pro" w:hAnsi="Adobe Caslon Pro"/>
                <w:b/>
                <w:sz w:val="20"/>
              </w:rPr>
            </w:pPr>
            <w:r w:rsidRPr="009E30D1">
              <w:rPr>
                <w:rFonts w:ascii="Adobe Caslon Pro" w:hAnsi="Adobe Caslon Pro"/>
                <w:b/>
                <w:sz w:val="20"/>
              </w:rPr>
              <w:t>Criterio de selección</w:t>
            </w:r>
          </w:p>
        </w:tc>
        <w:tc>
          <w:tcPr>
            <w:tcW w:w="3276" w:type="dxa"/>
            <w:vAlign w:val="center"/>
          </w:tcPr>
          <w:p w:rsidR="005901E8" w:rsidRPr="009E30D1" w:rsidRDefault="005901E8" w:rsidP="00B41860">
            <w:pPr>
              <w:spacing w:after="120"/>
              <w:jc w:val="center"/>
              <w:rPr>
                <w:rFonts w:ascii="Adobe Caslon Pro" w:hAnsi="Adobe Caslon Pro"/>
                <w:b/>
                <w:sz w:val="20"/>
              </w:rPr>
            </w:pPr>
            <w:r w:rsidRPr="009E30D1">
              <w:rPr>
                <w:rFonts w:ascii="Adobe Caslon Pro" w:hAnsi="Adobe Caslon Pro"/>
                <w:b/>
                <w:sz w:val="20"/>
              </w:rPr>
              <w:t>Objetivo</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Apegarse a los principios internacionales en la materia y la normatividad nacional, tales como: La Convención para la Eliminación de todas las Formas de Discriminación contra la Mujer (CEDAW por sus siglas en inglés) y su Protocolo Facultativo; la Convención Interamericana para Prevenir, Sancionar y Erradicar la Violencia contra la Mujer (Convención de Belem Do Pará); la Declaración y Plataforma de Acción de Beijing; el artículo 1 de la Constitución Política de los Estados Unidos Mexicanos; la Ley del Instituto Nacional de las Mujeres; la Ley General de Desarrollo Social; la Ley General de Acceso de las Mujeres a una Vida Libre de Violencia; la Ley General para la Igualdad entre Mujeres y Hombres; la Ley General de Víctimas; Ley General para Prevenir, Sancionar y Erradicar los delitos en materia de Trata de Personas y para la Protección y Asistencia a las Víctimas de estos delitos</w:t>
            </w:r>
          </w:p>
        </w:tc>
        <w:tc>
          <w:tcPr>
            <w:tcW w:w="3276"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Que los proyectos guarden congruencia con la definición del programa y con los compromisos nacionales e internacionales suscritos por el Estado Mexicano en la materia.</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Estar planteado desde la perspectiva de género, los derechos humanos de las mujeres, el desarrollo humano y la interculturalidad.</w:t>
            </w:r>
          </w:p>
        </w:tc>
        <w:tc>
          <w:tcPr>
            <w:tcW w:w="3276"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 xml:space="preserve">Que los proyectos tengan una base conceptual y metodológica homogénea y acorde al marco </w:t>
            </w:r>
            <w:r w:rsidRPr="009E30D1">
              <w:rPr>
                <w:rFonts w:ascii="Adobe Caslon Pro" w:hAnsi="Adobe Caslon Pro"/>
                <w:sz w:val="20"/>
                <w:szCs w:val="20"/>
              </w:rPr>
              <w:lastRenderedPageBreak/>
              <w:t>normativo de la materia.</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lastRenderedPageBreak/>
              <w:t>Explicar la alineación del proyecto al Programa Estatal o institucional para Prevenir, Atender, Sancionar y Erradicar la Violencia contra las Mujeres</w:t>
            </w:r>
          </w:p>
        </w:tc>
        <w:tc>
          <w:tcPr>
            <w:tcW w:w="3276"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Que el proyecto se desprenda como unidad operativa de un marco de actuación pública de mayor alcance y no como acción única y aislada.</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Contener objetivos y metas medibles, así como las acciones que se requieran para alcanzarlas.</w:t>
            </w:r>
          </w:p>
        </w:tc>
        <w:tc>
          <w:tcPr>
            <w:tcW w:w="3276"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 xml:space="preserve">Impulsar la gestión para resultados a fin de </w:t>
            </w:r>
            <w:proofErr w:type="spellStart"/>
            <w:r w:rsidRPr="009E30D1">
              <w:rPr>
                <w:rFonts w:ascii="Adobe Caslon Pro" w:hAnsi="Adobe Caslon Pro"/>
                <w:sz w:val="20"/>
                <w:szCs w:val="20"/>
              </w:rPr>
              <w:t>eficientar</w:t>
            </w:r>
            <w:proofErr w:type="spellEnd"/>
            <w:r w:rsidRPr="009E30D1">
              <w:rPr>
                <w:rFonts w:ascii="Adobe Caslon Pro" w:hAnsi="Adobe Caslon Pro"/>
                <w:sz w:val="20"/>
                <w:szCs w:val="20"/>
              </w:rPr>
              <w:t xml:space="preserve"> la aplicación de recursos públicos.</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Priorizar la atención de mujeres y personas cercanas en situación de vulnerabilidad, exclusión social o discriminación, marginación y pobreza</w:t>
            </w:r>
          </w:p>
        </w:tc>
        <w:tc>
          <w:tcPr>
            <w:tcW w:w="3276"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Potenciar los beneficios de los subsidios para las poblaciones vulneradas en sus derechos a diferentes niveles.</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Basar la elaboración del proyecto en diagnósticos, encuestas, resultados de la ejecución de proyectos anteriores, investigaciones u otras fuentes de información institucionales o académicas sobre la situación de la violencia contra las mujeres, a nivel estatal o regional.</w:t>
            </w:r>
          </w:p>
        </w:tc>
        <w:tc>
          <w:tcPr>
            <w:tcW w:w="3276"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Que los proyectos, en tanto que son unidades operativas de una política más amplia, contribuyan a la solución de problemáticas puntualmente identificadas.</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Dar cuenta de la articulación o coordinación con actores e instancias públicas, privadas, académicas y sociales, que guarden congruencia con el marco normativo del Programa, a través de convenios, acuerdos y otros instrumentos institucionales, en el marco de una agenda de desarrollo social y de equidad de género.</w:t>
            </w:r>
          </w:p>
        </w:tc>
        <w:tc>
          <w:tcPr>
            <w:tcW w:w="3276" w:type="dxa"/>
            <w:vMerge w:val="restart"/>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Que los proyectos se sumen a un entramado institucional o que lo promueva como parte de una estrategia de interacción más amplia.</w:t>
            </w: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Incluir acciones de acompañamiento a las Instancias Municipales de las Mujeres, para implementar coordinadamente acciones de prevención y atención de la violencia contra las mujeres.</w:t>
            </w:r>
          </w:p>
        </w:tc>
        <w:tc>
          <w:tcPr>
            <w:tcW w:w="3276" w:type="dxa"/>
            <w:vMerge/>
            <w:vAlign w:val="center"/>
          </w:tcPr>
          <w:p w:rsidR="005901E8" w:rsidRPr="009E30D1" w:rsidRDefault="005901E8" w:rsidP="00B41860">
            <w:pPr>
              <w:spacing w:after="120"/>
              <w:jc w:val="both"/>
              <w:rPr>
                <w:rFonts w:ascii="Adobe Caslon Pro" w:hAnsi="Adobe Caslon Pro"/>
                <w:sz w:val="20"/>
                <w:szCs w:val="20"/>
              </w:rPr>
            </w:pP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Considerar la complementariedad del apoyo solicitado con otros apoyos o programas estatales y federales para prevenir y atender la violencia contra las mujeres.</w:t>
            </w:r>
          </w:p>
        </w:tc>
        <w:tc>
          <w:tcPr>
            <w:tcW w:w="3276" w:type="dxa"/>
            <w:vMerge/>
            <w:vAlign w:val="center"/>
          </w:tcPr>
          <w:p w:rsidR="005901E8" w:rsidRPr="009E30D1" w:rsidRDefault="005901E8" w:rsidP="00B41860">
            <w:pPr>
              <w:spacing w:after="120"/>
              <w:jc w:val="both"/>
              <w:rPr>
                <w:rFonts w:ascii="Adobe Caslon Pro" w:hAnsi="Adobe Caslon Pro"/>
                <w:sz w:val="20"/>
                <w:szCs w:val="20"/>
              </w:rPr>
            </w:pP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Especificar la participación de la Entidad Federativa en cuanto a aportaciones de recursos humanos, materiales y financieros a fin de complementar y garantizar la continuidad de las acciones en materia de prevención y atención de la violencia contra las mujeres implementadas por las IMEF, en el marco de la operación del Programa.</w:t>
            </w:r>
          </w:p>
        </w:tc>
        <w:tc>
          <w:tcPr>
            <w:tcW w:w="3276" w:type="dxa"/>
            <w:vMerge/>
            <w:vAlign w:val="center"/>
          </w:tcPr>
          <w:p w:rsidR="005901E8" w:rsidRPr="009E30D1" w:rsidRDefault="005901E8" w:rsidP="00B41860">
            <w:pPr>
              <w:spacing w:after="120"/>
              <w:jc w:val="both"/>
              <w:rPr>
                <w:rFonts w:ascii="Adobe Caslon Pro" w:hAnsi="Adobe Caslon Pro"/>
                <w:sz w:val="20"/>
                <w:szCs w:val="20"/>
              </w:rPr>
            </w:pP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lastRenderedPageBreak/>
              <w:t>Considerar la articulación con Organizaciones de la Sociedad Civil que estén legalmente constituidas y que tengan por objeto realizar actividades relacionadas con la prevención y atención de la violencia contra las mujeres.</w:t>
            </w:r>
          </w:p>
        </w:tc>
        <w:tc>
          <w:tcPr>
            <w:tcW w:w="3276" w:type="dxa"/>
            <w:vMerge/>
            <w:vAlign w:val="center"/>
          </w:tcPr>
          <w:p w:rsidR="005901E8" w:rsidRPr="009E30D1" w:rsidRDefault="005901E8" w:rsidP="00B41860">
            <w:pPr>
              <w:spacing w:after="120"/>
              <w:jc w:val="both"/>
              <w:rPr>
                <w:rFonts w:ascii="Adobe Caslon Pro" w:hAnsi="Adobe Caslon Pro"/>
                <w:sz w:val="20"/>
                <w:szCs w:val="20"/>
              </w:rPr>
            </w:pPr>
          </w:p>
        </w:tc>
      </w:tr>
      <w:tr w:rsidR="005901E8" w:rsidRPr="009E30D1" w:rsidTr="00B41860">
        <w:tc>
          <w:tcPr>
            <w:tcW w:w="5778"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Presentar un presupuesto pormenorizado que identifique y justifique, por cada vertiente y meta, cada uno de los conceptos que se van a financiar.</w:t>
            </w:r>
          </w:p>
        </w:tc>
        <w:tc>
          <w:tcPr>
            <w:tcW w:w="3276" w:type="dxa"/>
            <w:vAlign w:val="center"/>
          </w:tcPr>
          <w:p w:rsidR="005901E8" w:rsidRPr="009E30D1" w:rsidRDefault="005901E8" w:rsidP="00B41860">
            <w:pPr>
              <w:spacing w:after="120"/>
              <w:jc w:val="both"/>
              <w:rPr>
                <w:rFonts w:ascii="Adobe Caslon Pro" w:hAnsi="Adobe Caslon Pro"/>
                <w:sz w:val="20"/>
                <w:szCs w:val="20"/>
              </w:rPr>
            </w:pPr>
            <w:r w:rsidRPr="009E30D1">
              <w:rPr>
                <w:rFonts w:ascii="Adobe Caslon Pro" w:hAnsi="Adobe Caslon Pro"/>
                <w:sz w:val="20"/>
                <w:szCs w:val="20"/>
              </w:rPr>
              <w:t>Favorecer la transparencia y la rendición de cuentas en la aplicación de subsidios.</w:t>
            </w:r>
          </w:p>
        </w:tc>
      </w:tr>
    </w:tbl>
    <w:p w:rsidR="005901E8" w:rsidRPr="009E30D1" w:rsidRDefault="005901E8" w:rsidP="005901E8">
      <w:pPr>
        <w:pStyle w:val="Ttulo2"/>
        <w:spacing w:before="0" w:after="120" w:line="240" w:lineRule="auto"/>
        <w:rPr>
          <w:rFonts w:eastAsia="Calibri" w:cs="Times New Roman"/>
          <w:bCs w:val="0"/>
          <w:color w:val="auto"/>
          <w:sz w:val="22"/>
          <w:szCs w:val="22"/>
        </w:rPr>
      </w:pPr>
    </w:p>
    <w:p w:rsidR="005901E8" w:rsidRPr="009E30D1" w:rsidRDefault="005901E8" w:rsidP="005901E8">
      <w:pPr>
        <w:pStyle w:val="Ttulo3"/>
        <w:spacing w:before="0" w:after="120" w:line="240" w:lineRule="auto"/>
        <w:rPr>
          <w:rFonts w:eastAsia="Calibri"/>
        </w:rPr>
      </w:pPr>
      <w:bookmarkStart w:id="67" w:name="_Toc391883390"/>
      <w:r w:rsidRPr="009E30D1">
        <w:rPr>
          <w:rFonts w:eastAsia="Calibri"/>
        </w:rPr>
        <w:t>Duplicidades y complementariedades</w:t>
      </w:r>
      <w:bookmarkEnd w:id="67"/>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En el presente apartado se realiza un análisis comparativo de los objetivos y tipos de apoyos de otros programas federales con el PAIMEF, con el fin de identificar posibles duplicidades, complementariedades o sinergias que pudieran presentarse. Se considera que dos programas presentan duplicidad cuando cuentan con apoyos y acciones iguales (o similares) y buscan un mismo objetivo o propósito; complementariedad, cuando cuentan con apoyos y acciones diferentes, pero buscan un objetivo similar o igual; y sinergia, cuando dos programas cuentan con apoyos y acciones diferentes y además buscan un objetivo diferente pero que al trabajar en conjunto, los apoyos y acciones de uno, potencien las del otro, en este caso, que contribuyen a disminuir la violencia contra las mujeres.</w:t>
      </w:r>
    </w:p>
    <w:p w:rsidR="005901E8" w:rsidRPr="009E30D1" w:rsidRDefault="005901E8" w:rsidP="005901E8">
      <w:pPr>
        <w:pStyle w:val="Sinespaciado"/>
        <w:numPr>
          <w:ilvl w:val="0"/>
          <w:numId w:val="18"/>
        </w:numPr>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Posibles Duplicidades</w:t>
      </w:r>
    </w:p>
    <w:p w:rsidR="005901E8" w:rsidRPr="009E30D1" w:rsidRDefault="005901E8" w:rsidP="005901E8">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 xml:space="preserve">No se identificó duplicidad con algún programa de la Administración Pública Federal. Se encontró que el </w:t>
      </w:r>
      <w:r w:rsidRPr="009E30D1">
        <w:rPr>
          <w:rFonts w:ascii="Adobe Caslon Pro" w:eastAsia="Calibri" w:hAnsi="Adobe Caslon Pro" w:cs="Times New Roman"/>
          <w:i/>
          <w:lang w:eastAsia="en-US"/>
        </w:rPr>
        <w:t>Programa de Fortalecimiento a la Transversalidad de la Perspectiva de Género</w:t>
      </w:r>
      <w:r w:rsidRPr="009E30D1">
        <w:rPr>
          <w:rFonts w:ascii="Adobe Caslon Pro" w:eastAsia="Calibri" w:hAnsi="Adobe Caslon Pro" w:cs="Times New Roman"/>
          <w:lang w:eastAsia="en-US"/>
        </w:rPr>
        <w:t xml:space="preserve"> también apoya a las Instancias de Mujeres en las Entidades Federativas, a través de procesos de capacitación, formación, actualización y profesionalización para los actores sociales y públicos, gestión del conocimiento y la promoción de la armonización legislativa, sin embargo, el objetivo que persigue este programa se enfoca a la institucionalización de la perspectiva de género más allá de la prevención y atención de la violencia contra las mujeres. </w:t>
      </w:r>
    </w:p>
    <w:p w:rsidR="005901E8" w:rsidRPr="009E30D1" w:rsidRDefault="005901E8" w:rsidP="005901E8">
      <w:pPr>
        <w:pStyle w:val="Sinespaciado"/>
        <w:numPr>
          <w:ilvl w:val="0"/>
          <w:numId w:val="18"/>
        </w:numPr>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Complementariedad</w:t>
      </w:r>
    </w:p>
    <w:p w:rsidR="005901E8" w:rsidRPr="009E30D1" w:rsidRDefault="005901E8" w:rsidP="005901E8">
      <w:pPr>
        <w:pStyle w:val="Prrafodelista"/>
        <w:spacing w:after="120" w:line="240" w:lineRule="auto"/>
        <w:ind w:left="0"/>
        <w:jc w:val="both"/>
        <w:rPr>
          <w:rFonts w:ascii="Adobe Caslon Pro" w:eastAsia="Calibri" w:hAnsi="Adobe Caslon Pro" w:cs="Times New Roman"/>
        </w:rPr>
      </w:pPr>
      <w:r w:rsidRPr="009E30D1">
        <w:rPr>
          <w:rFonts w:ascii="Adobe Caslon Pro" w:eastAsia="Calibri" w:hAnsi="Adobe Caslon Pro" w:cs="Times New Roman"/>
        </w:rPr>
        <w:t xml:space="preserve">El programa </w:t>
      </w:r>
      <w:r w:rsidRPr="009E30D1">
        <w:rPr>
          <w:rFonts w:ascii="Adobe Caslon Pro" w:eastAsia="Calibri" w:hAnsi="Adobe Caslon Pro" w:cs="Times New Roman"/>
          <w:i/>
        </w:rPr>
        <w:t>Acciones para la igualdad de género con población indígena</w:t>
      </w:r>
      <w:r w:rsidRPr="009E30D1">
        <w:rPr>
          <w:rFonts w:ascii="Adobe Caslon Pro" w:eastAsia="Calibri" w:hAnsi="Adobe Caslon Pro" w:cs="Times New Roman"/>
        </w:rPr>
        <w:t xml:space="preserve"> presenta complementariedad con el PAIMEF en cuanto a la prevención y atención a la violencia contra las mujeres indígenas, ya que el programa reconoce los anteriores como uno de sus objetivos específicos. Por tanto, se deben impulsar acciones de prevención y atención de la violencia contra las mujeres de manera coordinada </w:t>
      </w:r>
      <w:r w:rsidRPr="009E30D1">
        <w:rPr>
          <w:rFonts w:ascii="Adobe Caslon Pro" w:eastAsia="Calibri" w:hAnsi="Adobe Caslon Pro" w:cs="Times New Roman"/>
        </w:rPr>
        <w:lastRenderedPageBreak/>
        <w:t xml:space="preserve">en las </w:t>
      </w:r>
      <w:r w:rsidRPr="009E30D1">
        <w:rPr>
          <w:rFonts w:ascii="Adobe Caslon Pro" w:eastAsia="Calibri" w:hAnsi="Adobe Caslon Pro" w:cs="Times New Roman"/>
          <w:i/>
        </w:rPr>
        <w:t>Casas de la Mujer Indígena</w:t>
      </w:r>
      <w:r w:rsidRPr="009E30D1">
        <w:rPr>
          <w:rFonts w:ascii="Adobe Caslon Pro" w:eastAsia="Calibri" w:hAnsi="Adobe Caslon Pro" w:cs="Times New Roman"/>
        </w:rPr>
        <w:t xml:space="preserve"> y otros territorios donde habite dicha población, considerando las características propias de la misma. </w:t>
      </w:r>
    </w:p>
    <w:p w:rsidR="005901E8" w:rsidRPr="009E30D1" w:rsidRDefault="00276AE9" w:rsidP="005901E8">
      <w:pPr>
        <w:spacing w:after="120" w:line="240" w:lineRule="auto"/>
        <w:jc w:val="center"/>
        <w:rPr>
          <w:rFonts w:ascii="Adobe Caslon Pro" w:hAnsi="Adobe Caslon Pro"/>
          <w:b/>
        </w:rPr>
      </w:pPr>
      <w:r w:rsidRPr="009E30D1">
        <w:rPr>
          <w:rFonts w:ascii="Adobe Caslon Pro" w:hAnsi="Adobe Caslon Pro"/>
          <w:b/>
        </w:rPr>
        <w:t>Cuadro 18</w:t>
      </w:r>
      <w:r w:rsidR="005901E8" w:rsidRPr="009E30D1">
        <w:rPr>
          <w:rFonts w:ascii="Adobe Caslon Pro" w:hAnsi="Adobe Caslon Pro"/>
          <w:b/>
        </w:rPr>
        <w:t>. Acciones para la igualdad de género con población indígena.</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694"/>
        <w:gridCol w:w="4113"/>
      </w:tblGrid>
      <w:tr w:rsidR="005901E8" w:rsidRPr="009E30D1" w:rsidTr="00B41860">
        <w:trPr>
          <w:tblHeader/>
        </w:trPr>
        <w:tc>
          <w:tcPr>
            <w:tcW w:w="1235"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Dependencia</w:t>
            </w:r>
          </w:p>
        </w:tc>
        <w:tc>
          <w:tcPr>
            <w:tcW w:w="1490"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Población Objetivo</w:t>
            </w:r>
          </w:p>
        </w:tc>
        <w:tc>
          <w:tcPr>
            <w:tcW w:w="2275"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Vinculación</w:t>
            </w:r>
          </w:p>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(objetivo, línea de acción)</w:t>
            </w:r>
          </w:p>
        </w:tc>
      </w:tr>
      <w:tr w:rsidR="005901E8" w:rsidRPr="009E30D1" w:rsidTr="00B41860">
        <w:tc>
          <w:tcPr>
            <w:tcW w:w="1235" w:type="pct"/>
            <w:shd w:val="clear" w:color="auto" w:fill="auto"/>
            <w:vAlign w:val="center"/>
          </w:tcPr>
          <w:p w:rsidR="005901E8" w:rsidRPr="009E30D1" w:rsidRDefault="005901E8" w:rsidP="00B41860">
            <w:pPr>
              <w:pStyle w:val="Sinespaciado"/>
              <w:spacing w:after="120"/>
              <w:jc w:val="center"/>
              <w:rPr>
                <w:rFonts w:ascii="Adobe Caslon Pro" w:eastAsia="Calibri" w:hAnsi="Adobe Caslon Pro" w:cs="Times New Roman"/>
                <w:sz w:val="20"/>
                <w:lang w:eastAsia="en-US"/>
              </w:rPr>
            </w:pPr>
          </w:p>
          <w:p w:rsidR="005901E8" w:rsidRPr="009E30D1" w:rsidRDefault="005901E8" w:rsidP="00B41860">
            <w:pPr>
              <w:pStyle w:val="Sinespaciado"/>
              <w:spacing w:after="120"/>
              <w:jc w:val="center"/>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 xml:space="preserve">Comisión Nacional para el Desarrollo de los Pueblos Indígenas </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p>
        </w:tc>
        <w:tc>
          <w:tcPr>
            <w:tcW w:w="1490"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 xml:space="preserve">Organizaciones de mujeres indígenas, Instituciones de la Administración Pública Estatal y Municipal, Organizaciones de la Sociedad Civil, Instituciones Académicas. </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tc>
        <w:tc>
          <w:tcPr>
            <w:tcW w:w="2275"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Objetivos Específicos:</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1.</w:t>
            </w:r>
            <w:r w:rsidRPr="009E30D1">
              <w:rPr>
                <w:rFonts w:ascii="Adobe Caslon Pro" w:eastAsia="Calibri" w:hAnsi="Adobe Caslon Pro" w:cs="Times New Roman"/>
                <w:sz w:val="20"/>
                <w:lang w:eastAsia="en-US"/>
              </w:rPr>
              <w:tab/>
              <w:t>Contribuir a la prevención y atención de la violencia contra las mujeres y salud sexual y reproductiva en zonas indígenas, a través del apoyo a organizaciones de mujeres indígenas para la instalación de una Casa de la Mujer Indígena (CAMI) y la operación de proyectos orientados a contribuir en la atención de la problemática de violencia contra las mujeres y/o promover la salud sexual y reproductiva de las mujeres indígenas con enfoque intercultural.</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2.</w:t>
            </w:r>
            <w:r w:rsidRPr="009E30D1">
              <w:rPr>
                <w:rFonts w:ascii="Adobe Caslon Pro" w:eastAsia="Calibri" w:hAnsi="Adobe Caslon Pro" w:cs="Times New Roman"/>
                <w:sz w:val="20"/>
                <w:lang w:eastAsia="en-US"/>
              </w:rPr>
              <w:tab/>
              <w:t>Impulsar sinergias comunitarias, interinstitucionales y multisectoriales para implementar y ejecutar acciones con enfoque intercultural tendientes al fortalecimiento de la cultura de los derechos humanos y de la no violencia contra las mujeres indígenas.</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3.</w:t>
            </w:r>
            <w:r w:rsidRPr="009E30D1">
              <w:rPr>
                <w:rFonts w:ascii="Adobe Caslon Pro" w:eastAsia="Calibri" w:hAnsi="Adobe Caslon Pro" w:cs="Times New Roman"/>
                <w:sz w:val="20"/>
                <w:lang w:eastAsia="en-US"/>
              </w:rPr>
              <w:tab/>
              <w:t>Promover el conocimiento y ejercicio de los derechos de las mujeres indígenas, a través del impulso de proyectos orientados a los diversos sectores que componen la población indígena.</w:t>
            </w:r>
          </w:p>
          <w:p w:rsidR="005901E8" w:rsidRPr="009E30D1" w:rsidRDefault="005901E8" w:rsidP="00B41860">
            <w:pPr>
              <w:spacing w:after="120" w:line="240" w:lineRule="auto"/>
              <w:jc w:val="both"/>
              <w:rPr>
                <w:rFonts w:ascii="Adobe Caslon Pro" w:hAnsi="Adobe Caslon Pro"/>
                <w:sz w:val="20"/>
              </w:rPr>
            </w:pPr>
          </w:p>
        </w:tc>
      </w:tr>
    </w:tbl>
    <w:p w:rsidR="005901E8" w:rsidRPr="009E30D1" w:rsidRDefault="005901E8" w:rsidP="005901E8">
      <w:pPr>
        <w:pStyle w:val="Prrafodelista"/>
        <w:spacing w:after="120" w:line="240" w:lineRule="auto"/>
        <w:ind w:left="0"/>
        <w:jc w:val="both"/>
        <w:rPr>
          <w:rFonts w:ascii="Adobe Caslon Pro" w:eastAsia="Calibri" w:hAnsi="Adobe Caslon Pro" w:cs="Times New Roman"/>
          <w:i/>
          <w:sz w:val="18"/>
          <w:szCs w:val="18"/>
        </w:rPr>
      </w:pPr>
      <w:r w:rsidRPr="009E30D1">
        <w:rPr>
          <w:rFonts w:ascii="Adobe Caslon Pro" w:eastAsia="Calibri" w:hAnsi="Adobe Caslon Pro" w:cs="Times New Roman"/>
          <w:i/>
          <w:sz w:val="18"/>
          <w:szCs w:val="18"/>
        </w:rPr>
        <w:t>Fuente: Elaboración propia a partir de información de los Programas.</w:t>
      </w:r>
    </w:p>
    <w:p w:rsidR="005901E8" w:rsidRPr="009E30D1" w:rsidRDefault="005901E8" w:rsidP="005901E8">
      <w:pPr>
        <w:pStyle w:val="Sinespaciado"/>
        <w:spacing w:after="120"/>
        <w:jc w:val="both"/>
        <w:rPr>
          <w:rFonts w:ascii="Adobe Caslon Pro" w:eastAsia="Calibri" w:hAnsi="Adobe Caslon Pro" w:cs="Times New Roman"/>
          <w:lang w:eastAsia="en-US"/>
        </w:rPr>
      </w:pPr>
    </w:p>
    <w:p w:rsidR="005901E8" w:rsidRPr="009E30D1" w:rsidRDefault="005901E8" w:rsidP="005901E8">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lastRenderedPageBreak/>
        <w:t xml:space="preserve">El programa </w:t>
      </w:r>
      <w:r w:rsidRPr="009E30D1">
        <w:rPr>
          <w:rFonts w:ascii="Adobe Caslon Pro" w:eastAsia="Calibri" w:hAnsi="Adobe Caslon Pro" w:cs="Times New Roman"/>
          <w:i/>
          <w:lang w:eastAsia="en-US"/>
        </w:rPr>
        <w:t>Diseño y aplicación de políticas de equidad de género</w:t>
      </w:r>
      <w:r w:rsidRPr="009E30D1">
        <w:rPr>
          <w:rFonts w:ascii="Adobe Caslon Pro" w:eastAsia="Calibri" w:hAnsi="Adobe Caslon Pro" w:cs="Times New Roman"/>
          <w:lang w:eastAsia="en-US"/>
        </w:rPr>
        <w:t xml:space="preserve"> puede presentar complementariedad con el PAIMEF en cuanto a la prevención de la violencia contra las mujeres, al apoyar con acciones de capacitación o talleres al personal docente, directivos y estudiantes de escuelas de entidades federativas con altos índices de violencia. </w:t>
      </w:r>
    </w:p>
    <w:p w:rsidR="005901E8" w:rsidRPr="009E30D1" w:rsidRDefault="00F50956" w:rsidP="005901E8">
      <w:pPr>
        <w:spacing w:after="120" w:line="240" w:lineRule="auto"/>
        <w:jc w:val="center"/>
        <w:rPr>
          <w:rFonts w:ascii="Adobe Caslon Pro" w:hAnsi="Adobe Caslon Pro"/>
          <w:b/>
        </w:rPr>
      </w:pPr>
      <w:r w:rsidRPr="009E30D1">
        <w:rPr>
          <w:rFonts w:ascii="Adobe Caslon Pro" w:hAnsi="Adobe Caslon Pro"/>
          <w:b/>
        </w:rPr>
        <w:t>Cuadro 19</w:t>
      </w:r>
      <w:r w:rsidR="005901E8" w:rsidRPr="009E30D1">
        <w:rPr>
          <w:rFonts w:ascii="Adobe Caslon Pro" w:hAnsi="Adobe Caslon Pro"/>
          <w:b/>
        </w:rPr>
        <w:t>. Diseño y aplicación de políticas de equidad de género.</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837"/>
        <w:gridCol w:w="3875"/>
      </w:tblGrid>
      <w:tr w:rsidR="005901E8" w:rsidRPr="009E30D1" w:rsidTr="00B41860">
        <w:trPr>
          <w:tblHeader/>
        </w:trPr>
        <w:tc>
          <w:tcPr>
            <w:tcW w:w="1288"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lang w:eastAsia="en-US"/>
              </w:rPr>
            </w:pPr>
            <w:r w:rsidRPr="009E30D1">
              <w:rPr>
                <w:rFonts w:ascii="Adobe Caslon Pro" w:eastAsia="Calibri" w:hAnsi="Adobe Caslon Pro" w:cs="Times New Roman"/>
                <w:b/>
                <w:lang w:eastAsia="en-US"/>
              </w:rPr>
              <w:t>Dependencia</w:t>
            </w:r>
          </w:p>
        </w:tc>
        <w:tc>
          <w:tcPr>
            <w:tcW w:w="1569"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lang w:eastAsia="en-US"/>
              </w:rPr>
            </w:pPr>
            <w:r w:rsidRPr="009E30D1">
              <w:rPr>
                <w:rFonts w:ascii="Adobe Caslon Pro" w:eastAsia="Calibri" w:hAnsi="Adobe Caslon Pro" w:cs="Times New Roman"/>
                <w:b/>
                <w:lang w:eastAsia="en-US"/>
              </w:rPr>
              <w:t>Población Objetivo</w:t>
            </w:r>
          </w:p>
        </w:tc>
        <w:tc>
          <w:tcPr>
            <w:tcW w:w="2143"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lang w:eastAsia="en-US"/>
              </w:rPr>
            </w:pPr>
            <w:r w:rsidRPr="009E30D1">
              <w:rPr>
                <w:rFonts w:ascii="Adobe Caslon Pro" w:eastAsia="Calibri" w:hAnsi="Adobe Caslon Pro" w:cs="Times New Roman"/>
                <w:b/>
                <w:lang w:eastAsia="en-US"/>
              </w:rPr>
              <w:t>Vinculación</w:t>
            </w:r>
          </w:p>
          <w:p w:rsidR="005901E8" w:rsidRPr="009E30D1" w:rsidRDefault="005901E8" w:rsidP="00B41860">
            <w:pPr>
              <w:pStyle w:val="Sinespaciado"/>
              <w:spacing w:after="120"/>
              <w:jc w:val="center"/>
              <w:rPr>
                <w:rFonts w:ascii="Adobe Caslon Pro" w:eastAsia="Calibri" w:hAnsi="Adobe Caslon Pro" w:cs="Times New Roman"/>
                <w:b/>
                <w:lang w:eastAsia="en-US"/>
              </w:rPr>
            </w:pPr>
            <w:r w:rsidRPr="009E30D1">
              <w:rPr>
                <w:rFonts w:ascii="Adobe Caslon Pro" w:eastAsia="Calibri" w:hAnsi="Adobe Caslon Pro" w:cs="Times New Roman"/>
                <w:b/>
                <w:lang w:eastAsia="en-US"/>
              </w:rPr>
              <w:t>(objetivo, línea de acción)</w:t>
            </w:r>
          </w:p>
        </w:tc>
      </w:tr>
      <w:tr w:rsidR="005901E8" w:rsidRPr="009E30D1" w:rsidTr="00B41860">
        <w:tc>
          <w:tcPr>
            <w:tcW w:w="1288" w:type="pct"/>
            <w:shd w:val="clear" w:color="auto" w:fill="auto"/>
            <w:vAlign w:val="center"/>
          </w:tcPr>
          <w:p w:rsidR="005901E8" w:rsidRPr="009E30D1" w:rsidRDefault="005901E8" w:rsidP="00B41860">
            <w:pPr>
              <w:pStyle w:val="Sinespaciado"/>
              <w:spacing w:after="120"/>
              <w:jc w:val="center"/>
              <w:rPr>
                <w:rFonts w:ascii="Adobe Caslon Pro" w:eastAsia="Calibri" w:hAnsi="Adobe Caslon Pro" w:cs="Times New Roman"/>
                <w:lang w:eastAsia="en-US"/>
              </w:rPr>
            </w:pPr>
          </w:p>
          <w:p w:rsidR="005901E8" w:rsidRPr="009E30D1" w:rsidRDefault="005D27BC" w:rsidP="00B41860">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Secretarí</w:t>
            </w:r>
            <w:r w:rsidR="005901E8" w:rsidRPr="009E30D1">
              <w:rPr>
                <w:rFonts w:ascii="Adobe Caslon Pro" w:eastAsia="Calibri" w:hAnsi="Adobe Caslon Pro" w:cs="Times New Roman"/>
                <w:lang w:eastAsia="en-US"/>
              </w:rPr>
              <w:t>a de Educación Pública (SEP)</w:t>
            </w:r>
          </w:p>
          <w:p w:rsidR="005901E8" w:rsidRPr="009E30D1" w:rsidRDefault="005901E8" w:rsidP="00B41860">
            <w:pPr>
              <w:pStyle w:val="Sinespaciado"/>
              <w:spacing w:after="120"/>
              <w:jc w:val="both"/>
              <w:rPr>
                <w:rFonts w:ascii="Adobe Caslon Pro" w:eastAsia="Calibri" w:hAnsi="Adobe Caslon Pro" w:cs="Times New Roman"/>
                <w:lang w:eastAsia="en-US"/>
              </w:rPr>
            </w:pPr>
          </w:p>
          <w:p w:rsidR="005901E8" w:rsidRPr="009E30D1" w:rsidRDefault="005901E8" w:rsidP="00B41860">
            <w:pPr>
              <w:pStyle w:val="Sinespaciado"/>
              <w:spacing w:after="120"/>
              <w:jc w:val="both"/>
              <w:rPr>
                <w:rFonts w:ascii="Adobe Caslon Pro" w:eastAsia="Calibri" w:hAnsi="Adobe Caslon Pro" w:cs="Times New Roman"/>
                <w:lang w:eastAsia="en-US"/>
              </w:rPr>
            </w:pPr>
          </w:p>
          <w:p w:rsidR="005901E8" w:rsidRPr="009E30D1" w:rsidRDefault="005901E8" w:rsidP="00B41860">
            <w:pPr>
              <w:pStyle w:val="Sinespaciado"/>
              <w:spacing w:after="120"/>
              <w:jc w:val="center"/>
              <w:rPr>
                <w:rFonts w:ascii="Adobe Caslon Pro" w:eastAsia="Calibri" w:hAnsi="Adobe Caslon Pro" w:cs="Times New Roman"/>
                <w:lang w:eastAsia="en-US"/>
              </w:rPr>
            </w:pPr>
          </w:p>
        </w:tc>
        <w:tc>
          <w:tcPr>
            <w:tcW w:w="1569"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Personal docente, directivos y estudiantes de las escuelas de nivel básico en todo el país.</w:t>
            </w:r>
          </w:p>
          <w:p w:rsidR="005901E8" w:rsidRPr="009E30D1" w:rsidRDefault="005901E8" w:rsidP="00B41860">
            <w:pPr>
              <w:pStyle w:val="Sinespaciado"/>
              <w:spacing w:after="120"/>
              <w:jc w:val="both"/>
              <w:rPr>
                <w:rFonts w:ascii="Adobe Caslon Pro" w:eastAsia="Calibri" w:hAnsi="Adobe Caslon Pro" w:cs="Times New Roman"/>
                <w:lang w:eastAsia="en-US"/>
              </w:rPr>
            </w:pPr>
          </w:p>
        </w:tc>
        <w:tc>
          <w:tcPr>
            <w:tcW w:w="2143"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lang w:eastAsia="en-US"/>
              </w:rPr>
            </w:pPr>
          </w:p>
          <w:p w:rsidR="005901E8" w:rsidRPr="009E30D1" w:rsidRDefault="005901E8" w:rsidP="00B41860">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 xml:space="preserve">Objetivo: </w:t>
            </w:r>
          </w:p>
          <w:p w:rsidR="005901E8" w:rsidRPr="009E30D1" w:rsidRDefault="005901E8" w:rsidP="00B41860">
            <w:pPr>
              <w:pStyle w:val="Sinespaciado"/>
              <w:spacing w:after="120"/>
              <w:jc w:val="both"/>
              <w:rPr>
                <w:rFonts w:ascii="Adobe Caslon Pro" w:eastAsia="Calibri" w:hAnsi="Adobe Caslon Pro" w:cs="Times New Roman"/>
                <w:lang w:eastAsia="en-US"/>
              </w:rPr>
            </w:pPr>
          </w:p>
          <w:p w:rsidR="005901E8" w:rsidRPr="009E30D1" w:rsidRDefault="005901E8" w:rsidP="00B41860">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Pilotear y operar proyectos en escuelas de entidades federativas con altos índices de violencia, para incorporar la perspectiva de género en las acciones y programas educativos de escuelas públicas, con el fin de coadyuvar en la deconstrucción de estereotipos y roles sociales que perpetúan la desigualdad entre hombres y mujeres, además de visibilizar y contribuir a la erradicación de la violencia, particularmente la perpetrada por motivos de género.</w:t>
            </w:r>
          </w:p>
          <w:p w:rsidR="005901E8" w:rsidRPr="009E30D1" w:rsidRDefault="005901E8" w:rsidP="00B41860">
            <w:pPr>
              <w:spacing w:after="120" w:line="240" w:lineRule="auto"/>
              <w:rPr>
                <w:rFonts w:ascii="Adobe Caslon Pro" w:hAnsi="Adobe Caslon Pro"/>
              </w:rPr>
            </w:pPr>
          </w:p>
        </w:tc>
      </w:tr>
    </w:tbl>
    <w:p w:rsidR="005901E8" w:rsidRPr="009E30D1" w:rsidRDefault="005901E8" w:rsidP="005901E8">
      <w:pPr>
        <w:pStyle w:val="Prrafodelista"/>
        <w:spacing w:after="120" w:line="240" w:lineRule="auto"/>
        <w:ind w:left="0"/>
        <w:jc w:val="both"/>
        <w:rPr>
          <w:rFonts w:ascii="Adobe Caslon Pro" w:eastAsia="Calibri" w:hAnsi="Adobe Caslon Pro" w:cs="Times New Roman"/>
          <w:i/>
          <w:sz w:val="18"/>
        </w:rPr>
      </w:pPr>
      <w:r w:rsidRPr="009E30D1">
        <w:rPr>
          <w:rFonts w:ascii="Adobe Caslon Pro" w:eastAsia="Calibri" w:hAnsi="Adobe Caslon Pro" w:cs="Times New Roman"/>
          <w:i/>
          <w:sz w:val="18"/>
        </w:rPr>
        <w:t>Fuente: Elaboración propia a partir de información de los Programas.</w:t>
      </w:r>
    </w:p>
    <w:p w:rsidR="005901E8" w:rsidRPr="009E30D1" w:rsidRDefault="005901E8" w:rsidP="005901E8">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 xml:space="preserve">El </w:t>
      </w:r>
      <w:r w:rsidRPr="009E30D1">
        <w:rPr>
          <w:rFonts w:ascii="Adobe Caslon Pro" w:eastAsia="Calibri" w:hAnsi="Adobe Caslon Pro" w:cs="Times New Roman"/>
          <w:i/>
          <w:lang w:eastAsia="en-US"/>
        </w:rPr>
        <w:t>Programa del Sistema Nacional de Formación Continua y Superación Profesional de Maestros de Educación Básica en Servicio</w:t>
      </w:r>
      <w:r w:rsidRPr="009E30D1">
        <w:rPr>
          <w:rFonts w:ascii="Adobe Caslon Pro" w:eastAsia="Calibri" w:hAnsi="Adobe Caslon Pro" w:cs="Times New Roman"/>
          <w:lang w:eastAsia="en-US"/>
        </w:rPr>
        <w:t xml:space="preserve"> puede presentar complementariedad con el PAIMEF en cuanto a la prevención de la violencia contra las mujeres, al apoyar con acciones de sensibilización a estudiantes de escuelas cuyos profesores y profesoras han participado en el </w:t>
      </w:r>
      <w:r w:rsidRPr="009E30D1">
        <w:rPr>
          <w:rFonts w:ascii="Adobe Caslon Pro" w:eastAsia="Calibri" w:hAnsi="Adobe Caslon Pro" w:cs="Times New Roman"/>
          <w:i/>
          <w:lang w:eastAsia="en-US"/>
        </w:rPr>
        <w:t>Programa de Capacitación al Magisterio para Prevenir la Violencia hacia las Mujeres</w:t>
      </w:r>
      <w:r w:rsidRPr="009E30D1">
        <w:rPr>
          <w:rFonts w:ascii="Adobe Caslon Pro" w:eastAsia="Calibri" w:hAnsi="Adobe Caslon Pro" w:cs="Times New Roman"/>
          <w:lang w:eastAsia="en-US"/>
        </w:rPr>
        <w:t xml:space="preserve">. </w:t>
      </w:r>
    </w:p>
    <w:p w:rsidR="005901E8" w:rsidRPr="009E30D1" w:rsidRDefault="005901E8" w:rsidP="005901E8">
      <w:pPr>
        <w:rPr>
          <w:rFonts w:ascii="Adobe Caslon Pro" w:hAnsi="Adobe Caslon Pro"/>
          <w:b/>
        </w:rPr>
      </w:pPr>
      <w:r w:rsidRPr="009E30D1">
        <w:rPr>
          <w:rFonts w:ascii="Adobe Caslon Pro" w:hAnsi="Adobe Caslon Pro"/>
          <w:b/>
        </w:rPr>
        <w:br w:type="page"/>
      </w:r>
    </w:p>
    <w:p w:rsidR="005901E8" w:rsidRPr="009E30D1" w:rsidRDefault="00F50956" w:rsidP="005901E8">
      <w:pPr>
        <w:spacing w:after="120" w:line="240" w:lineRule="auto"/>
        <w:jc w:val="center"/>
        <w:rPr>
          <w:rFonts w:ascii="Adobe Caslon Pro" w:hAnsi="Adobe Caslon Pro"/>
          <w:b/>
        </w:rPr>
      </w:pPr>
      <w:r w:rsidRPr="009E30D1">
        <w:rPr>
          <w:rFonts w:ascii="Adobe Caslon Pro" w:hAnsi="Adobe Caslon Pro"/>
          <w:b/>
        </w:rPr>
        <w:lastRenderedPageBreak/>
        <w:t>Cuadro 20</w:t>
      </w:r>
      <w:r w:rsidR="005901E8" w:rsidRPr="009E30D1">
        <w:rPr>
          <w:rFonts w:ascii="Adobe Caslon Pro" w:hAnsi="Adobe Caslon Pro"/>
          <w:b/>
        </w:rPr>
        <w:t>. Programa del Sistema Nacional de Formación Continua y Superación Profesional de Maestros de Educación Básica en Servicio.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3042"/>
        <w:gridCol w:w="3737"/>
      </w:tblGrid>
      <w:tr w:rsidR="005901E8" w:rsidRPr="009E30D1" w:rsidTr="00B41860">
        <w:tc>
          <w:tcPr>
            <w:tcW w:w="1256"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Dependencia</w:t>
            </w:r>
          </w:p>
        </w:tc>
        <w:tc>
          <w:tcPr>
            <w:tcW w:w="1680"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Población Objetivo</w:t>
            </w:r>
          </w:p>
        </w:tc>
        <w:tc>
          <w:tcPr>
            <w:tcW w:w="2064"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Vinculación</w:t>
            </w:r>
          </w:p>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(objetivo, línea de acción)</w:t>
            </w:r>
          </w:p>
        </w:tc>
      </w:tr>
      <w:tr w:rsidR="005901E8" w:rsidRPr="009E30D1" w:rsidTr="00B41860">
        <w:tc>
          <w:tcPr>
            <w:tcW w:w="1256" w:type="pct"/>
            <w:shd w:val="clear" w:color="auto" w:fill="auto"/>
            <w:vAlign w:val="center"/>
          </w:tcPr>
          <w:p w:rsidR="005901E8" w:rsidRPr="009E30D1" w:rsidRDefault="005901E8" w:rsidP="00B41860">
            <w:pPr>
              <w:pStyle w:val="Sinespaciado"/>
              <w:spacing w:after="120"/>
              <w:jc w:val="center"/>
              <w:rPr>
                <w:rFonts w:ascii="Adobe Caslon Pro" w:eastAsia="Calibri" w:hAnsi="Adobe Caslon Pro" w:cs="Times New Roman"/>
                <w:sz w:val="20"/>
                <w:lang w:eastAsia="en-US"/>
              </w:rPr>
            </w:pPr>
          </w:p>
          <w:p w:rsidR="005901E8" w:rsidRPr="009E30D1" w:rsidRDefault="005901E8" w:rsidP="00B41860">
            <w:pPr>
              <w:pStyle w:val="Sinespaciado"/>
              <w:spacing w:after="120"/>
              <w:jc w:val="center"/>
              <w:rPr>
                <w:rFonts w:ascii="Adobe Caslon Pro" w:eastAsia="Calibri" w:hAnsi="Adobe Caslon Pro" w:cs="Times New Roman"/>
                <w:sz w:val="20"/>
                <w:lang w:eastAsia="en-US"/>
              </w:rPr>
            </w:pPr>
          </w:p>
          <w:p w:rsidR="005901E8" w:rsidRPr="009E30D1" w:rsidRDefault="005D27BC"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Secretarí</w:t>
            </w:r>
            <w:r w:rsidR="005901E8" w:rsidRPr="009E30D1">
              <w:rPr>
                <w:rFonts w:ascii="Adobe Caslon Pro" w:eastAsia="Calibri" w:hAnsi="Adobe Caslon Pro" w:cs="Times New Roman"/>
                <w:sz w:val="20"/>
                <w:lang w:eastAsia="en-US"/>
              </w:rPr>
              <w:t>a de Educación Pública (SEP)</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p>
        </w:tc>
        <w:tc>
          <w:tcPr>
            <w:tcW w:w="1680"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Maestros frente a grupo, directivos, asesores técnico-pedagógicos e integrantes de los equipos técnicos estatales de formación continua.</w:t>
            </w:r>
          </w:p>
        </w:tc>
        <w:tc>
          <w:tcPr>
            <w:tcW w:w="2064"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 xml:space="preserve">Líneas de Acción (Actividad 2 de la MIR): </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Formación y/o profesionalización de figuras educativas de nivel básico en servicio en el Programa de Capacitación al Magisterio para Prevenir la Violencia hacia las Mujeres (PREVIOLEM).</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tc>
      </w:tr>
    </w:tbl>
    <w:p w:rsidR="005901E8" w:rsidRPr="009E30D1" w:rsidRDefault="005901E8" w:rsidP="005901E8">
      <w:pPr>
        <w:pStyle w:val="Prrafodelista"/>
        <w:spacing w:after="120" w:line="240" w:lineRule="auto"/>
        <w:ind w:left="0"/>
        <w:jc w:val="both"/>
        <w:rPr>
          <w:rFonts w:ascii="Adobe Caslon Pro" w:eastAsia="Calibri" w:hAnsi="Adobe Caslon Pro" w:cs="Times New Roman"/>
          <w:i/>
          <w:sz w:val="18"/>
          <w:szCs w:val="18"/>
        </w:rPr>
      </w:pPr>
      <w:r w:rsidRPr="009E30D1">
        <w:rPr>
          <w:rFonts w:ascii="Adobe Caslon Pro" w:eastAsia="Calibri" w:hAnsi="Adobe Caslon Pro" w:cs="Times New Roman"/>
          <w:i/>
          <w:sz w:val="18"/>
          <w:szCs w:val="18"/>
        </w:rPr>
        <w:t>Fuente: Elaboración propia a partir de información de los Programas.</w:t>
      </w:r>
    </w:p>
    <w:p w:rsidR="005901E8" w:rsidRPr="009E30D1" w:rsidRDefault="005901E8" w:rsidP="005901E8">
      <w:pPr>
        <w:pStyle w:val="Sinespaciado"/>
        <w:spacing w:after="120"/>
        <w:jc w:val="both"/>
        <w:rPr>
          <w:rFonts w:ascii="Adobe Caslon Pro" w:eastAsia="Calibri" w:hAnsi="Adobe Caslon Pro" w:cs="Times New Roman"/>
          <w:lang w:eastAsia="en-US"/>
        </w:rPr>
      </w:pPr>
    </w:p>
    <w:p w:rsidR="005901E8" w:rsidRPr="009E30D1" w:rsidRDefault="005901E8" w:rsidP="005901E8">
      <w:pPr>
        <w:pStyle w:val="Sinespaciado"/>
        <w:spacing w:after="120"/>
        <w:jc w:val="both"/>
        <w:rPr>
          <w:rFonts w:ascii="Adobe Caslon Pro" w:eastAsia="Calibri" w:hAnsi="Adobe Caslon Pro" w:cs="Times New Roman"/>
          <w:lang w:eastAsia="en-US"/>
        </w:rPr>
      </w:pPr>
      <w:r w:rsidRPr="009E30D1">
        <w:rPr>
          <w:rFonts w:ascii="Adobe Caslon Pro" w:eastAsia="Calibri" w:hAnsi="Adobe Caslon Pro" w:cs="Times New Roman"/>
          <w:lang w:eastAsia="en-US"/>
        </w:rPr>
        <w:t xml:space="preserve">El </w:t>
      </w:r>
      <w:r w:rsidRPr="009E30D1">
        <w:rPr>
          <w:rFonts w:ascii="Adobe Caslon Pro" w:eastAsia="Calibri" w:hAnsi="Adobe Caslon Pro" w:cs="Times New Roman"/>
          <w:i/>
          <w:lang w:eastAsia="en-US"/>
        </w:rPr>
        <w:t>Programa Prevención y atención de la violencia / Centro Nacional de Equidad de Género y Salud Reproductiva</w:t>
      </w:r>
      <w:r w:rsidRPr="009E30D1">
        <w:rPr>
          <w:rFonts w:ascii="Adobe Caslon Pro" w:eastAsia="Calibri" w:hAnsi="Adobe Caslon Pro" w:cs="Times New Roman"/>
          <w:lang w:eastAsia="en-US"/>
        </w:rPr>
        <w:t xml:space="preserve">, puede presentar complementariedad con el PAIMEF en cuanto a la atención de la violencia contra las mujeres, debido a que dentro de los objetivos específicos del Programa se encuentran acciones que puede desarrollar el PAIMEF. En este sentido, para lograr una efectiva complementariedad es necesario crear acuerdos de colaboración con el sector en salud a efecto de establecer un efectivo sistema de referencia y </w:t>
      </w:r>
      <w:proofErr w:type="spellStart"/>
      <w:r w:rsidRPr="009E30D1">
        <w:rPr>
          <w:rFonts w:ascii="Adobe Caslon Pro" w:eastAsia="Calibri" w:hAnsi="Adobe Caslon Pro" w:cs="Times New Roman"/>
          <w:lang w:eastAsia="en-US"/>
        </w:rPr>
        <w:t>contrarreferencia</w:t>
      </w:r>
      <w:proofErr w:type="spellEnd"/>
      <w:r w:rsidRPr="009E30D1">
        <w:rPr>
          <w:rFonts w:ascii="Adobe Caslon Pro" w:eastAsia="Calibri" w:hAnsi="Adobe Caslon Pro" w:cs="Times New Roman"/>
          <w:lang w:eastAsia="en-US"/>
        </w:rPr>
        <w:t xml:space="preserve"> de los casos de detección temprana de la violencia, así como de las mujeres que la viven actualmente, con el objeto de que reciban una atención integral y se les presten mayores opciones en materia de atención psicológica.</w:t>
      </w:r>
    </w:p>
    <w:p w:rsidR="005901E8" w:rsidRPr="009E30D1" w:rsidRDefault="00F50956" w:rsidP="005901E8">
      <w:pPr>
        <w:spacing w:after="120" w:line="240" w:lineRule="auto"/>
        <w:jc w:val="center"/>
        <w:rPr>
          <w:rFonts w:ascii="Adobe Caslon Pro" w:hAnsi="Adobe Caslon Pro"/>
          <w:b/>
        </w:rPr>
      </w:pPr>
      <w:r w:rsidRPr="009E30D1">
        <w:rPr>
          <w:rFonts w:ascii="Adobe Caslon Pro" w:hAnsi="Adobe Caslon Pro"/>
          <w:b/>
        </w:rPr>
        <w:t>Cuadro 21</w:t>
      </w:r>
      <w:r w:rsidR="005901E8" w:rsidRPr="009E30D1">
        <w:rPr>
          <w:rFonts w:ascii="Adobe Caslon Pro" w:hAnsi="Adobe Caslon Pro"/>
          <w:b/>
        </w:rPr>
        <w:t>. Prevención y atención de la violencia / Centro Nacional de Equidad de Género y Salud Reproductiva.</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119"/>
        <w:gridCol w:w="3687"/>
      </w:tblGrid>
      <w:tr w:rsidR="005901E8" w:rsidRPr="009E30D1" w:rsidTr="00B41860">
        <w:trPr>
          <w:tblHeader/>
        </w:trPr>
        <w:tc>
          <w:tcPr>
            <w:tcW w:w="1236"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Dependencia</w:t>
            </w:r>
          </w:p>
        </w:tc>
        <w:tc>
          <w:tcPr>
            <w:tcW w:w="1725"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Población Objetivo</w:t>
            </w:r>
          </w:p>
        </w:tc>
        <w:tc>
          <w:tcPr>
            <w:tcW w:w="2039" w:type="pct"/>
            <w:shd w:val="clear" w:color="auto" w:fill="A6A6A6"/>
            <w:vAlign w:val="center"/>
          </w:tcPr>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Vinculación</w:t>
            </w:r>
          </w:p>
          <w:p w:rsidR="005901E8" w:rsidRPr="009E30D1" w:rsidRDefault="005901E8" w:rsidP="00B41860">
            <w:pPr>
              <w:pStyle w:val="Sinespaciado"/>
              <w:spacing w:after="120"/>
              <w:jc w:val="center"/>
              <w:rPr>
                <w:rFonts w:ascii="Adobe Caslon Pro" w:eastAsia="Calibri" w:hAnsi="Adobe Caslon Pro" w:cs="Times New Roman"/>
                <w:b/>
                <w:sz w:val="20"/>
                <w:lang w:eastAsia="en-US"/>
              </w:rPr>
            </w:pPr>
            <w:r w:rsidRPr="009E30D1">
              <w:rPr>
                <w:rFonts w:ascii="Adobe Caslon Pro" w:eastAsia="Calibri" w:hAnsi="Adobe Caslon Pro" w:cs="Times New Roman"/>
                <w:b/>
                <w:sz w:val="20"/>
                <w:lang w:eastAsia="en-US"/>
              </w:rPr>
              <w:t>(objetivo, línea de acción)</w:t>
            </w:r>
          </w:p>
        </w:tc>
      </w:tr>
      <w:tr w:rsidR="005901E8" w:rsidRPr="009E30D1" w:rsidTr="00B41860">
        <w:tc>
          <w:tcPr>
            <w:tcW w:w="1236" w:type="pct"/>
            <w:shd w:val="clear" w:color="auto" w:fill="auto"/>
            <w:vAlign w:val="center"/>
          </w:tcPr>
          <w:p w:rsidR="005901E8" w:rsidRPr="009E30D1" w:rsidRDefault="005901E8" w:rsidP="00B41860">
            <w:pPr>
              <w:pStyle w:val="Sinespaciado"/>
              <w:spacing w:after="120"/>
              <w:jc w:val="center"/>
              <w:rPr>
                <w:rFonts w:ascii="Adobe Caslon Pro" w:eastAsia="Calibri" w:hAnsi="Adobe Caslon Pro" w:cs="Times New Roman"/>
                <w:sz w:val="20"/>
                <w:lang w:eastAsia="en-US"/>
              </w:rPr>
            </w:pPr>
          </w:p>
          <w:p w:rsidR="005901E8" w:rsidRPr="009E30D1" w:rsidRDefault="005901E8" w:rsidP="00B41860">
            <w:pPr>
              <w:pStyle w:val="Sinespaciado"/>
              <w:spacing w:after="120"/>
              <w:jc w:val="center"/>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D27BC"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Secretarí</w:t>
            </w:r>
            <w:r w:rsidR="005901E8" w:rsidRPr="009E30D1">
              <w:rPr>
                <w:rFonts w:ascii="Adobe Caslon Pro" w:eastAsia="Calibri" w:hAnsi="Adobe Caslon Pro" w:cs="Times New Roman"/>
                <w:sz w:val="20"/>
                <w:lang w:eastAsia="en-US"/>
              </w:rPr>
              <w:t xml:space="preserve">a de Salud </w:t>
            </w:r>
            <w:r w:rsidR="005901E8" w:rsidRPr="009E30D1">
              <w:rPr>
                <w:rFonts w:ascii="Adobe Caslon Pro" w:eastAsia="Calibri" w:hAnsi="Adobe Caslon Pro" w:cs="Times New Roman"/>
                <w:sz w:val="20"/>
                <w:lang w:eastAsia="en-US"/>
              </w:rPr>
              <w:lastRenderedPageBreak/>
              <w:t>(SSA).</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p>
        </w:tc>
        <w:tc>
          <w:tcPr>
            <w:tcW w:w="1725"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lastRenderedPageBreak/>
              <w:t>Mujeres en situación de violencia.</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tc>
        <w:tc>
          <w:tcPr>
            <w:tcW w:w="2039" w:type="pct"/>
            <w:shd w:val="clear" w:color="auto" w:fill="auto"/>
            <w:vAlign w:val="center"/>
          </w:tcPr>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 xml:space="preserve">Objetivo general: </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 xml:space="preserve">Reducir la prevalencia y severidad de los daños a la salud causados por la violencia contra las mujeres, con particular énfasis en </w:t>
            </w:r>
            <w:r w:rsidRPr="009E30D1">
              <w:rPr>
                <w:rFonts w:ascii="Adobe Caslon Pro" w:eastAsia="Calibri" w:hAnsi="Adobe Caslon Pro" w:cs="Times New Roman"/>
                <w:sz w:val="20"/>
                <w:lang w:eastAsia="en-US"/>
              </w:rPr>
              <w:lastRenderedPageBreak/>
              <w:t>aquéllas que se encuentran en situación de mayor riesgo o vulnerabilidad.</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Objetivos Específicos:</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1.</w:t>
            </w:r>
            <w:r w:rsidRPr="009E30D1">
              <w:rPr>
                <w:rFonts w:ascii="Adobe Caslon Pro" w:eastAsia="Calibri" w:hAnsi="Adobe Caslon Pro" w:cs="Times New Roman"/>
                <w:sz w:val="20"/>
                <w:lang w:eastAsia="en-US"/>
              </w:rPr>
              <w:tab/>
              <w:t>Promover la detección temprana de la violencia familiar y de género en las instituciones del Sistema Nacional de Salud, como un problema de salud que genera gran carga de enfermedad en las mujeres mayores de 15 años.</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2.</w:t>
            </w:r>
            <w:r w:rsidRPr="009E30D1">
              <w:rPr>
                <w:rFonts w:ascii="Adobe Caslon Pro" w:eastAsia="Calibri" w:hAnsi="Adobe Caslon Pro" w:cs="Times New Roman"/>
                <w:sz w:val="20"/>
                <w:lang w:eastAsia="en-US"/>
              </w:rPr>
              <w:tab/>
              <w:t>Garantizar a las mujeres el acceso oportuno a servicios de atención médica y psicológica especializada de las consecuencias de la violencia familiar o de género.</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3.</w:t>
            </w:r>
            <w:r w:rsidRPr="009E30D1">
              <w:rPr>
                <w:rFonts w:ascii="Adobe Caslon Pro" w:eastAsia="Calibri" w:hAnsi="Adobe Caslon Pro" w:cs="Times New Roman"/>
                <w:sz w:val="20"/>
                <w:lang w:eastAsia="en-US"/>
              </w:rPr>
              <w:tab/>
              <w:t>Contribuir a que las mujeres y sus hijos e hijas, en condiciones de violencia extrema, cuenten con espacios seguros que les brinden protección, atención médica, psicológica y orientación legal.</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4.</w:t>
            </w:r>
            <w:r w:rsidRPr="009E30D1">
              <w:rPr>
                <w:rFonts w:ascii="Adobe Caslon Pro" w:eastAsia="Calibri" w:hAnsi="Adobe Caslon Pro" w:cs="Times New Roman"/>
                <w:sz w:val="20"/>
                <w:lang w:eastAsia="en-US"/>
              </w:rPr>
              <w:tab/>
              <w:t>Contribuir desde el Sistema Nacional de Salud a la prevención de la violencia familiar y de género, así como a la promoción del derecho a una vida sin violencia como parte de los derechos humanos de las mujeres.</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p w:rsidR="005901E8" w:rsidRPr="009E30D1" w:rsidRDefault="005901E8" w:rsidP="00B41860">
            <w:pPr>
              <w:pStyle w:val="Sinespaciado"/>
              <w:spacing w:after="120"/>
              <w:jc w:val="both"/>
              <w:rPr>
                <w:rFonts w:ascii="Adobe Caslon Pro" w:eastAsia="Calibri" w:hAnsi="Adobe Caslon Pro" w:cs="Times New Roman"/>
                <w:sz w:val="20"/>
                <w:lang w:eastAsia="en-US"/>
              </w:rPr>
            </w:pPr>
            <w:r w:rsidRPr="009E30D1">
              <w:rPr>
                <w:rFonts w:ascii="Adobe Caslon Pro" w:eastAsia="Calibri" w:hAnsi="Adobe Caslon Pro" w:cs="Times New Roman"/>
                <w:sz w:val="20"/>
                <w:lang w:eastAsia="en-US"/>
              </w:rPr>
              <w:t>6.</w:t>
            </w:r>
            <w:r w:rsidRPr="009E30D1">
              <w:rPr>
                <w:rFonts w:ascii="Adobe Caslon Pro" w:eastAsia="Calibri" w:hAnsi="Adobe Caslon Pro" w:cs="Times New Roman"/>
                <w:sz w:val="20"/>
                <w:lang w:eastAsia="en-US"/>
              </w:rPr>
              <w:tab/>
              <w:t xml:space="preserve">Promover la atención integral, </w:t>
            </w:r>
            <w:r w:rsidRPr="009E30D1">
              <w:rPr>
                <w:rFonts w:ascii="Adobe Caslon Pro" w:eastAsia="Calibri" w:hAnsi="Adobe Caslon Pro" w:cs="Times New Roman"/>
                <w:sz w:val="20"/>
                <w:lang w:eastAsia="en-US"/>
              </w:rPr>
              <w:lastRenderedPageBreak/>
              <w:t xml:space="preserve">solidaria, con una perspectiva de género, respetuosa, multidisciplinaria e interinstitucional que evite la </w:t>
            </w:r>
            <w:proofErr w:type="spellStart"/>
            <w:r w:rsidRPr="009E30D1">
              <w:rPr>
                <w:rFonts w:ascii="Adobe Caslon Pro" w:eastAsia="Calibri" w:hAnsi="Adobe Caslon Pro" w:cs="Times New Roman"/>
                <w:sz w:val="20"/>
                <w:lang w:eastAsia="en-US"/>
              </w:rPr>
              <w:t>revictimización</w:t>
            </w:r>
            <w:proofErr w:type="spellEnd"/>
            <w:r w:rsidRPr="009E30D1">
              <w:rPr>
                <w:rFonts w:ascii="Adobe Caslon Pro" w:eastAsia="Calibri" w:hAnsi="Adobe Caslon Pro" w:cs="Times New Roman"/>
                <w:sz w:val="20"/>
                <w:lang w:eastAsia="en-US"/>
              </w:rPr>
              <w:t xml:space="preserve"> de las personas afectadas por la violencia familiar y de género.</w:t>
            </w:r>
          </w:p>
          <w:p w:rsidR="005901E8" w:rsidRPr="009E30D1" w:rsidRDefault="005901E8" w:rsidP="00B41860">
            <w:pPr>
              <w:pStyle w:val="Sinespaciado"/>
              <w:spacing w:after="120"/>
              <w:jc w:val="both"/>
              <w:rPr>
                <w:rFonts w:ascii="Adobe Caslon Pro" w:eastAsia="Calibri" w:hAnsi="Adobe Caslon Pro" w:cs="Times New Roman"/>
                <w:sz w:val="20"/>
                <w:lang w:eastAsia="en-US"/>
              </w:rPr>
            </w:pPr>
          </w:p>
        </w:tc>
      </w:tr>
    </w:tbl>
    <w:p w:rsidR="005901E8" w:rsidRPr="009E30D1" w:rsidRDefault="005901E8" w:rsidP="005901E8">
      <w:pPr>
        <w:pStyle w:val="Prrafodelista"/>
        <w:spacing w:after="120" w:line="240" w:lineRule="auto"/>
        <w:ind w:left="0"/>
        <w:jc w:val="both"/>
        <w:rPr>
          <w:rFonts w:ascii="Adobe Caslon Pro" w:eastAsia="Calibri" w:hAnsi="Adobe Caslon Pro" w:cs="Times New Roman"/>
          <w:i/>
          <w:sz w:val="18"/>
          <w:szCs w:val="18"/>
        </w:rPr>
      </w:pPr>
      <w:r w:rsidRPr="009E30D1">
        <w:rPr>
          <w:rFonts w:ascii="Adobe Caslon Pro" w:eastAsia="Calibri" w:hAnsi="Adobe Caslon Pro" w:cs="Times New Roman"/>
          <w:i/>
          <w:sz w:val="18"/>
          <w:szCs w:val="18"/>
        </w:rPr>
        <w:lastRenderedPageBreak/>
        <w:t>Fuente: Elaboración propia a partir de información de los Programas.</w:t>
      </w:r>
    </w:p>
    <w:p w:rsidR="005901E8" w:rsidRPr="009E30D1" w:rsidRDefault="005901E8" w:rsidP="005901E8">
      <w:pPr>
        <w:spacing w:after="120" w:line="240" w:lineRule="auto"/>
        <w:ind w:firstLine="709"/>
        <w:jc w:val="both"/>
        <w:rPr>
          <w:rFonts w:ascii="Adobe Caslon Pro" w:hAnsi="Adobe Caslon Pro"/>
        </w:rPr>
      </w:pPr>
      <w:r w:rsidRPr="009E30D1">
        <w:rPr>
          <w:rFonts w:ascii="Adobe Caslon Pro" w:hAnsi="Adobe Caslon Pro"/>
        </w:rPr>
        <w:t>c) Sinergia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El PAIMEF puede presentar sinergias con diversos programas de la Administración Pública Federal en cuanto que éstos contribuyen a la generación de factores de protección o disminución de riesgos, lo que a su vez contribuye en la disminución de la violencia a través de mecanismos de prevención y atención.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Las acciones o apoyos de estos programas no están orientados a la prevención, la atención o la sanción de la violencia contra las mujeres exclusivamente, sin embargo, pueden potenciar las acciones del PAIMEF. De esta manera los programas en materia educativa contribuyen al fortalecimiento de un factor de protección. Asimismo, los referentes a la salud, pueden contribuir a la detección temprana de la violencia, así como, al establecimiento de prevención secundaria, con el objeto de aminorar los efectos de la violencia contra las mujeres, los concernientes a sanción pueden ayudar al acceso a la justicia. Respecto a los determinantes económicos, éstos pueden favorecer la obtención de apoyos productivos y servicios financieros y no financieros dirigidos a mujeres que sufren violencia, a fin de contribuir a la independencia de las mismas. En el mismo sentido actúan los determinantes relacionados con la vivienda.</w:t>
      </w:r>
    </w:p>
    <w:p w:rsidR="005901E8" w:rsidRPr="009E30D1" w:rsidRDefault="005901E8" w:rsidP="005901E8">
      <w:pPr>
        <w:rPr>
          <w:rFonts w:ascii="Adobe Caslon Pro" w:eastAsiaTheme="majorEastAsia" w:hAnsi="Adobe Caslon Pro" w:cstheme="majorBidi"/>
          <w:b/>
          <w:bCs/>
          <w:color w:val="C00000"/>
          <w:sz w:val="28"/>
          <w:szCs w:val="26"/>
        </w:rPr>
      </w:pPr>
      <w:r w:rsidRPr="009E30D1">
        <w:br w:type="page"/>
      </w:r>
    </w:p>
    <w:p w:rsidR="005901E8" w:rsidRPr="009E30D1" w:rsidRDefault="005901E8" w:rsidP="005901E8">
      <w:pPr>
        <w:pStyle w:val="Ttulo2"/>
        <w:spacing w:before="0" w:after="120"/>
      </w:pPr>
    </w:p>
    <w:p w:rsidR="005901E8" w:rsidRPr="009E30D1" w:rsidRDefault="005901E8" w:rsidP="005901E8">
      <w:pPr>
        <w:pStyle w:val="Ttulo2"/>
        <w:spacing w:before="0" w:after="120"/>
        <w:rPr>
          <w:rFonts w:eastAsia="Calibri"/>
        </w:rPr>
      </w:pPr>
      <w:bookmarkStart w:id="68" w:name="_Toc391883391"/>
      <w:r w:rsidRPr="009E30D1">
        <w:rPr>
          <w:rFonts w:eastAsia="Calibri"/>
        </w:rPr>
        <w:t>3.3 Marco de actuación de la propuesta</w:t>
      </w:r>
      <w:bookmarkEnd w:id="68"/>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definición de objetivos, que supone la reversión del árbol de problemas sobre los altos niveles de violencia que padecen las mujeres, encuentra consistencia con los compromisos internacionales que ha suscrito el Estado Mexicano para generar condiciones que permitan a las mexicanas conocer, exigir y ejercer sus derechos humanos, contar con alternativas institucionales de prevención, atención, sanción de la violencia por cuestiones de género que en suma contribuyen a la construcción de una sociedad igualitaria.</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En principio habría que señalar que uno de los principales mecanismos internacionales que releva la necesidad de articular una respuesta gubernamental al rezago que históricamente han padecido las mujeres por el simple hecho de serlo es la Convención sobre la Eliminación de Todas las Formas de Discriminación Contra la Mujer, CEDAW, por sus siglas en inglés, que fue adoptada el 18 de diciembre de 1979 en la Asamblea General de la Organización de las Naciones Unidas. Su importancia radica en que es el único instrumento, legalmente vinculante, que está enfocado específicamente a combatir la discriminación contra las mujeres.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CEDAW, compromete a los Estados a adoptar políticas públicas y medidas legislativas enfocadas a las distintas realidades de la vida de las mujeres, para eliminar la discriminación persistente en contra de ellas en todas sus formas y manifestaciones, haciendo uso, cuando sea necesario, del recurso de la acción afirmativa. Más importante aún, con la CEDAW los países reconocen que la igualdad jurídica no conlleva necesariamente la igualdad material de derechos si ésta no se traduce en la creación de condiciones que faciliten el acceso y ejercicio igualitario de dichos derechos por parte de hombres y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 partir de este mecanismo las distintas conferencias y convenciones internacionales se han alineado para cumplimentar con este mandato, toda vez que los planteamientos de este documento son genéricos respecto a la enunciación de las acciones que los Estados parte deben emprender para tomar en todas las esferas, y en particular en las esferas política, social, económica y cultural,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Al ser un problema multidimensional y multifactorial, la violencia contra las mujeres ha sido problematizado a nivel internacional como una situación que se debe abordar en diferentes niveles y desde distintos sectores de actuación pública. Si bien existe una amplia disertación sobre cómo abordar y resolver este problema, también es cierto que hay un consenso generalizado sobre estos </w:t>
      </w:r>
      <w:r w:rsidRPr="009E30D1">
        <w:rPr>
          <w:rFonts w:ascii="Adobe Caslon Pro" w:hAnsi="Adobe Caslon Pro"/>
        </w:rPr>
        <w:lastRenderedPageBreak/>
        <w:t>niveles o ámbitos que permitirían la definición de tareas institucionales por ámbitos de competencia y de responsabilidad:</w:t>
      </w:r>
    </w:p>
    <w:p w:rsidR="005901E8" w:rsidRPr="009E30D1" w:rsidRDefault="005901E8" w:rsidP="005901E8">
      <w:pPr>
        <w:pStyle w:val="Prrafodelista"/>
        <w:numPr>
          <w:ilvl w:val="0"/>
          <w:numId w:val="9"/>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La Prevención,</w:t>
      </w:r>
    </w:p>
    <w:p w:rsidR="005901E8" w:rsidRPr="009E30D1" w:rsidRDefault="005901E8" w:rsidP="005901E8">
      <w:pPr>
        <w:pStyle w:val="Prrafodelista"/>
        <w:numPr>
          <w:ilvl w:val="0"/>
          <w:numId w:val="9"/>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La Atención,</w:t>
      </w:r>
    </w:p>
    <w:p w:rsidR="005901E8" w:rsidRPr="009E30D1" w:rsidRDefault="005901E8" w:rsidP="005901E8">
      <w:pPr>
        <w:pStyle w:val="Prrafodelista"/>
        <w:numPr>
          <w:ilvl w:val="0"/>
          <w:numId w:val="9"/>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La Sanción y</w:t>
      </w:r>
    </w:p>
    <w:p w:rsidR="005901E8" w:rsidRPr="009E30D1" w:rsidRDefault="005901E8" w:rsidP="005901E8">
      <w:pPr>
        <w:pStyle w:val="Prrafodelista"/>
        <w:numPr>
          <w:ilvl w:val="0"/>
          <w:numId w:val="9"/>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La Erradicación</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Para efectos del presente documento, se plantea el corpus normativo que desde la perspectiva sectorial alude a los objetivos identificados, y en la cual deberán estar inmersas todas las acciones y estrategias de política social en materia de prevención, atención y sanción de la violencia contra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De tal manera que la Convención Interamericana para Prevenir, Sancionar y Erradicar la Violencia contra la Mujer o Convención de Belem do Pará (1994), establece como una de las obligaciones de los estados parte garantizar la investigación y recopilación de estadísticas y demás información pertinente sobre las causas, consecuencias y frecuencia de la violencia contra la mujer, con el fin de evaluar la eficacia de las medidas para prevenir, sancionar y eliminar la violencia contra la mujer y de formular y aplicar los cambios que sean necesarios. En ese mismo tenor esta Convención establece que los estados parte están obligados, entre otras acciones, a:</w:t>
      </w:r>
    </w:p>
    <w:p w:rsidR="005901E8" w:rsidRPr="009E30D1" w:rsidRDefault="005901E8" w:rsidP="005901E8">
      <w:pPr>
        <w:pStyle w:val="Prrafodelista"/>
        <w:numPr>
          <w:ilvl w:val="0"/>
          <w:numId w:val="8"/>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 xml:space="preserve">Fomentar el conocimiento y la observancia del derecho de la mujer a una vida libre de violencia, y el derecho de la mujer a que se respeten y protejan sus derechos humanos; </w:t>
      </w:r>
    </w:p>
    <w:p w:rsidR="005901E8" w:rsidRPr="009E30D1" w:rsidRDefault="005901E8" w:rsidP="005901E8">
      <w:pPr>
        <w:pStyle w:val="Prrafodelista"/>
        <w:numPr>
          <w:ilvl w:val="0"/>
          <w:numId w:val="8"/>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 xml:space="preserve">Modificar los patrones socioculturales de conducta de hombres y mujeres, incluyendo el diseño de programas de educación formales y no formales apropiados a todo nivel del proceso educativo, para contrarrestar prejuicios y costumbres y todo otro tipo de prácticas que se basen en la premisa de la inferioridad o superioridad de cualquiera de los géneros o en los papeles estereotipados para el hombre y la mujer que </w:t>
      </w:r>
      <w:proofErr w:type="spellStart"/>
      <w:r w:rsidRPr="009E30D1">
        <w:rPr>
          <w:rFonts w:ascii="Adobe Caslon Pro" w:eastAsia="Calibri" w:hAnsi="Adobe Caslon Pro" w:cs="Times New Roman"/>
        </w:rPr>
        <w:t>legitimizan</w:t>
      </w:r>
      <w:proofErr w:type="spellEnd"/>
      <w:r w:rsidRPr="009E30D1">
        <w:rPr>
          <w:rFonts w:ascii="Adobe Caslon Pro" w:eastAsia="Calibri" w:hAnsi="Adobe Caslon Pro" w:cs="Times New Roman"/>
        </w:rPr>
        <w:t xml:space="preserve"> o exacerban la violencia contra la mujer; </w:t>
      </w:r>
    </w:p>
    <w:p w:rsidR="005901E8" w:rsidRPr="009E30D1" w:rsidRDefault="005901E8" w:rsidP="005901E8">
      <w:pPr>
        <w:pStyle w:val="Prrafodelista"/>
        <w:numPr>
          <w:ilvl w:val="0"/>
          <w:numId w:val="8"/>
        </w:numPr>
        <w:spacing w:after="120" w:line="240" w:lineRule="auto"/>
        <w:jc w:val="both"/>
        <w:rPr>
          <w:rFonts w:ascii="Adobe Caslon Pro" w:eastAsia="Calibri" w:hAnsi="Adobe Caslon Pro" w:cs="Times New Roman"/>
        </w:rPr>
      </w:pPr>
      <w:r w:rsidRPr="009E30D1">
        <w:rPr>
          <w:rFonts w:ascii="Adobe Caslon Pro" w:eastAsia="Calibri" w:hAnsi="Adobe Caslon Pro" w:cs="Times New Roman"/>
        </w:rPr>
        <w:t>Fomentar la educación y capacitación del personal a cuyo cargo esté la aplicación de las políticas de prevención, sanción y eliminación de la violencia contra la mujer;</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Además de las acciones de prevención y fortalecimiento institucional enunciadas, esta misma Convención establece que los estados parte deberán suministrar los servicios especializados apropiados para la atención necesaria a la mujer objeto de violencia, por medio de entidades de los sectores público y privado, inclusive refugios, servicios de orientación para toda la familia, cuando sea del caso, y cuidado y custodia de los menores afectados, así como ofrecer a la mujer objeto de violencia acceso a programas eficaces de rehabilitación y capacitación que le permitan participar plenamente en la vida pública, privada y social.</w:t>
      </w:r>
    </w:p>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Otro mecanismo internacional creado para impulsar las acciones para el adelanto de la mujer es la Declaración y Plataforma de Beijing (Cuarta Conferencia Mundial sobre la Mujer, 1995), este instrumento señala, en el objetivo Estratégico “La violencia contra la Mujer”, que se deben adoptar medidas integrales para prevenir y eliminar la violencia contra las mujeres. Estudiar las causas y las consecuencias de la violencia contra las mujeres y la eficacia de las medidas de prevención, así como, eliminar la trata de mujeres y prestar asistencia a las víctimas de la violencia. En tal sentido, la misma plataforma prevé que los estados parte deberán crear mecanismos institucionales, o reforzar los existentes, a fin de que las mujeres y las niñas puedan dar parte de los actos de violencia cometidos contra ellas e interponer denuncias al respecto en condiciones de seguridad y confidencialidad, y sin temor a castigos o represalias.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Respecto a las acciones de prevención, este mecanismo establece las obligaciones de los gobiernos locales son, entre otras, organizar, apoyar y financiar campañas de educación y capacitación de las comunidades encaminadas a despertar la conciencia de que la violencia contra la mujer constituye una violación de sus derechos humanos y alentar en las comunidades locales el empleo de métodos tradicionales e innovadores apropiados de resolución de conflictos que tengan en cuenta el género; Organizar y financiar campañas de información y programas de educación y capacitación a fin de sensibilizar a las niñas y los varones, a las mujeres y los hombres, acerca de los efectos personales y sociales negativos de la violencia en la familia, la comunidad y la sociedad; enseñarles a comunicarse sin violencia; y fomentar la instrucción de las víctimas y de las víctimas potenciales de modo que puedan protegerse y proteger a otros de esas formas de violencia, así como difundir información sobre la asistencia de que disponen las mujeres y las familias que son víctimas de la violencia. Por último, en materia de atención directa especializada, la Plataforma de Beijing señala que los gobiernos locales de los estados parte deberán establecer centros de acogida y servicios de apoyo dotados de los recursos necesarios para auxiliar a las niñas y mujeres víctimas de la violencia y prestarles servicios médicos, psicológicos y de asesoramiento, así como asesoramiento letrado a título gratuito o de bajo costo, cuando sea necesario, además de la asistencia que corresponda para ayudarles a encontrar medios de vida suficientes.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Por otro lado, la Asamblea General de las Naciones Unidas aprobó la Declaración del Milenio que contiene una serie de compromisos que los estados parte tienen que asumir frente al conjunto de temas que, por consenso general, resultan prioritarios y de responsabilidad global. En este sentido, y a propósito del abordaje de la violencia contra las mujeres, destacan entre los principios que se plantea esta declaratoria los de Libertad e Igualdad toda vez que suponen que los hombres y las mujeres tienen derecho a vivir su vida y a criar a sus hijos con dignidad y libres del hambre y del temor a la violencia, la opresión o la injusticia y que no debe negarse a ninguna persona ni a ninguna </w:t>
      </w:r>
      <w:r w:rsidRPr="009E30D1">
        <w:rPr>
          <w:rFonts w:ascii="Adobe Caslon Pro" w:hAnsi="Adobe Caslon Pro"/>
        </w:rPr>
        <w:lastRenderedPageBreak/>
        <w:t>nación la posibilidad de beneficiarse del desarrollo. Debe garantizarse la igualdad de derechos y oportunidades de hombres y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Para ello, esta declaración establece ocho objetivos de desarrollo humano también conocidos como los Objetivos del Milenio. Es así que se puede señalar que las acciones de prevención y atención de la violencia contra las mujeres contribuyen al cumplimiento del objetivo sobre Desarrollo y la erradicación de la pobreza, en razón de que entre las acciones que contribuirán a su cumplimiento se plantea la promoción de la igualdad entre los sexos y la autonomía de la mujer como medios eficaces de combatir la pobreza, el hambre y las enfermedades y de estimular un desarrollo verdaderamente sostenible. Toda vez que la pobreza profundiza las brechas de desigualdad entre mujeres y hombres, reduce las posibilidades de desarrollo de las mujeres y es una grave violación a sus derechos. En ese mismo sentido, en el cuerpo de compromisos relativos a los Derechos humanos, democracia y buen gobierno se establece como una de las acciones a realizar, para alcanzar este objetivo, es el de luchar contra todas las formas de violencia contra la mujer y aplicar la Convención sobre la eliminación de todas las formas de discriminación contra la mujer.</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En el caso de la legislación mexicana, la primera referencia sobre los compromisos en materia de derechos humanos de las mujeres se encuentra en los artículos 1 y 4 de Constitución Política de los Estados Unidos Mexicanos. Estos artículos tuvieron reformas significativas en la materia en 2011, con las cuales se releva el papel del Estado como principal garante del ejercicio de los derechos que en sí misma consagra la carta magna. Es por ello que artículo 1 además de reconocer que todas los derechos humanos de todas las personas, prescribe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En consecuencia, la legislación nacional tiene como fundamento la Ley General de Acceso de las Mujeres a una Vida Libre de Violencia (2007), la cual desprende dos de los principales mecanismos con los que cuenta el Estado Mexicano en este tema: el Programa Integral y el Sistema Nacional, ambos, para Prevenir, Atender, Sancionar y Erradicar la Violencia contra las Mujeres.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Ahora bien, de acuerdo con el marco constitucional y legal, le corresponde al Estado la rectoría del desarrollo nacional, para garantizar que éste sea integral y sustentable, fortalezca la soberanía de la Nación y su régimen democrático, así como para que mediante el fomento del crecimiento económico y el empleo, mejore la equidad social y el bienestar de las familias mexicanas. Por lo cual, el Plan Nacional de Desarrollo 2013-2018 (PND), al que se sujetan obligatoriamente las dependencias y entidades de la Administración Pública Federal, es la base para la elaboración de los </w:t>
      </w:r>
      <w:r w:rsidRPr="009E30D1">
        <w:rPr>
          <w:rFonts w:ascii="Adobe Caslon Pro" w:hAnsi="Adobe Caslon Pro"/>
        </w:rPr>
        <w:lastRenderedPageBreak/>
        <w:t>programas necesarios para dar cumplimiento a los objetivos y metas establecidos para la presente Administración.</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En ese sentido, el PND destaca que la discriminación que padecen las mujeres, entre otros sectores de la población, ha dado lugar a una situación de indefensión, de abandono y de incapacidad para exigir sus derechos, satisfacer sus necesidades o para hacer frente a los problemas cotidianos, asimismo señala que:</w:t>
      </w:r>
    </w:p>
    <w:p w:rsidR="005901E8" w:rsidRPr="009E30D1" w:rsidRDefault="005901E8" w:rsidP="005901E8">
      <w:pPr>
        <w:spacing w:after="120" w:line="240" w:lineRule="auto"/>
        <w:ind w:left="708"/>
        <w:jc w:val="both"/>
        <w:rPr>
          <w:rFonts w:ascii="Adobe Caslon Pro" w:hAnsi="Adobe Caslon Pro"/>
          <w:sz w:val="20"/>
        </w:rPr>
      </w:pPr>
      <w:r w:rsidRPr="009E30D1">
        <w:rPr>
          <w:rFonts w:ascii="Adobe Caslon Pro" w:hAnsi="Adobe Caslon Pro"/>
          <w:sz w:val="20"/>
        </w:rPr>
        <w:t>La discriminación, intolerancia y exclusión social que enfrentan estos sectores de la población mexicana constituyen uno de los mayores desafíos para la presente Administración. De ahí el imperativo de generar políticas públicas para corregir desigualdades, dar poder a quienes no lo tienen y crear una auténtica sociedad de derechos y de igualdad de oportunidades. El 30% de los participantes de la Consulta Ciudadana consideró que la prioridad para mejorar la calidad de vida en México debe ser la igualdad de oportunidades. (PND 2013-2018)</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 esto obedece que el PND tenga como uno de sus ejes transversales la igualdad sustantiva de género, porque sin la participación plena de las mujeres, quienes representan la mitad de la población, en todos los ámbitos de la vida nacional, México sería una democracia incompleta y enfrentaría fuertes barreras en su desarrollo económico, político y social.</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Por otro lado, el Programa Sectorial de Desarrollo Social 2013-2018 recupera las aspiraciones enunciadas en el PND respecto a la necesidad de alcanzar una sociedad igualitaria, para lo cual no sólo se debe garantizar el ejercicio de los derechos de todas las personas, sino que es necesario generar acciones afirmativas para que las personas pertenecientes a grupos históricamente discriminados, como las mujeres, tengan un acceso efectivo a las mismas oportunidades de desarrollo económico y social respecto a las que tiene el resto de la población. Esto significa que:</w:t>
      </w:r>
    </w:p>
    <w:p w:rsidR="005901E8" w:rsidRPr="009E30D1" w:rsidRDefault="005901E8" w:rsidP="005901E8">
      <w:pPr>
        <w:spacing w:after="120" w:line="240" w:lineRule="auto"/>
        <w:ind w:left="708"/>
        <w:jc w:val="both"/>
        <w:rPr>
          <w:rFonts w:ascii="Adobe Caslon Pro" w:hAnsi="Adobe Caslon Pro"/>
          <w:sz w:val="20"/>
        </w:rPr>
      </w:pPr>
      <w:r w:rsidRPr="009E30D1">
        <w:rPr>
          <w:rFonts w:ascii="Adobe Caslon Pro" w:hAnsi="Adobe Caslon Pro"/>
          <w:sz w:val="20"/>
        </w:rPr>
        <w:t>(…) el Estado debe implementar acciones específicas que permitan dar un impulso en materia de educación, empleo, salud, participación social, prevención y atención de la violencia, para que personas jóvenes, adultas mayores, con discapacidad y en situación de violencia de género gocen de todos sus derechos sin obstáculos. Por lo anterior, es fundamental que además de dichas acciones afirmativas, las instituciones de todos los poderes y órdenes de gobierno adopten y ejecuten una visión de igualdad y no discriminación, a través de la cual se eliminen las barreras en el ejercicio de los derechos y se dé impulso a ciertos sectores de la población para eliminar también cualquier tipo de desventaja creada por pertenecer a un cierto ciclo de vida, género, condición de discapacidad o cualquier otra característica personal o de grupo (PSDS 2013-2018).</w:t>
      </w:r>
    </w:p>
    <w:p w:rsidR="005901E8" w:rsidRPr="009E30D1" w:rsidRDefault="005901E8" w:rsidP="005901E8">
      <w:pPr>
        <w:spacing w:after="120" w:line="240" w:lineRule="auto"/>
        <w:ind w:left="708"/>
        <w:jc w:val="both"/>
        <w:rPr>
          <w:rFonts w:ascii="Adobe Caslon Pro" w:hAnsi="Adobe Caslon Pro"/>
        </w:r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Para alcanzar estos propósitos, el PSDS también prevé que la Secretaría de Desarrollo Social (SEDESOL), de conformidad con este programa sectorial y las disposiciones jurídicas aplicables, elaborará sus respectivos programas y anteproyectos de presupuesto. Para lo cual se debe considerar </w:t>
      </w:r>
      <w:r w:rsidRPr="009E30D1">
        <w:rPr>
          <w:rFonts w:ascii="Adobe Caslon Pro" w:hAnsi="Adobe Caslon Pro"/>
        </w:rPr>
        <w:lastRenderedPageBreak/>
        <w:t xml:space="preserve">las responsabilidades, atribuciones y competencias de la SEDESOL que tanto el marco normativo como los documentos de planeación-programación, de las acciones en materia de desarrollo social, estén orientadas al abordaje de la violencia contra las mujeres. </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A continuación se presenta un esquema que recoge otras disposiciones en la materia:</w:t>
      </w:r>
    </w:p>
    <w:tbl>
      <w:tblPr>
        <w:tblStyle w:val="Sombreadoclaro-nfasis5"/>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50"/>
        <w:gridCol w:w="7104"/>
      </w:tblGrid>
      <w:tr w:rsidR="005901E8" w:rsidRPr="009E30D1" w:rsidTr="00B418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7"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5901E8" w:rsidRPr="009E30D1" w:rsidRDefault="005901E8" w:rsidP="00B41860">
            <w:pPr>
              <w:spacing w:after="120"/>
              <w:jc w:val="center"/>
              <w:rPr>
                <w:rFonts w:ascii="Adobe Caslon Pro" w:hAnsi="Adobe Caslon Pro"/>
                <w:bCs w:val="0"/>
                <w:color w:val="auto"/>
                <w:sz w:val="20"/>
              </w:rPr>
            </w:pPr>
            <w:r w:rsidRPr="009E30D1">
              <w:rPr>
                <w:rFonts w:ascii="Adobe Caslon Pro" w:hAnsi="Adobe Caslon Pro"/>
                <w:bCs w:val="0"/>
                <w:color w:val="auto"/>
                <w:sz w:val="20"/>
              </w:rPr>
              <w:t>Documento de referencia</w:t>
            </w:r>
          </w:p>
        </w:tc>
        <w:tc>
          <w:tcPr>
            <w:tcW w:w="3923"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5901E8" w:rsidRPr="009E30D1" w:rsidRDefault="005901E8" w:rsidP="00B41860">
            <w:pPr>
              <w:spacing w:after="120"/>
              <w:jc w:val="center"/>
              <w:cnfStyle w:val="100000000000" w:firstRow="1" w:lastRow="0" w:firstColumn="0" w:lastColumn="0" w:oddVBand="0" w:evenVBand="0" w:oddHBand="0" w:evenHBand="0" w:firstRowFirstColumn="0" w:firstRowLastColumn="0" w:lastRowFirstColumn="0" w:lastRowLastColumn="0"/>
              <w:rPr>
                <w:rFonts w:ascii="Adobe Caslon Pro" w:hAnsi="Adobe Caslon Pro"/>
                <w:bCs w:val="0"/>
                <w:color w:val="auto"/>
                <w:sz w:val="20"/>
              </w:rPr>
            </w:pPr>
            <w:r w:rsidRPr="009E30D1">
              <w:rPr>
                <w:rFonts w:ascii="Adobe Caslon Pro" w:hAnsi="Adobe Caslon Pro"/>
                <w:bCs w:val="0"/>
                <w:color w:val="auto"/>
                <w:sz w:val="20"/>
              </w:rPr>
              <w:t>Disposición</w:t>
            </w:r>
          </w:p>
        </w:tc>
      </w:tr>
      <w:tr w:rsidR="005901E8" w:rsidRPr="009E30D1" w:rsidTr="00B41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Borders>
              <w:left w:val="none" w:sz="0" w:space="0" w:color="auto"/>
              <w:right w:val="none" w:sz="0" w:space="0" w:color="auto"/>
            </w:tcBorders>
            <w:shd w:val="clear" w:color="auto" w:fill="auto"/>
            <w:vAlign w:val="center"/>
          </w:tcPr>
          <w:p w:rsidR="005901E8" w:rsidRPr="009E30D1" w:rsidRDefault="005901E8" w:rsidP="00B41860">
            <w:pPr>
              <w:spacing w:after="120"/>
              <w:jc w:val="center"/>
              <w:rPr>
                <w:rFonts w:ascii="Adobe Caslon Pro" w:hAnsi="Adobe Caslon Pro"/>
                <w:b w:val="0"/>
                <w:bCs w:val="0"/>
                <w:color w:val="auto"/>
                <w:sz w:val="20"/>
              </w:rPr>
            </w:pPr>
            <w:r w:rsidRPr="009E30D1">
              <w:rPr>
                <w:rFonts w:ascii="Adobe Caslon Pro" w:hAnsi="Adobe Caslon Pro"/>
                <w:b w:val="0"/>
                <w:bCs w:val="0"/>
                <w:color w:val="auto"/>
                <w:sz w:val="20"/>
              </w:rPr>
              <w:t>Ley General de Acceso de las Mujeres a una Vida Libre de Violencia</w:t>
            </w:r>
          </w:p>
        </w:tc>
        <w:tc>
          <w:tcPr>
            <w:tcW w:w="3923" w:type="pct"/>
            <w:tcBorders>
              <w:left w:val="none" w:sz="0" w:space="0" w:color="auto"/>
              <w:right w:val="none" w:sz="0" w:space="0" w:color="auto"/>
            </w:tcBorders>
            <w:shd w:val="clear" w:color="auto" w:fill="auto"/>
          </w:tcPr>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Artículo 43.- Corresponde a la Secretaría de Desarrollo Social:</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I. Fomentar el desarrollo social desde la visión de protección integral de los derechos humanos de las mujeres con perspectiva de género, para garantizarles una vida libre de violencia;</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II. Coadyuvar en la promoción de los Derechos Humanos de las Mujeres;</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III. Formular la política de desarrollo social del estado considerando el adelanto de las mujeres y su plena participación en todos los ámbitos de la vida;</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IV. Realizar acciones tendientes a mejorar las condiciones de las mujeres y sus familias que se encuentren en situación de exclusión y de pobreza;</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V. Promover políticas de igualdad de condiciones y oportunidades entre mujeres y hombres, para lograr el adelanto de las mujeres para su empoderamiento y la eliminación de las brechas y desventajas de género;</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VI. Promover políticas de prevención y atención de la violencia contra las mujeres;</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VII. Establecer, utilizar, supervisar y mantener todos los instrumentos y acciones encaminados al mejoramiento del Sistema y del Programa;</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VIII. Celebrar convenios de cooperación, coordinación y concertación en la materia, y</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IX. Las demás previstas para el cumplimiento de la presente ley.</w:t>
            </w:r>
          </w:p>
        </w:tc>
      </w:tr>
      <w:tr w:rsidR="005901E8" w:rsidRPr="009E30D1" w:rsidTr="00B41860">
        <w:tc>
          <w:tcPr>
            <w:cnfStyle w:val="001000000000" w:firstRow="0" w:lastRow="0" w:firstColumn="1" w:lastColumn="0" w:oddVBand="0" w:evenVBand="0" w:oddHBand="0" w:evenHBand="0" w:firstRowFirstColumn="0" w:firstRowLastColumn="0" w:lastRowFirstColumn="0" w:lastRowLastColumn="0"/>
            <w:tcW w:w="1077" w:type="pct"/>
            <w:shd w:val="clear" w:color="auto" w:fill="auto"/>
            <w:vAlign w:val="center"/>
          </w:tcPr>
          <w:p w:rsidR="005901E8" w:rsidRPr="009E30D1" w:rsidRDefault="005901E8" w:rsidP="00B41860">
            <w:pPr>
              <w:spacing w:after="120"/>
              <w:jc w:val="center"/>
              <w:rPr>
                <w:rFonts w:ascii="Adobe Caslon Pro" w:hAnsi="Adobe Caslon Pro"/>
                <w:b w:val="0"/>
                <w:bCs w:val="0"/>
                <w:color w:val="auto"/>
                <w:sz w:val="20"/>
              </w:rPr>
            </w:pPr>
            <w:r w:rsidRPr="009E30D1">
              <w:rPr>
                <w:rFonts w:ascii="Adobe Caslon Pro" w:hAnsi="Adobe Caslon Pro"/>
                <w:b w:val="0"/>
                <w:bCs w:val="0"/>
                <w:color w:val="auto"/>
                <w:sz w:val="20"/>
              </w:rPr>
              <w:t>Programa Nacional para la Igualdad de Oportunidades y no Discriminación contra las Mujeres 2013-2018</w:t>
            </w:r>
          </w:p>
        </w:tc>
        <w:tc>
          <w:tcPr>
            <w:tcW w:w="3923" w:type="pct"/>
            <w:shd w:val="clear" w:color="auto" w:fill="auto"/>
          </w:tcPr>
          <w:p w:rsidR="005901E8" w:rsidRPr="009E30D1" w:rsidRDefault="005901E8" w:rsidP="00B41860">
            <w:pPr>
              <w:spacing w:after="120"/>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Objetivo transversal 2: Prevenir, atender, sancionar y erradicar la violencia contra mujeres y niñas, y garantizarles acceso a una justicia efectiva.</w:t>
            </w:r>
          </w:p>
          <w:p w:rsidR="005901E8" w:rsidRPr="009E30D1" w:rsidRDefault="005901E8" w:rsidP="00B41860">
            <w:pPr>
              <w:spacing w:after="120"/>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(La SEDESOL es enunciada en las líneas de acción en las siguientes estrategias)</w:t>
            </w:r>
          </w:p>
          <w:p w:rsidR="005901E8" w:rsidRPr="009E30D1" w:rsidRDefault="005901E8" w:rsidP="00B41860">
            <w:pPr>
              <w:spacing w:after="120"/>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Estrategia 2.3 Fortalecer los servicios de atención a las mujeres y niñas en todos los tipos y modalidades de violencia</w:t>
            </w:r>
          </w:p>
          <w:p w:rsidR="005901E8" w:rsidRPr="009E30D1" w:rsidRDefault="005901E8" w:rsidP="00B41860">
            <w:pPr>
              <w:spacing w:after="120"/>
              <w:jc w:val="both"/>
              <w:cnfStyle w:val="000000000000" w:firstRow="0" w:lastRow="0" w:firstColumn="0" w:lastColumn="0" w:oddVBand="0" w:evenVBand="0" w:oddHBand="0"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 xml:space="preserve">Estrategia 2.4 Garantizar una vida libre de violencia a mujeres, niñas, indígenas, discapacitadas, migrantes internas, </w:t>
            </w:r>
            <w:proofErr w:type="spellStart"/>
            <w:r w:rsidRPr="009E30D1">
              <w:rPr>
                <w:rFonts w:ascii="Adobe Caslon Pro" w:hAnsi="Adobe Caslon Pro"/>
                <w:color w:val="auto"/>
                <w:sz w:val="20"/>
              </w:rPr>
              <w:t>transmigrantes</w:t>
            </w:r>
            <w:proofErr w:type="spellEnd"/>
            <w:r w:rsidRPr="009E30D1">
              <w:rPr>
                <w:rFonts w:ascii="Adobe Caslon Pro" w:hAnsi="Adobe Caslon Pro"/>
                <w:color w:val="auto"/>
                <w:sz w:val="20"/>
              </w:rPr>
              <w:t xml:space="preserve"> y jornaleras</w:t>
            </w:r>
          </w:p>
        </w:tc>
      </w:tr>
      <w:tr w:rsidR="005901E8" w:rsidRPr="009E30D1" w:rsidTr="00B41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Borders>
              <w:left w:val="none" w:sz="0" w:space="0" w:color="auto"/>
              <w:right w:val="none" w:sz="0" w:space="0" w:color="auto"/>
            </w:tcBorders>
            <w:shd w:val="clear" w:color="auto" w:fill="auto"/>
            <w:vAlign w:val="center"/>
          </w:tcPr>
          <w:p w:rsidR="005901E8" w:rsidRPr="009E30D1" w:rsidRDefault="005901E8" w:rsidP="00B41860">
            <w:pPr>
              <w:spacing w:after="120"/>
              <w:jc w:val="center"/>
              <w:rPr>
                <w:rFonts w:ascii="Adobe Caslon Pro" w:hAnsi="Adobe Caslon Pro"/>
                <w:b w:val="0"/>
                <w:bCs w:val="0"/>
                <w:color w:val="auto"/>
                <w:sz w:val="20"/>
              </w:rPr>
            </w:pPr>
            <w:r w:rsidRPr="009E30D1">
              <w:rPr>
                <w:rFonts w:ascii="Adobe Caslon Pro" w:hAnsi="Adobe Caslon Pro"/>
                <w:b w:val="0"/>
                <w:bCs w:val="0"/>
                <w:color w:val="auto"/>
                <w:sz w:val="20"/>
              </w:rPr>
              <w:t xml:space="preserve">Programa Integral para Prevenir, </w:t>
            </w:r>
            <w:r w:rsidRPr="009E30D1">
              <w:rPr>
                <w:rFonts w:ascii="Adobe Caslon Pro" w:hAnsi="Adobe Caslon Pro"/>
                <w:b w:val="0"/>
                <w:bCs w:val="0"/>
                <w:color w:val="auto"/>
                <w:sz w:val="20"/>
              </w:rPr>
              <w:lastRenderedPageBreak/>
              <w:t>Atender, Sancionar y Erradicar la Violencia contra las Mujeres 2013-2018</w:t>
            </w:r>
          </w:p>
        </w:tc>
        <w:tc>
          <w:tcPr>
            <w:tcW w:w="3923" w:type="pct"/>
            <w:tcBorders>
              <w:left w:val="none" w:sz="0" w:space="0" w:color="auto"/>
              <w:right w:val="none" w:sz="0" w:space="0" w:color="auto"/>
            </w:tcBorders>
            <w:shd w:val="clear" w:color="auto" w:fill="auto"/>
          </w:tcPr>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lastRenderedPageBreak/>
              <w:t>Objetivo 3. Garantizar el acceso a los servicios de atención integral a mujeres y niñas víctimas de violencia.</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lastRenderedPageBreak/>
              <w:t>Estrategia 3.1 Establecer servicios integrales de atención a mujeres en situación de violencia en su ciclo de vida.</w:t>
            </w:r>
          </w:p>
          <w:p w:rsidR="005901E8" w:rsidRPr="009E30D1" w:rsidRDefault="005901E8" w:rsidP="00B41860">
            <w:pPr>
              <w:spacing w:after="120"/>
              <w:jc w:val="both"/>
              <w:cnfStyle w:val="000000100000" w:firstRow="0" w:lastRow="0" w:firstColumn="0" w:lastColumn="0" w:oddVBand="0" w:evenVBand="0" w:oddHBand="1" w:evenHBand="0" w:firstRowFirstColumn="0" w:firstRowLastColumn="0" w:lastRowFirstColumn="0" w:lastRowLastColumn="0"/>
              <w:rPr>
                <w:rFonts w:ascii="Adobe Caslon Pro" w:hAnsi="Adobe Caslon Pro"/>
                <w:color w:val="auto"/>
                <w:sz w:val="20"/>
              </w:rPr>
            </w:pPr>
            <w:r w:rsidRPr="009E30D1">
              <w:rPr>
                <w:rFonts w:ascii="Adobe Caslon Pro" w:hAnsi="Adobe Caslon Pro"/>
                <w:color w:val="auto"/>
                <w:sz w:val="20"/>
              </w:rPr>
              <w:t>Estrategia 3.2 Facilitar la capacitación, inserción laboral, el acceso a créditos productivos y de vivienda para contribuir al empoderamiento de las mujeres.</w:t>
            </w:r>
          </w:p>
        </w:tc>
      </w:tr>
    </w:tbl>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En razón de todo lo antes expuesto, se puede apuntar que el compromiso específico que asume la SEDESOL en esta materia se encuentra en el desenvolvimiento de las estrategias y líneas de acción del PSDS que desprende en correspondencia con el PND:</w:t>
      </w:r>
    </w:p>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noProof/>
          <w:lang w:eastAsia="es-MX"/>
        </w:rPr>
        <w:drawing>
          <wp:inline distT="0" distB="0" distL="0" distR="0" wp14:anchorId="08E36045" wp14:editId="15F0FA0E">
            <wp:extent cx="5494351" cy="4579951"/>
            <wp:effectExtent l="57150" t="19050" r="49530" b="8763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lastRenderedPageBreak/>
        <w:t>De esta manera el programa se alinea con los distintos instrumentos de planeación nacionales y sectoriales a través del apoyo a proyectos implementados por las IMEF en materia de prevención y atención de la violencia contra las mujeres.</w:t>
      </w:r>
    </w:p>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pStyle w:val="Ttulo2"/>
        <w:spacing w:before="0" w:after="120"/>
        <w:rPr>
          <w:rFonts w:eastAsia="Calibri"/>
        </w:rPr>
      </w:pPr>
      <w:bookmarkStart w:id="69" w:name="_Toc391883392"/>
      <w:r w:rsidRPr="009E30D1">
        <w:rPr>
          <w:rFonts w:eastAsia="Calibri"/>
        </w:rPr>
        <w:t>3.4 Proyecciones financieras</w:t>
      </w:r>
      <w:bookmarkEnd w:id="69"/>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La gráfica 2</w:t>
      </w:r>
      <w:r w:rsidR="00A862B5" w:rsidRPr="009E30D1">
        <w:rPr>
          <w:rFonts w:ascii="Adobe Caslon Pro" w:hAnsi="Adobe Caslon Pro"/>
        </w:rPr>
        <w:t>3</w:t>
      </w:r>
      <w:r w:rsidRPr="009E30D1">
        <w:rPr>
          <w:rFonts w:ascii="Adobe Caslon Pro" w:hAnsi="Adobe Caslon Pro"/>
        </w:rPr>
        <w:t xml:space="preserve">, presenta el presupuesto histórico anual que ha tenido el PAIMEF, desde el año 2006 a la fecha, el cual se encuentra en pesos constantes de 2014.  </w:t>
      </w:r>
    </w:p>
    <w:p w:rsidR="005901E8" w:rsidRPr="009E30D1" w:rsidRDefault="005901E8" w:rsidP="005901E8">
      <w:pPr>
        <w:spacing w:after="120" w:line="240" w:lineRule="auto"/>
        <w:jc w:val="center"/>
        <w:rPr>
          <w:rFonts w:ascii="Adobe Caslon Pro" w:hAnsi="Adobe Caslon Pro"/>
          <w:b/>
        </w:rPr>
      </w:pPr>
      <w:r w:rsidRPr="009E30D1">
        <w:rPr>
          <w:rFonts w:ascii="Adobe Caslon Pro" w:hAnsi="Adobe Caslon Pro"/>
          <w:b/>
        </w:rPr>
        <w:t>Grafica 2</w:t>
      </w:r>
      <w:r w:rsidR="00A862B5" w:rsidRPr="009E30D1">
        <w:rPr>
          <w:rFonts w:ascii="Adobe Caslon Pro" w:hAnsi="Adobe Caslon Pro"/>
          <w:b/>
        </w:rPr>
        <w:t>3</w:t>
      </w:r>
      <w:r w:rsidRPr="009E30D1">
        <w:rPr>
          <w:rFonts w:ascii="Adobe Caslon Pro" w:hAnsi="Adobe Caslon Pro"/>
          <w:b/>
        </w:rPr>
        <w:t>. Evolución del presupuesto ejercido 2006-2012 y asignado 2013-2014del PAIMEF (Precios reales, con año base de 2014</w:t>
      </w:r>
      <w:r w:rsidRPr="009E30D1">
        <w:rPr>
          <w:rFonts w:ascii="Adobe Caslon Pro" w:hAnsi="Adobe Caslon Pro"/>
          <w:b/>
        </w:rPr>
        <w:footnoteReference w:id="31"/>
      </w:r>
      <w:r w:rsidRPr="009E30D1">
        <w:rPr>
          <w:rFonts w:ascii="Adobe Caslon Pro" w:hAnsi="Adobe Caslon Pro"/>
          <w:b/>
        </w:rPr>
        <w:t>).</w:t>
      </w:r>
    </w:p>
    <w:p w:rsidR="005901E8" w:rsidRPr="009E30D1" w:rsidRDefault="005901E8" w:rsidP="005901E8">
      <w:pPr>
        <w:spacing w:after="120" w:line="240" w:lineRule="auto"/>
        <w:jc w:val="center"/>
        <w:rPr>
          <w:rFonts w:ascii="Adobe Caslon Pro" w:hAnsi="Adobe Caslon Pro"/>
        </w:rPr>
      </w:pPr>
      <w:r w:rsidRPr="009E30D1">
        <w:rPr>
          <w:rFonts w:ascii="Adobe Caslon Pro" w:hAnsi="Adobe Caslon Pro"/>
          <w:noProof/>
          <w:lang w:eastAsia="es-MX"/>
        </w:rPr>
        <w:drawing>
          <wp:inline distT="0" distB="0" distL="0" distR="0" wp14:anchorId="58B5AD65" wp14:editId="4CC9F261">
            <wp:extent cx="4540250" cy="1837055"/>
            <wp:effectExtent l="0" t="0" r="12700" b="10795"/>
            <wp:docPr id="102" name="Gráfico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901E8" w:rsidRPr="009E30D1" w:rsidRDefault="005901E8" w:rsidP="005901E8">
      <w:pPr>
        <w:spacing w:after="120" w:line="240" w:lineRule="auto"/>
        <w:jc w:val="center"/>
        <w:rPr>
          <w:rFonts w:ascii="Adobe Caslon Pro" w:hAnsi="Adobe Caslon Pro"/>
          <w:i/>
        </w:rPr>
      </w:pPr>
      <w:r w:rsidRPr="009E30D1">
        <w:rPr>
          <w:rFonts w:ascii="Adobe Caslon Pro" w:hAnsi="Adobe Caslon Pro"/>
          <w:i/>
        </w:rPr>
        <w:t>Fuente: Elaboración propia con datos de la cuenta pública (2006-2012), PEF 2013 y 2014.</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Para que el  PAIMEF pueda operar, se requiere al menos que el presupuesto anual se mantenga estable respecto al ejercicio fiscal inmediato anterior. A la fecha los recursos del Programa están contemplados en el Presupuesto de Egresos de la Federación que año con año aprueba la H. Cámara de Diputados, la partida presupuestal que corresponde para la asignación de estos recursos es “Subsidios a la producción” y se identifica con la clave 43101. La clave programática completa que asigna la Secretaría de Hacienda y Crédito Público y que permite identificar cada uno de los componentes para el destino del gasto de los recursos del PAIMEF es:</w:t>
      </w:r>
    </w:p>
    <w:tbl>
      <w:tblPr>
        <w:tblW w:w="5000" w:type="pct"/>
        <w:jc w:val="center"/>
        <w:shd w:val="clear" w:color="auto" w:fill="FFFFFF"/>
        <w:tblCellMar>
          <w:left w:w="0" w:type="dxa"/>
          <w:right w:w="0" w:type="dxa"/>
        </w:tblCellMar>
        <w:tblLook w:val="04A0" w:firstRow="1" w:lastRow="0" w:firstColumn="1" w:lastColumn="0" w:noHBand="0" w:noVBand="1"/>
      </w:tblPr>
      <w:tblGrid>
        <w:gridCol w:w="476"/>
        <w:gridCol w:w="815"/>
        <w:gridCol w:w="659"/>
        <w:gridCol w:w="596"/>
        <w:gridCol w:w="765"/>
        <w:gridCol w:w="858"/>
        <w:gridCol w:w="824"/>
        <w:gridCol w:w="738"/>
        <w:gridCol w:w="932"/>
        <w:gridCol w:w="539"/>
        <w:gridCol w:w="474"/>
        <w:gridCol w:w="747"/>
        <w:gridCol w:w="555"/>
      </w:tblGrid>
      <w:tr w:rsidR="0097641E" w:rsidRPr="009E30D1" w:rsidTr="0097641E">
        <w:trPr>
          <w:trHeight w:val="375"/>
          <w:jc w:val="center"/>
        </w:trPr>
        <w:tc>
          <w:tcPr>
            <w:tcW w:w="265" w:type="pct"/>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Ramo</w:t>
            </w:r>
          </w:p>
        </w:tc>
        <w:tc>
          <w:tcPr>
            <w:tcW w:w="454"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Unidad Responsable</w:t>
            </w:r>
          </w:p>
        </w:tc>
        <w:tc>
          <w:tcPr>
            <w:tcW w:w="367"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Finalidad</w:t>
            </w:r>
          </w:p>
        </w:tc>
        <w:tc>
          <w:tcPr>
            <w:tcW w:w="332"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Función</w:t>
            </w:r>
          </w:p>
        </w:tc>
        <w:tc>
          <w:tcPr>
            <w:tcW w:w="426"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proofErr w:type="spellStart"/>
            <w:r w:rsidRPr="009E30D1">
              <w:rPr>
                <w:rFonts w:ascii="Adobe Caslon Pro" w:hAnsi="Adobe Caslon Pro"/>
                <w:bCs/>
                <w:sz w:val="12"/>
              </w:rPr>
              <w:t>Subfunción</w:t>
            </w:r>
            <w:proofErr w:type="spellEnd"/>
          </w:p>
        </w:tc>
        <w:tc>
          <w:tcPr>
            <w:tcW w:w="478"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Reasignación</w:t>
            </w:r>
          </w:p>
        </w:tc>
        <w:tc>
          <w:tcPr>
            <w:tcW w:w="459"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Actividad Institucional</w:t>
            </w:r>
          </w:p>
        </w:tc>
        <w:tc>
          <w:tcPr>
            <w:tcW w:w="411"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Modalidad</w:t>
            </w:r>
          </w:p>
        </w:tc>
        <w:tc>
          <w:tcPr>
            <w:tcW w:w="519"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Programa Presupuestario</w:t>
            </w:r>
          </w:p>
        </w:tc>
        <w:tc>
          <w:tcPr>
            <w:tcW w:w="300"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Partida</w:t>
            </w:r>
          </w:p>
        </w:tc>
        <w:tc>
          <w:tcPr>
            <w:tcW w:w="264"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Tipo de Gasto</w:t>
            </w:r>
          </w:p>
        </w:tc>
        <w:tc>
          <w:tcPr>
            <w:tcW w:w="416"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Geográfico</w:t>
            </w:r>
          </w:p>
        </w:tc>
        <w:tc>
          <w:tcPr>
            <w:tcW w:w="309"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bCs/>
                <w:sz w:val="12"/>
              </w:rPr>
              <w:t>Clave Cartera</w:t>
            </w:r>
          </w:p>
        </w:tc>
      </w:tr>
      <w:tr w:rsidR="0097641E" w:rsidRPr="009E30D1" w:rsidTr="0097641E">
        <w:trPr>
          <w:trHeight w:val="270"/>
          <w:jc w:val="center"/>
        </w:trPr>
        <w:tc>
          <w:tcPr>
            <w:tcW w:w="265"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20</w:t>
            </w:r>
          </w:p>
        </w:tc>
        <w:tc>
          <w:tcPr>
            <w:tcW w:w="4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D00</w:t>
            </w:r>
          </w:p>
        </w:tc>
        <w:tc>
          <w:tcPr>
            <w:tcW w:w="36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2</w:t>
            </w:r>
          </w:p>
        </w:tc>
        <w:tc>
          <w:tcPr>
            <w:tcW w:w="33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2</w:t>
            </w:r>
          </w:p>
        </w:tc>
        <w:tc>
          <w:tcPr>
            <w:tcW w:w="4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7</w:t>
            </w:r>
          </w:p>
        </w:tc>
        <w:tc>
          <w:tcPr>
            <w:tcW w:w="47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1</w:t>
            </w:r>
          </w:p>
        </w:tc>
        <w:tc>
          <w:tcPr>
            <w:tcW w:w="45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6</w:t>
            </w:r>
          </w:p>
        </w:tc>
        <w:tc>
          <w:tcPr>
            <w:tcW w:w="411"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S</w:t>
            </w:r>
          </w:p>
        </w:tc>
        <w:tc>
          <w:tcPr>
            <w:tcW w:w="51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155</w:t>
            </w:r>
          </w:p>
        </w:tc>
        <w:tc>
          <w:tcPr>
            <w:tcW w:w="30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43101</w:t>
            </w:r>
          </w:p>
        </w:tc>
        <w:tc>
          <w:tcPr>
            <w:tcW w:w="2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1</w:t>
            </w:r>
          </w:p>
        </w:tc>
        <w:tc>
          <w:tcPr>
            <w:tcW w:w="41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9</w:t>
            </w:r>
          </w:p>
        </w:tc>
        <w:tc>
          <w:tcPr>
            <w:tcW w:w="30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7641E" w:rsidRPr="009E30D1" w:rsidRDefault="0097641E" w:rsidP="0097641E">
            <w:pPr>
              <w:spacing w:after="120" w:line="240" w:lineRule="auto"/>
              <w:jc w:val="center"/>
              <w:rPr>
                <w:rFonts w:ascii="Adobe Caslon Pro" w:hAnsi="Adobe Caslon Pro"/>
                <w:sz w:val="12"/>
              </w:rPr>
            </w:pPr>
            <w:r w:rsidRPr="009E30D1">
              <w:rPr>
                <w:rFonts w:ascii="Adobe Caslon Pro" w:hAnsi="Adobe Caslon Pro"/>
                <w:sz w:val="12"/>
              </w:rPr>
              <w:t>0</w:t>
            </w:r>
          </w:p>
        </w:tc>
      </w:tr>
    </w:tbl>
    <w:p w:rsidR="005901E8" w:rsidRPr="009E30D1" w:rsidRDefault="005901E8" w:rsidP="005901E8">
      <w:pPr>
        <w:spacing w:after="120" w:line="240" w:lineRule="auto"/>
        <w:jc w:val="both"/>
        <w:rPr>
          <w:rFonts w:ascii="Adobe Caslon Pro" w:hAnsi="Adobe Caslon Pro"/>
        </w:rPr>
      </w:pP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lastRenderedPageBreak/>
        <w:t>En esta partida se encuentra la Fuente de Financiamiento identificada con el dígito 1, que corresponde a “Recursos Fiscales”, este  término refiere que el dinero que se utiliza para ejecutar el gasto se obtiene de los recursos que se captan con base en la Ley de Ingresos por: impuestos, contribuciones, derechos, productos,  multas y aprovechamientos.</w:t>
      </w:r>
    </w:p>
    <w:p w:rsidR="0097641E" w:rsidRPr="009E30D1" w:rsidRDefault="0097641E" w:rsidP="005901E8">
      <w:pPr>
        <w:pStyle w:val="Ttulo2"/>
        <w:spacing w:before="0" w:after="120"/>
        <w:rPr>
          <w:rFonts w:eastAsia="Calibri"/>
        </w:rPr>
      </w:pPr>
      <w:bookmarkStart w:id="70" w:name="_Toc391883393"/>
    </w:p>
    <w:p w:rsidR="005901E8" w:rsidRPr="009E30D1" w:rsidRDefault="005901E8" w:rsidP="005901E8">
      <w:pPr>
        <w:pStyle w:val="Ttulo2"/>
        <w:spacing w:before="0" w:after="120"/>
        <w:rPr>
          <w:rFonts w:eastAsia="Calibri"/>
        </w:rPr>
      </w:pPr>
      <w:r w:rsidRPr="009E30D1">
        <w:rPr>
          <w:rFonts w:eastAsia="Calibri"/>
        </w:rPr>
        <w:t>3.5 Previsiones para la integración de padrones</w:t>
      </w:r>
      <w:bookmarkEnd w:id="70"/>
    </w:p>
    <w:p w:rsidR="005901E8" w:rsidRPr="009E30D1" w:rsidRDefault="005901E8" w:rsidP="005901E8">
      <w:pPr>
        <w:spacing w:after="120" w:line="240" w:lineRule="auto"/>
        <w:jc w:val="both"/>
        <w:rPr>
          <w:rFonts w:ascii="Adobe Caslon Pro" w:hAnsi="Adobe Caslon Pro"/>
        </w:rPr>
      </w:pPr>
      <w:bookmarkStart w:id="71" w:name="_Toc370243156"/>
      <w:r w:rsidRPr="009E30D1">
        <w:rPr>
          <w:rFonts w:ascii="Adobe Caslon Pro" w:hAnsi="Adobe Caslon Pro"/>
        </w:rPr>
        <w:t>El tener un adecuado padrón de personas permite dar transparencia en la aplicación de los recursos de los programas sociales, y es la base para la planeación y evaluación de las acciones. Asimismo, permite detectar duplicidades en la entrega de recursos y realización de acciones. Para lograr lo anterior, la SEDESOL emitió los “Lineamientos Normativos para la Integración del Padrón Único de Beneficiarios</w:t>
      </w:r>
      <w:r w:rsidRPr="009E30D1">
        <w:rPr>
          <w:rStyle w:val="Refdenotaalpie"/>
          <w:rFonts w:ascii="Adobe Caslon Pro" w:hAnsi="Adobe Caslon Pro"/>
        </w:rPr>
        <w:footnoteReference w:id="32"/>
      </w:r>
      <w:r w:rsidRPr="009E30D1">
        <w:rPr>
          <w:rFonts w:ascii="Adobe Caslon Pro" w:hAnsi="Adobe Caslon Pro"/>
        </w:rPr>
        <w:t xml:space="preserve">” que tienen como uno de sus objetivos determinar la estructura de datos y catálogos para homologar y estandarizar los padrones de personas beneficiarias para su incorporación al Padrón Único de Beneficiarios (PUB), en el que se integran los beneficios que fueron entregados por parte de los programas sociales. Los tipos de padrones son: </w:t>
      </w:r>
    </w:p>
    <w:p w:rsidR="005901E8" w:rsidRPr="009E30D1" w:rsidRDefault="005901E8" w:rsidP="005901E8">
      <w:pPr>
        <w:numPr>
          <w:ilvl w:val="0"/>
          <w:numId w:val="20"/>
        </w:numPr>
        <w:spacing w:after="120" w:line="240" w:lineRule="auto"/>
        <w:jc w:val="both"/>
        <w:rPr>
          <w:rFonts w:ascii="Adobe Caslon Pro" w:hAnsi="Adobe Caslon Pro"/>
        </w:rPr>
      </w:pPr>
      <w:r w:rsidRPr="009E30D1">
        <w:rPr>
          <w:rFonts w:ascii="Adobe Caslon Pro" w:hAnsi="Adobe Caslon Pro"/>
        </w:rPr>
        <w:t>Personas. El registro se distingue por la fecha en la que recibe el beneficio y el tipo de apoyo y se integra a partir de la información captada en el Cuestionario Único de Información Socioeconómica (CUIS).</w:t>
      </w:r>
    </w:p>
    <w:p w:rsidR="0097641E" w:rsidRPr="009E30D1" w:rsidRDefault="005901E8" w:rsidP="005901E8">
      <w:pPr>
        <w:numPr>
          <w:ilvl w:val="0"/>
          <w:numId w:val="20"/>
        </w:numPr>
        <w:spacing w:after="120" w:line="240" w:lineRule="auto"/>
        <w:jc w:val="both"/>
        <w:rPr>
          <w:rFonts w:ascii="Adobe Caslon Pro" w:hAnsi="Adobe Caslon Pro"/>
        </w:rPr>
      </w:pPr>
      <w:r w:rsidRPr="009E30D1">
        <w:rPr>
          <w:rFonts w:ascii="Adobe Caslon Pro" w:hAnsi="Adobe Caslon Pro"/>
        </w:rPr>
        <w:t>Actores Sociales</w:t>
      </w:r>
      <w:r w:rsidRPr="009E30D1">
        <w:rPr>
          <w:rFonts w:ascii="Adobe Caslon Pro" w:hAnsi="Adobe Caslon Pro"/>
        </w:rPr>
        <w:footnoteReference w:id="33"/>
      </w:r>
      <w:r w:rsidRPr="009E30D1">
        <w:rPr>
          <w:rFonts w:ascii="Adobe Caslon Pro" w:hAnsi="Adobe Caslon Pro"/>
        </w:rPr>
        <w:t>. Se consideran dos tipos: a) Intermediarios, los que reciben recursos de un programa y con base en la normatividad vigente, focalizan y entregan los recursos y b) Personas Beneficiarias, son las que reciben apoyos o recursos de los programas, o de un Actor Social Intermediario, y hacen uso de ellos. Para la integración de este padrón se requiere al menos la información que captada en el Cuestionario Único de Actores Sociales (CUAS).</w:t>
      </w:r>
    </w:p>
    <w:p w:rsidR="005901E8" w:rsidRPr="009E30D1" w:rsidRDefault="005901E8" w:rsidP="005901E8">
      <w:pPr>
        <w:numPr>
          <w:ilvl w:val="0"/>
          <w:numId w:val="20"/>
        </w:numPr>
        <w:spacing w:after="120" w:line="240" w:lineRule="auto"/>
        <w:jc w:val="both"/>
        <w:rPr>
          <w:rFonts w:ascii="Adobe Caslon Pro" w:hAnsi="Adobe Caslon Pro"/>
        </w:rPr>
      </w:pPr>
      <w:r w:rsidRPr="009E30D1">
        <w:rPr>
          <w:rFonts w:ascii="Adobe Caslon Pro" w:hAnsi="Adobe Caslon Pro"/>
        </w:rPr>
        <w:t>Poblaciones beneficiarias de obras de infraestructura o acciones comunitarias</w:t>
      </w:r>
      <w:r w:rsidRPr="009E30D1">
        <w:rPr>
          <w:rFonts w:ascii="Adobe Caslon Pro" w:hAnsi="Adobe Caslon Pro"/>
        </w:rPr>
        <w:footnoteReference w:id="34"/>
      </w:r>
      <w:r w:rsidRPr="009E30D1">
        <w:rPr>
          <w:rFonts w:ascii="Adobe Caslon Pro" w:hAnsi="Adobe Caslon Pro"/>
        </w:rPr>
        <w:t xml:space="preserve">. La información solicitada es para almacenar los datos de las obras o acciones de infraestructura social y de </w:t>
      </w:r>
      <w:r w:rsidRPr="009E30D1">
        <w:rPr>
          <w:rFonts w:ascii="Adobe Caslon Pro" w:hAnsi="Adobe Caslon Pro"/>
        </w:rPr>
        <w:lastRenderedPageBreak/>
        <w:t>servicios de proyectos concluidos que benefician a una población determinada. Para la integración de este padrón se requiere al menos la información que captada en el Cuestionario Único de Obras y Servicios (CUOS).</w:t>
      </w:r>
    </w:p>
    <w:p w:rsidR="005901E8" w:rsidRPr="009E30D1" w:rsidRDefault="005901E8" w:rsidP="005901E8">
      <w:pPr>
        <w:spacing w:after="120" w:line="240" w:lineRule="auto"/>
        <w:jc w:val="both"/>
        <w:rPr>
          <w:rFonts w:ascii="Adobe Caslon Pro" w:hAnsi="Adobe Caslon Pro"/>
        </w:rPr>
      </w:pPr>
      <w:r w:rsidRPr="009E30D1">
        <w:rPr>
          <w:rFonts w:ascii="Adobe Caslon Pro" w:hAnsi="Adobe Caslon Pro"/>
        </w:rPr>
        <w:t xml:space="preserve">Contar con esta diferenciación en los padrones de personas beneficiarias permitirá que el PAIMEF determine, en colaboración con la Subsecretaría de Prospectiva, Planeación y Evaluación de la SEDESOL, a través de la Dirección General de </w:t>
      </w:r>
      <w:proofErr w:type="spellStart"/>
      <w:r w:rsidRPr="009E30D1">
        <w:rPr>
          <w:rFonts w:ascii="Adobe Caslon Pro" w:hAnsi="Adobe Caslon Pro"/>
        </w:rPr>
        <w:t>Geoestadística</w:t>
      </w:r>
      <w:proofErr w:type="spellEnd"/>
      <w:r w:rsidRPr="009E30D1">
        <w:rPr>
          <w:rFonts w:ascii="Adobe Caslon Pro" w:hAnsi="Adobe Caslon Pro"/>
        </w:rPr>
        <w:t xml:space="preserve"> y Padrones de Beneficiarios, el tipo de padrón que conforme su operación, podría ser aplicable en correspondencia con las necesidades de información del programa y el sector.</w:t>
      </w:r>
    </w:p>
    <w:p w:rsidR="005901E8" w:rsidRPr="009E30D1" w:rsidRDefault="005901E8" w:rsidP="005901E8">
      <w:pPr>
        <w:pStyle w:val="Prrafodelista"/>
        <w:spacing w:after="120" w:line="240" w:lineRule="auto"/>
        <w:ind w:left="0"/>
        <w:jc w:val="both"/>
        <w:rPr>
          <w:rFonts w:ascii="Adobe Caslon Pro" w:eastAsia="Calibri" w:hAnsi="Adobe Caslon Pro" w:cs="Times New Roman"/>
        </w:rPr>
      </w:pPr>
      <w:r w:rsidRPr="009E30D1">
        <w:rPr>
          <w:rFonts w:ascii="Adobe Caslon Pro" w:eastAsia="Calibri" w:hAnsi="Adobe Caslon Pro" w:cs="Times New Roman"/>
        </w:rPr>
        <w:t xml:space="preserve">La información que conforma el padrón de personas beneficiarias es un elemento importante que permite evaluar los resultados del programa y detectar las mejores prácticas del mismo, sin embargo, la obtención de dicha información no deberá ser una condicionante para el otorgamiento de los apoyos. </w:t>
      </w:r>
    </w:p>
    <w:p w:rsidR="005901E8" w:rsidRPr="009E30D1" w:rsidRDefault="005901E8" w:rsidP="005901E8">
      <w:pPr>
        <w:pStyle w:val="Prrafodelista"/>
        <w:spacing w:after="120" w:line="240" w:lineRule="auto"/>
        <w:ind w:left="0"/>
        <w:jc w:val="both"/>
        <w:rPr>
          <w:rFonts w:ascii="Adobe Caslon Pro" w:eastAsia="Calibri" w:hAnsi="Adobe Caslon Pro" w:cs="Times New Roman"/>
        </w:rPr>
      </w:pPr>
      <w:r w:rsidRPr="009E30D1">
        <w:rPr>
          <w:rFonts w:ascii="Adobe Caslon Pro" w:eastAsia="Calibri" w:hAnsi="Adobe Caslon Pro" w:cs="Times New Roman"/>
        </w:rPr>
        <w:t>Por último, la sistematización e integración de la información obtenida, deberá realizarse conforme a las "Normas Generales para los Procesos de Recolección y Captura de Información</w:t>
      </w:r>
      <w:r w:rsidRPr="009E30D1">
        <w:rPr>
          <w:rStyle w:val="Refdenotaalpie"/>
          <w:rFonts w:ascii="Adobe Caslon Pro" w:eastAsia="Calibri" w:hAnsi="Adobe Caslon Pro"/>
        </w:rPr>
        <w:footnoteReference w:id="35"/>
      </w:r>
      <w:r w:rsidRPr="009E30D1">
        <w:rPr>
          <w:rFonts w:ascii="Adobe Caslon Pro" w:eastAsia="Calibri" w:hAnsi="Adobe Caslon Pro" w:cs="Times New Roman"/>
        </w:rPr>
        <w:t>".</w:t>
      </w:r>
    </w:p>
    <w:bookmarkEnd w:id="71"/>
    <w:p w:rsidR="005901E8" w:rsidRPr="009E30D1" w:rsidRDefault="005901E8" w:rsidP="005901E8">
      <w:pPr>
        <w:rPr>
          <w:rFonts w:ascii="Adobe Caslon Pro" w:hAnsi="Adobe Caslon Pro"/>
        </w:rPr>
      </w:pPr>
      <w:r w:rsidRPr="009E30D1">
        <w:rPr>
          <w:rFonts w:ascii="Adobe Caslon Pro" w:hAnsi="Adobe Caslon Pro"/>
        </w:rPr>
        <w:br w:type="page"/>
      </w:r>
    </w:p>
    <w:p w:rsidR="005901E8" w:rsidRPr="009E30D1" w:rsidRDefault="005901E8" w:rsidP="005901E8">
      <w:pPr>
        <w:pStyle w:val="Ttulo1"/>
      </w:pPr>
      <w:bookmarkStart w:id="72" w:name="_Toc391883394"/>
      <w:r w:rsidRPr="009E30D1">
        <w:lastRenderedPageBreak/>
        <w:t>4. Conclusiones generales</w:t>
      </w:r>
      <w:bookmarkEnd w:id="72"/>
    </w:p>
    <w:p w:rsidR="005901E8" w:rsidRPr="009E30D1" w:rsidRDefault="005901E8" w:rsidP="0097641E">
      <w:pPr>
        <w:tabs>
          <w:tab w:val="left" w:pos="1304"/>
        </w:tabs>
        <w:spacing w:before="240" w:after="240"/>
        <w:contextualSpacing/>
        <w:jc w:val="both"/>
        <w:rPr>
          <w:rFonts w:ascii="Adobe Caslon Pro" w:hAnsi="Adobe Caslon Pro" w:cs="Arial"/>
        </w:rPr>
      </w:pPr>
      <w:r w:rsidRPr="009E30D1">
        <w:rPr>
          <w:rFonts w:ascii="Adobe Caslon Pro" w:hAnsi="Adobe Caslon Pro" w:cs="Arial"/>
        </w:rPr>
        <w:t xml:space="preserve">En los últimos años, se han presentado avances normativos importantes en materia de  prevención y atención de la violencia contra las mujeres a nivel nacional e internacional, que buscan disminuir los niveles de violencia contra las mujeres, y que han permitido la creación de instrumentos y mecanismos de intervención gubernamental. Sin embargo, es necesario impulsar políticas que reduzcan el problema prioritario de la violencia contra las mujeres ya que aún existen registros de altos niveles de violencia que afectan a un gran número de mujeres mexicanas, sus personas allegadas y en especial a sus hijas e hijos. </w:t>
      </w:r>
    </w:p>
    <w:p w:rsidR="00B268EC" w:rsidRDefault="00B268EC" w:rsidP="00B268EC">
      <w:pPr>
        <w:tabs>
          <w:tab w:val="left" w:pos="1304"/>
        </w:tabs>
        <w:spacing w:after="240"/>
        <w:contextualSpacing/>
        <w:jc w:val="both"/>
        <w:rPr>
          <w:rFonts w:ascii="Adobe Caslon Pro" w:hAnsi="Adobe Caslon Pro" w:cs="Arial"/>
        </w:rPr>
      </w:pPr>
    </w:p>
    <w:p w:rsidR="005901E8" w:rsidRPr="009E30D1" w:rsidRDefault="005901E8" w:rsidP="00B268EC">
      <w:pPr>
        <w:tabs>
          <w:tab w:val="left" w:pos="1304"/>
        </w:tabs>
        <w:spacing w:after="240"/>
        <w:contextualSpacing/>
        <w:jc w:val="both"/>
        <w:rPr>
          <w:rFonts w:ascii="Adobe Caslon Pro" w:hAnsi="Adobe Caslon Pro" w:cs="Arial"/>
        </w:rPr>
      </w:pPr>
      <w:r w:rsidRPr="009E30D1">
        <w:rPr>
          <w:rFonts w:ascii="Adobe Caslon Pro" w:hAnsi="Adobe Caslon Pro" w:cs="Arial"/>
        </w:rPr>
        <w:t xml:space="preserve">Cuenta de ello es que entre </w:t>
      </w:r>
      <w:r w:rsidRPr="009E30D1">
        <w:rPr>
          <w:rFonts w:ascii="Adobe Caslon Pro" w:hAnsi="Adobe Caslon Pro" w:cs="Arial"/>
          <w:lang w:val="es-ES_tradnl"/>
        </w:rPr>
        <w:t xml:space="preserve">2006 y 2011 la violencia contra las mujeres mayores de 15 años derivada de la relación con su última pareja se incrementó en términos absolutos 25.5%, al pasar de 14.9 millones de mujeres violentadas (43.3% del total de mujeres) a 18.7 millones (47.0% del total de mujeres). Actualmente, del total de las mujeres mayores de 15 años (42.6 millones), el 58.4% (24.9 millones) de las mujeres ha declarado al menos un acto de violencia contra ella, ya sea ejercida por su pareja o sufrida en el ámbito laboral, escolar o social. Asimismo, </w:t>
      </w:r>
      <w:r w:rsidRPr="009E30D1">
        <w:rPr>
          <w:rFonts w:ascii="Adobe Caslon Pro" w:hAnsi="Adobe Caslon Pro" w:cs="Arial"/>
        </w:rPr>
        <w:t xml:space="preserve">la CONAVIM detectó en 2012 un aumento en el homicidio de mujeres con armas de fuego y punzocortantes, así como por estrangulación y ahogamiento. </w:t>
      </w:r>
    </w:p>
    <w:p w:rsidR="00B268EC" w:rsidRDefault="00B268EC" w:rsidP="0097641E">
      <w:pPr>
        <w:tabs>
          <w:tab w:val="left" w:pos="1304"/>
        </w:tabs>
        <w:spacing w:before="240" w:after="240"/>
        <w:contextualSpacing/>
        <w:jc w:val="both"/>
        <w:rPr>
          <w:rFonts w:ascii="Adobe Caslon Pro" w:hAnsi="Adobe Caslon Pro" w:cs="Arial"/>
        </w:rPr>
      </w:pPr>
    </w:p>
    <w:p w:rsidR="005901E8" w:rsidRPr="009E30D1" w:rsidRDefault="005901E8" w:rsidP="0097641E">
      <w:pPr>
        <w:tabs>
          <w:tab w:val="left" w:pos="1304"/>
        </w:tabs>
        <w:spacing w:before="240" w:after="240"/>
        <w:contextualSpacing/>
        <w:jc w:val="both"/>
        <w:rPr>
          <w:rFonts w:ascii="Adobe Caslon Pro" w:hAnsi="Adobe Caslon Pro" w:cs="Arial"/>
        </w:rPr>
      </w:pPr>
      <w:r w:rsidRPr="009E30D1">
        <w:rPr>
          <w:rFonts w:ascii="Adobe Caslon Pro" w:hAnsi="Adobe Caslon Pro" w:cs="Arial"/>
        </w:rPr>
        <w:t xml:space="preserve">En este sentido, existen nueve entidades en las que la incidencia de mujeres mayores de 15 que sufrieron al menos un tipo de violencia por parte de su pareja o ex pareja y/o en el ámbito laboral, escolar y social es superior al resultado nacional. Adicionalmente, las mujeres que residen en el ámbito urbano presentan un mayor reconocimiento de la violencia (propio del medio ambiente al que se encuentran expuestas) en comparación con las mujeres que residen en el ámbito rural. </w:t>
      </w:r>
    </w:p>
    <w:p w:rsidR="005901E8" w:rsidRPr="009E30D1" w:rsidRDefault="005901E8" w:rsidP="0097641E">
      <w:pPr>
        <w:tabs>
          <w:tab w:val="left" w:pos="1304"/>
        </w:tabs>
        <w:spacing w:before="240" w:after="240"/>
        <w:contextualSpacing/>
        <w:jc w:val="both"/>
        <w:rPr>
          <w:rFonts w:ascii="Adobe Caslon Pro" w:hAnsi="Adobe Caslon Pro" w:cs="Arial"/>
        </w:rPr>
      </w:pPr>
      <w:r w:rsidRPr="009E30D1">
        <w:rPr>
          <w:rFonts w:ascii="Adobe Caslon Pro" w:hAnsi="Adobe Caslon Pro" w:cs="Arial"/>
        </w:rPr>
        <w:t xml:space="preserve">Por grupos de edad, se encontró que la violencia emocional se presenta principalmente en entre los 20 y 24 años de edad, con una tendencia a la baja conforme aumenta la edad; a su vez, la violencia sexual se presenta principalmente entre los 20 y 54 años; a partir de los 15 años la violencia económica y física cobran relevancia con una tendencia a la alza conforme aumenta la edad hasta los 59 años. </w:t>
      </w:r>
    </w:p>
    <w:p w:rsidR="005901E8" w:rsidRPr="009E30D1" w:rsidRDefault="005901E8" w:rsidP="0097641E">
      <w:pPr>
        <w:tabs>
          <w:tab w:val="left" w:pos="1304"/>
        </w:tabs>
        <w:spacing w:before="240" w:after="240"/>
        <w:contextualSpacing/>
        <w:jc w:val="both"/>
        <w:rPr>
          <w:rFonts w:ascii="Adobe Caslon Pro" w:hAnsi="Adobe Caslon Pro" w:cs="Arial"/>
        </w:rPr>
      </w:pPr>
      <w:r w:rsidRPr="009E30D1">
        <w:rPr>
          <w:rFonts w:ascii="Adobe Caslon Pro" w:hAnsi="Adobe Caslon Pro" w:cs="Arial"/>
        </w:rPr>
        <w:t xml:space="preserve">Por otro lado, destaca el hecho de que las mujeres que reportaron alguna situación de violencia presentan mayores niveles educativos y se encuentran en mayor proporción dentro de la PEA con </w:t>
      </w:r>
      <w:r w:rsidRPr="009E30D1">
        <w:rPr>
          <w:rFonts w:ascii="Adobe Caslon Pro" w:hAnsi="Adobe Caslon Pro" w:cs="Arial"/>
        </w:rPr>
        <w:lastRenderedPageBreak/>
        <w:t>respecto a las mujeres que no reportaron violencia. En términos de activos de las mujeres, se encontró que 55.2% de las mujeres sin violencia y el 52.0% de las mujeres en situación de violencia no cuentan con computadora, lo que se traduce en que al menos este porcentaje de mujeres no es susceptible de ser beneficiada por campañas de derechos humanos difundidas a través de internet (sin contar las que no cuentan con acceso a internet). Asimismo, el 34.7% de las mujeres sin violencia y el 25.5% de las mujeres en situación de violencia no cuentan con teléfono, hecho que pudiera repercutir en la atención y orientación de este grupo de mujeres a través de las líneas telefónicas.</w:t>
      </w:r>
    </w:p>
    <w:p w:rsidR="00B268EC" w:rsidRDefault="00B268EC" w:rsidP="0097641E">
      <w:pPr>
        <w:spacing w:before="240" w:after="240"/>
        <w:contextualSpacing/>
        <w:jc w:val="both"/>
        <w:rPr>
          <w:rFonts w:ascii="Adobe Caslon Pro" w:hAnsi="Adobe Caslon Pro" w:cs="Arial"/>
        </w:rPr>
      </w:pPr>
    </w:p>
    <w:p w:rsidR="005901E8" w:rsidRPr="009E30D1" w:rsidRDefault="005901E8" w:rsidP="0097641E">
      <w:pPr>
        <w:spacing w:before="240" w:after="240"/>
        <w:contextualSpacing/>
        <w:jc w:val="both"/>
        <w:rPr>
          <w:rFonts w:ascii="Adobe Caslon Pro" w:hAnsi="Adobe Caslon Pro" w:cs="Arial"/>
        </w:rPr>
      </w:pPr>
      <w:r w:rsidRPr="009E30D1">
        <w:rPr>
          <w:rFonts w:ascii="Adobe Caslon Pro" w:hAnsi="Adobe Caslon Pro" w:cs="Arial"/>
        </w:rPr>
        <w:t xml:space="preserve">En general con respecto al aspecto de seguridad y procuración de la justicia existe en nuestro país una gran pérdida de credibilidad en las instituciones, de ahí que denunciar no sea la primera opción para muchas mujeres en situación de violencia, además de las implicaciones que esto trae consigo, particularmente si dependen económicamente de su agresor (un ejemplo es que el porcentaje de mujeres víctimas de violencia que solicitan ayuda alguna institución es sumamente bajo, 11.8%). </w:t>
      </w:r>
    </w:p>
    <w:p w:rsidR="005901E8" w:rsidRPr="009E30D1" w:rsidRDefault="005901E8" w:rsidP="0097641E">
      <w:pPr>
        <w:spacing w:before="240" w:after="240"/>
        <w:contextualSpacing/>
        <w:jc w:val="both"/>
        <w:rPr>
          <w:rFonts w:ascii="Adobe Caslon Pro" w:hAnsi="Adobe Caslon Pro" w:cs="Arial"/>
        </w:rPr>
      </w:pPr>
      <w:r w:rsidRPr="009E30D1">
        <w:rPr>
          <w:rFonts w:ascii="Adobe Caslon Pro" w:hAnsi="Adobe Caslon Pro" w:cs="Arial"/>
        </w:rPr>
        <w:t xml:space="preserve">De igual forma, cabe resaltar la desigual aplicación de los mecanismos de prevención, detección y atención de casos de violencia contra las mujeres. Si bien las instituciones de salud cuentan con la Norma Oficial Mexicana </w:t>
      </w:r>
      <w:r w:rsidRPr="009E30D1">
        <w:rPr>
          <w:rStyle w:val="nfasis"/>
          <w:rFonts w:ascii="Adobe Caslon Pro" w:hAnsi="Adobe Caslon Pro" w:cs="Arial"/>
          <w:lang w:val="es-ES_tradnl"/>
        </w:rPr>
        <w:t>NOM-046-SSA2-2005</w:t>
      </w:r>
      <w:r w:rsidRPr="009E30D1">
        <w:rPr>
          <w:rFonts w:ascii="Adobe Caslon Pro" w:hAnsi="Adobe Caslon Pro" w:cs="Arial"/>
          <w:lang w:val="es-ES_tradnl"/>
        </w:rPr>
        <w:t xml:space="preserve"> denominada</w:t>
      </w:r>
      <w:r w:rsidRPr="009E30D1">
        <w:rPr>
          <w:rFonts w:ascii="Adobe Caslon Pro" w:hAnsi="Adobe Caslon Pro" w:cs="Arial"/>
          <w:i/>
        </w:rPr>
        <w:t>Violencia familiar, sexual y contra las mujeres</w:t>
      </w:r>
      <w:r w:rsidRPr="009E30D1">
        <w:rPr>
          <w:rFonts w:ascii="Adobe Caslon Pro" w:hAnsi="Adobe Caslon Pro" w:cs="Arial"/>
        </w:rPr>
        <w:t>, no siempre se lleva una correcta coordinación institucional con  las Instancias de atención a la violencia. Asimismo, es necesario impulsar sistemas de evaluación de la calidad de los distintos servicios de prevención, atención y sanción de la violencia contra las mujeres.</w:t>
      </w:r>
    </w:p>
    <w:p w:rsidR="00B268EC" w:rsidRDefault="00B268EC" w:rsidP="0097641E">
      <w:pPr>
        <w:spacing w:before="240" w:after="240"/>
        <w:contextualSpacing/>
        <w:jc w:val="both"/>
        <w:rPr>
          <w:rFonts w:ascii="Adobe Caslon Pro" w:hAnsi="Adobe Caslon Pro" w:cs="Arial"/>
        </w:rPr>
      </w:pPr>
    </w:p>
    <w:p w:rsidR="005901E8" w:rsidRPr="009E30D1" w:rsidRDefault="005901E8" w:rsidP="0097641E">
      <w:pPr>
        <w:spacing w:before="240" w:after="240"/>
        <w:contextualSpacing/>
        <w:jc w:val="both"/>
        <w:rPr>
          <w:rFonts w:ascii="Adobe Caslon Pro" w:hAnsi="Adobe Caslon Pro" w:cs="Arial"/>
        </w:rPr>
      </w:pPr>
      <w:r w:rsidRPr="009E30D1">
        <w:rPr>
          <w:rFonts w:ascii="Adobe Caslon Pro" w:hAnsi="Adobe Caslon Pro" w:cs="Arial"/>
        </w:rPr>
        <w:t xml:space="preserve">Estos resultados, dan evidencia de la necesidad de realizar acciones de prevención y atención no sólo entre las mujeres que han reportado alguna situación de violencia, sino también fortalecer las acciones de sensibilización en la población en general y de las personas responsables de la atención y seguimiento de las mujeres en situación de violencia. Es preciso reforzar estrategias de  sensibilización entre la población que conlleven a una plena </w:t>
      </w:r>
      <w:proofErr w:type="spellStart"/>
      <w:r w:rsidRPr="009E30D1">
        <w:rPr>
          <w:rFonts w:ascii="Adobe Caslon Pro" w:hAnsi="Adobe Caslon Pro" w:cs="Arial"/>
        </w:rPr>
        <w:t>visibilización</w:t>
      </w:r>
      <w:proofErr w:type="spellEnd"/>
      <w:r w:rsidRPr="009E30D1">
        <w:rPr>
          <w:rFonts w:ascii="Adobe Caslon Pro" w:hAnsi="Adobe Caslon Pro" w:cs="Arial"/>
        </w:rPr>
        <w:t xml:space="preserve"> de la violencia contra las mujeres como un problema público y al reconocimiento de los derechos de las mujeres, generando una cultur</w:t>
      </w:r>
      <w:r w:rsidR="00022747">
        <w:rPr>
          <w:rFonts w:ascii="Adobe Caslon Pro" w:hAnsi="Adobe Caslon Pro" w:cs="Arial"/>
        </w:rPr>
        <w:t xml:space="preserve">a de respeto hacia las mujeres </w:t>
      </w:r>
      <w:r w:rsidRPr="009E30D1">
        <w:rPr>
          <w:rFonts w:ascii="Adobe Caslon Pro" w:hAnsi="Adobe Caslon Pro" w:cs="Arial"/>
        </w:rPr>
        <w:t xml:space="preserve">y previniendo los actos de discriminación contra este grupo. </w:t>
      </w:r>
    </w:p>
    <w:p w:rsidR="005901E8" w:rsidRPr="009E30D1" w:rsidRDefault="005901E8" w:rsidP="0097641E">
      <w:pPr>
        <w:spacing w:before="240" w:after="240"/>
        <w:contextualSpacing/>
        <w:jc w:val="both"/>
        <w:rPr>
          <w:rFonts w:ascii="Adobe Caslon Pro" w:hAnsi="Adobe Caslon Pro" w:cs="Arial"/>
        </w:rPr>
      </w:pPr>
      <w:r w:rsidRPr="009E30D1">
        <w:rPr>
          <w:rFonts w:ascii="Adobe Caslon Pro" w:hAnsi="Adobe Caslon Pro" w:cs="Arial"/>
        </w:rPr>
        <w:t>De igual manera, se deben generar estrategias enfocadas a la adecuada atención de la violencia contra a las mujeres a través de una amplia oferta institucion</w:t>
      </w:r>
      <w:r w:rsidR="00022747">
        <w:rPr>
          <w:rFonts w:ascii="Adobe Caslon Pro" w:hAnsi="Adobe Caslon Pro" w:cs="Arial"/>
        </w:rPr>
        <w:t>al de calidad, profesionalizada y</w:t>
      </w:r>
      <w:r w:rsidRPr="009E30D1">
        <w:rPr>
          <w:rFonts w:ascii="Adobe Caslon Pro" w:hAnsi="Adobe Caslon Pro" w:cs="Arial"/>
        </w:rPr>
        <w:t xml:space="preserve"> con apropiados mecanismos de atención y de auxilio. Para ello resulta fundamental que las instancias </w:t>
      </w:r>
      <w:r w:rsidRPr="009E30D1">
        <w:rPr>
          <w:rFonts w:ascii="Adobe Caslon Pro" w:hAnsi="Adobe Caslon Pro" w:cs="Arial"/>
        </w:rPr>
        <w:lastRenderedPageBreak/>
        <w:t xml:space="preserve">que operan y promueven las políticas de prevención y atención de la violencia contra las mujeres en las entidades federativas cuenten con vínculos y sinergias con los distintos actores sociales que en lo local tienen un trabajo previo y han generado cierto nivel de </w:t>
      </w:r>
      <w:proofErr w:type="spellStart"/>
      <w:r w:rsidRPr="009E30D1">
        <w:rPr>
          <w:rFonts w:ascii="Adobe Caslon Pro" w:hAnsi="Adobe Caslon Pro" w:cs="Arial"/>
          <w:i/>
        </w:rPr>
        <w:t>expertise</w:t>
      </w:r>
      <w:proofErr w:type="spellEnd"/>
      <w:r w:rsidRPr="009E30D1">
        <w:rPr>
          <w:rFonts w:ascii="Adobe Caslon Pro" w:hAnsi="Adobe Caslon Pro" w:cs="Arial"/>
        </w:rPr>
        <w:t xml:space="preserve"> en la materia, tales como las organizaciones de la sociedad civil, las instituciones académicas y de investigación, entre otros.</w:t>
      </w:r>
    </w:p>
    <w:p w:rsidR="005901E8" w:rsidRPr="009E30D1" w:rsidRDefault="005901E8" w:rsidP="0097641E">
      <w:pPr>
        <w:spacing w:before="240" w:after="240"/>
        <w:jc w:val="both"/>
        <w:rPr>
          <w:rFonts w:ascii="Adobe Caslon Pro" w:hAnsi="Adobe Caslon Pro" w:cs="Arial"/>
        </w:rPr>
      </w:pPr>
      <w:r w:rsidRPr="009E30D1">
        <w:rPr>
          <w:rFonts w:ascii="Adobe Caslon Pro" w:hAnsi="Adobe Caslon Pro" w:cs="Arial"/>
        </w:rPr>
        <w:t xml:space="preserve">En ese sentido, el presente documento busca ser un insumo que aporte un panorama integral sobre la violencia contra las mujeres en México, para con ello diseñar una Propuesta de Atención que contribuya a la solución de la problemática y a elevar el bienestar de las mujeres en esta situación, mediante las acciones que el PAIMEF en coordinación con las instancias de mujeres en las entidades federativas ejecute. </w:t>
      </w:r>
    </w:p>
    <w:p w:rsidR="005901E8" w:rsidRPr="009E30D1" w:rsidRDefault="005901E8" w:rsidP="00CA20AB">
      <w:pPr>
        <w:spacing w:before="240" w:after="240"/>
        <w:jc w:val="both"/>
        <w:rPr>
          <w:rFonts w:ascii="Adobe Caslon Pro" w:hAnsi="Adobe Caslon Pro" w:cs="Arial"/>
        </w:rPr>
        <w:sectPr w:rsidR="005901E8" w:rsidRPr="009E30D1" w:rsidSect="00172563">
          <w:headerReference w:type="default" r:id="rId51"/>
          <w:pgSz w:w="12240" w:h="15840" w:code="1"/>
          <w:pgMar w:top="1134" w:right="1701" w:bottom="1134" w:left="1701" w:header="708" w:footer="708" w:gutter="0"/>
          <w:cols w:space="708"/>
          <w:docGrid w:linePitch="360"/>
        </w:sectPr>
      </w:pPr>
      <w:r w:rsidRPr="009E30D1">
        <w:rPr>
          <w:rFonts w:ascii="Adobe Caslon Pro" w:hAnsi="Adobe Caslon Pro" w:cs="Arial"/>
        </w:rPr>
        <w:t>Cabe mencionar que este documento adiciona información relevante con respecto al documento elaborado en 2009, principalmente aquella que es resultado del cambio de enfoque en la atención del programa. En este sentido, centra su análisis en los factores asociados a la violencia contra las mujeres mexicanas al considerarlas sujetas del pleno ejercicio de una vida libre de violencia, visualizando a la violencia contra las mujeres como una problemática global cuyo análisis debe contemplar de manera conjunta otros problemas de gran envergadura como la atención y prevención y la sanción que son de interés de política pública, pero cuya intervención debe focalizar sus acciones conforme los alcances y atribuciones institucionales en la materia, que para el caso de la Secretaría de Desarrollo Social se deben enfocar en p</w:t>
      </w:r>
      <w:r w:rsidRPr="009E30D1">
        <w:rPr>
          <w:rFonts w:ascii="Adobe Caslon Pro" w:hAnsi="Adobe Caslon Pro"/>
        </w:rPr>
        <w:t>revenir y atender la violencia contra las mujeres por medio de las acciones que promueven y operan las Instancias de Mujeres en las Entidades Federativas, en coordinación con diversas instancias públicas y sociales.</w:t>
      </w:r>
    </w:p>
    <w:p w:rsidR="00CC69AE" w:rsidRPr="009E30D1" w:rsidRDefault="00DC3F30" w:rsidP="004703E0">
      <w:pPr>
        <w:pStyle w:val="Ttulo1"/>
      </w:pPr>
      <w:r w:rsidRPr="009E30D1">
        <w:lastRenderedPageBreak/>
        <w:t xml:space="preserve">5. </w:t>
      </w:r>
      <w:bookmarkStart w:id="73" w:name="_Toc391883395"/>
      <w:r w:rsidR="00907E1A" w:rsidRPr="009E30D1">
        <w:t>Bibliografía</w:t>
      </w:r>
      <w:bookmarkEnd w:id="73"/>
    </w:p>
    <w:p w:rsidR="00CA20AB" w:rsidRPr="009E30D1" w:rsidRDefault="00CA20AB" w:rsidP="00CA20AB">
      <w:pPr>
        <w:spacing w:after="0"/>
        <w:jc w:val="both"/>
        <w:rPr>
          <w:rFonts w:ascii="Adobe Caslon Pro" w:hAnsi="Adobe Caslon Pro" w:cs="Arial"/>
        </w:rPr>
      </w:pP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Campos, María del Rosario, Ramírez, </w:t>
      </w:r>
      <w:proofErr w:type="spellStart"/>
      <w:r w:rsidRPr="009E30D1">
        <w:rPr>
          <w:rFonts w:ascii="Adobe Caslon Pro" w:hAnsi="Adobe Caslon Pro" w:cs="Arial"/>
        </w:rPr>
        <w:t>Jaquelina</w:t>
      </w:r>
      <w:proofErr w:type="spellEnd"/>
      <w:r w:rsidRPr="009E30D1">
        <w:rPr>
          <w:rFonts w:ascii="Adobe Caslon Pro" w:hAnsi="Adobe Caslon Pro" w:cs="Arial"/>
        </w:rPr>
        <w:t>, Ramírez, Susana y de la Torre Miriam (2007) Fortalezas, Debilidades, Oportunidades y Amenazas de las Políticas y Programas contra la violencia familiar en los institutos e instancias de la mujer en México. Méxi</w:t>
      </w:r>
      <w:r>
        <w:rPr>
          <w:rFonts w:ascii="Adobe Caslon Pro" w:hAnsi="Adobe Caslon Pro" w:cs="Arial"/>
        </w:rPr>
        <w:t>co: INDESOL y Caminos Posibles.</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CEAMEG (2009) Centro de Estudios para el Adelanto de las Mujeres y la Equidad de Género. México: Cámara de Diputados</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CIDH (2007) El Acceso a la Justicia como Garantía de los Derechos Económicos, Sociales y Culturales. Estudio de los Estándares Fijados por el Sistema Interamericano de Derechos Humanos. Estados unidos: Comisión Interamericana de Derechos Humanos</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CIMAC (2002) Agencias de Delitos Sexuales en el DF: historia de un ambicioso proyecto con resultados insuficientes. Modelo de atención, fruto de la presión social. México: Comunicación e Información de la Mujer. A.C. </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CNDH (1989) Convención de los Derechos del Niño (Asamblea General de las Naciones Unidas). México: Comisión Nacional de los Derechos Humanos</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CNDH (2013) Informe Especial de la Comisión Nacional de los Derechos Humanos sobre el Estado que Guardan los Derechos Humanos de las Mujeres Internas en Centros de Reclusión de la República Mexicana. México: Comisión Nacional de los Derechos</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proofErr w:type="spellStart"/>
      <w:r w:rsidRPr="009E30D1">
        <w:rPr>
          <w:rFonts w:ascii="Adobe Caslon Pro" w:hAnsi="Adobe Caslon Pro" w:cs="Arial"/>
        </w:rPr>
        <w:t>CNEGySR</w:t>
      </w:r>
      <w:proofErr w:type="spellEnd"/>
      <w:r w:rsidRPr="009E30D1">
        <w:rPr>
          <w:rFonts w:ascii="Adobe Caslon Pro" w:hAnsi="Adobe Caslon Pro" w:cs="Arial"/>
        </w:rPr>
        <w:t xml:space="preserve"> (2014) México: Centro Nacional de Equidad de Género y Salud Reproductiva. </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COFIPE (2006) El artículo 219 del Código Federal de Instituciones y Procedimientos. México: Cámara de Diputados</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CONAPO (2013) Proyección poblacional del consejo nacional de población. México: Consejo Nacional de Población</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CONAPRED (2010) Encuesta Nacional sobre Discriminación en México. México: Consejo Nacional </w:t>
      </w:r>
      <w:r>
        <w:rPr>
          <w:rFonts w:ascii="Adobe Caslon Pro" w:hAnsi="Adobe Caslon Pro" w:cs="Arial"/>
        </w:rPr>
        <w:t>para Prevenir la Discriminación.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CONAVIM (2014) Programa Integral para Prevenir, Atender, Sancionar y Erradicar la Violencia Contra las Mujeres 2014-2018. México: Secretaría de Gobernación</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CONEVAL (2012) Pobreza y Género en México. Hacia un sistema de indicadores. México: Consejo Nacional de Evaluación de la Política de Desarrollo Social</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lastRenderedPageBreak/>
        <w:t>CONEVAL (2014) Programa Anual de Evaluación Para el Ejercicio Fiscal 2014. México: Consejo Nacional de Evaluación de l</w:t>
      </w:r>
      <w:r>
        <w:rPr>
          <w:rFonts w:ascii="Adobe Caslon Pro" w:hAnsi="Adobe Caslon Pro" w:cs="Arial"/>
        </w:rPr>
        <w:t>a Política de Desarrollo Social.</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CONEVAL (sin año) Elementos mínimos a considerar en la elaboración de diagnósticos de programas nuevos. México: Consejo Nacional de Evaluación de la Política de Desarrollo </w:t>
      </w:r>
      <w:proofErr w:type="gramStart"/>
      <w:r w:rsidRPr="009E30D1">
        <w:rPr>
          <w:rFonts w:ascii="Adobe Caslon Pro" w:hAnsi="Adobe Caslon Pro" w:cs="Arial"/>
        </w:rPr>
        <w:t xml:space="preserve">Social </w:t>
      </w:r>
      <w:r>
        <w:rPr>
          <w:rFonts w:ascii="Adobe Caslon Pro" w:hAnsi="Adobe Caslon Pro" w:cs="Arial"/>
        </w:rPr>
        <w:t>.</w:t>
      </w:r>
      <w:proofErr w:type="gramEnd"/>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Constitución Política de los Estados Unidos Mexicanos (2014). México: Cámara de Diputados 17-06-</w:t>
      </w:r>
      <w:proofErr w:type="gramStart"/>
      <w:r w:rsidRPr="009E30D1">
        <w:rPr>
          <w:rFonts w:ascii="Adobe Caslon Pro" w:hAnsi="Adobe Caslon Pro" w:cs="Arial"/>
        </w:rPr>
        <w:t xml:space="preserve">14 </w:t>
      </w:r>
      <w:r>
        <w:rPr>
          <w:rFonts w:ascii="Adobe Caslon Pro" w:hAnsi="Adobe Caslon Pro" w:cs="Arial"/>
        </w:rPr>
        <w:t>.</w:t>
      </w:r>
      <w:proofErr w:type="gramEnd"/>
    </w:p>
    <w:p w:rsidR="00451FC6" w:rsidRPr="009E30D1" w:rsidRDefault="00451FC6" w:rsidP="00451FC6">
      <w:pPr>
        <w:pStyle w:val="Prrafodelista"/>
        <w:numPr>
          <w:ilvl w:val="0"/>
          <w:numId w:val="49"/>
        </w:numPr>
        <w:rPr>
          <w:rFonts w:ascii="Adobe Caslon Pro" w:hAnsi="Adobe Caslon Pro" w:cs="Arial"/>
        </w:rPr>
      </w:pPr>
      <w:r w:rsidRPr="009E30D1">
        <w:rPr>
          <w:rFonts w:ascii="Adobe Caslon Pro" w:hAnsi="Adobe Caslon Pro" w:cs="Arial"/>
        </w:rPr>
        <w:t xml:space="preserve">DOF (1984) Acuerdo por el que se establece el Sistema Nacional de Investigadores.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DOF (1996) Ley de Asistencia y Prevención de la Violencia Intrafamiliar. México: D</w:t>
      </w:r>
      <w:r>
        <w:rPr>
          <w:rFonts w:ascii="Adobe Caslon Pro" w:hAnsi="Adobe Caslon Pro" w:cs="Arial"/>
        </w:rPr>
        <w:t>iario Oficial de la Federación.</w:t>
      </w:r>
      <w:r w:rsidRPr="009E30D1">
        <w:rPr>
          <w:rFonts w:ascii="Adobe Caslon Pro" w:hAnsi="Adobe Caslon Pro" w:cs="Arial"/>
        </w:rPr>
        <w:t xml:space="preserve"> </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DOF (1997) Reglamento de la Ley de Asistencia y Prevención de la Violencia Intrafamiliar del Distrito Federal. México: Diario Oficial de la Federación</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 xml:space="preserve">DOF (1999) Proyecto de Norma Oficial Mexicana PROY-NOM-190-SSA1-1999, Prestación de servicios de salud. Criterios para la atención médica de la violencia familiar.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(2006) Acuerdo por el que se emiten y publican las Reglas de Operación del Programa de Apoyo a las Instancias de Mujeres en las Entidades Federativas, para Implementar y Ejecutar Programas de Prevención de la Violencia contra las Mujeres.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(2008) Reglamento de la Ley General de Acceso de las Mujeres a una Vida Libre de Violencia. México: </w:t>
      </w:r>
      <w:r>
        <w:rPr>
          <w:rFonts w:ascii="Adobe Caslon Pro" w:hAnsi="Adobe Caslon Pro" w:cs="Arial"/>
        </w:rPr>
        <w:t>Diario Oficial de la Federación.</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 xml:space="preserve">DOF (2009) Decreto por el que se crea como órgano administrativo desconcentrado de la Secretaría de Gobernación, la Comisión Nacional para Prevenir y Erradicar la Violencia contra las Mujeres.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DOF (2009) Lineamientos Generales para la Elaboración de Diagnósticos  de cuyos resultados se obtienen Propuestas de Atención de Programas de Desarrollo Social. México: Diario Oficial</w:t>
      </w:r>
      <w:r>
        <w:rPr>
          <w:rFonts w:ascii="Adobe Caslon Pro" w:hAnsi="Adobe Caslon Pro" w:cs="Arial"/>
        </w:rPr>
        <w:t xml:space="preserve"> de la Federación.</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DOF (2009) Norma Oficial Mexicana NOM-046-SSA2-2005: Violencia familiar, sexual y contra las mujeres. Criterios para la prevención y atención. México:</w:t>
      </w:r>
      <w:r>
        <w:rPr>
          <w:rFonts w:ascii="Adobe Caslon Pro" w:hAnsi="Adobe Caslon Pro" w:cs="Arial"/>
        </w:rPr>
        <w:t xml:space="preserve"> Diario Oficial de la Federación.</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lastRenderedPageBreak/>
        <w:t xml:space="preserve">DOF (2011) Reglas de Operación del PAIMEF para el ejercicio fiscal 2012.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(2012) Ley del Instituto Nacional de las Mujeres.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(2012) Ley General para la igualdad entre mujeres y hombres.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(2012) Reglamento Interior de la </w:t>
      </w:r>
      <w:proofErr w:type="spellStart"/>
      <w:r w:rsidRPr="009E30D1">
        <w:rPr>
          <w:rFonts w:ascii="Adobe Caslon Pro" w:hAnsi="Adobe Caslon Pro" w:cs="Arial"/>
        </w:rPr>
        <w:t>Sedesol</w:t>
      </w:r>
      <w:proofErr w:type="spellEnd"/>
      <w:r w:rsidRPr="009E30D1">
        <w:rPr>
          <w:rFonts w:ascii="Adobe Caslon Pro" w:hAnsi="Adobe Caslon Pro" w:cs="Arial"/>
        </w:rPr>
        <w:t>. México: Diario Oficial de la Federación</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(2013) Ley Federal para Prevenir y Eliminar la Discriminación.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(2013) Ley General de Acceso de las Mujeres a una Vida Libre de Violencia.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(2013) Ley General de Desarrollo Social. México: Diario Oficial de la </w:t>
      </w:r>
      <w:proofErr w:type="gramStart"/>
      <w:r w:rsidRPr="009E30D1">
        <w:rPr>
          <w:rFonts w:ascii="Adobe Caslon Pro" w:hAnsi="Adobe Caslon Pro" w:cs="Arial"/>
        </w:rPr>
        <w:t xml:space="preserve">Federación </w:t>
      </w:r>
      <w:r>
        <w:rPr>
          <w:rFonts w:ascii="Adobe Caslon Pro" w:hAnsi="Adobe Caslon Pro" w:cs="Arial"/>
        </w:rPr>
        <w:t>.</w:t>
      </w:r>
      <w:proofErr w:type="gramEnd"/>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(2013) Ley General de Victimas. México: </w:t>
      </w:r>
      <w:r>
        <w:rPr>
          <w:rFonts w:ascii="Adobe Caslon Pro" w:hAnsi="Adobe Caslon Pro" w:cs="Arial"/>
        </w:rPr>
        <w:t>Diario Oficial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DOF (2013) Plan Nacional de Desarrollo 2013-2018. México: </w:t>
      </w:r>
      <w:r>
        <w:rPr>
          <w:rFonts w:ascii="Adobe Caslon Pro" w:hAnsi="Adobe Caslon Pro" w:cs="Arial"/>
        </w:rPr>
        <w:t>Diario Oficial de la Federación.</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DOF (2013) Reglas de Operación del PAIMEF para el ejercicio fiscal 2013. México: Diario Oficial de la Federación</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 xml:space="preserve">DOF (2013) Reglas de Operación del PAIMEF para el ejercicio fiscal 2014. México: </w:t>
      </w:r>
      <w:r>
        <w:rPr>
          <w:rFonts w:ascii="Adobe Caslon Pro" w:hAnsi="Adobe Caslon Pro" w:cs="Arial"/>
        </w:rPr>
        <w:t>Diario Oficial de la Federación.</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DOF (2014) Programa Integral para Prevenir, Atender, Sancionar y Erradicar la Violencia contra las Mujeres 2014-2018. México: Diario Ofici</w:t>
      </w:r>
      <w:r>
        <w:rPr>
          <w:rFonts w:ascii="Adobe Caslon Pro" w:hAnsi="Adobe Caslon Pro" w:cs="Arial"/>
        </w:rPr>
        <w:t>al de la Federación.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GONZÁLEZ, Gerardo (2005) El control social de la violencia intrafamiliar en el Distrito Federal. México: Uni</w:t>
      </w:r>
      <w:r>
        <w:rPr>
          <w:rFonts w:ascii="Adobe Caslon Pro" w:hAnsi="Adobe Caslon Pro" w:cs="Arial"/>
        </w:rPr>
        <w:t>versidad Autónoma Metropolitana.</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IIDH (2008) </w:t>
      </w:r>
      <w:proofErr w:type="spellStart"/>
      <w:r w:rsidRPr="009E30D1">
        <w:rPr>
          <w:rFonts w:ascii="Adobe Caslon Pro" w:hAnsi="Adobe Caslon Pro" w:cs="Arial"/>
        </w:rPr>
        <w:t>Femicidio</w:t>
      </w:r>
      <w:proofErr w:type="spellEnd"/>
      <w:r w:rsidRPr="009E30D1">
        <w:rPr>
          <w:rFonts w:ascii="Adobe Caslon Pro" w:hAnsi="Adobe Caslon Pro" w:cs="Arial"/>
        </w:rPr>
        <w:t xml:space="preserve">: más allá de la violación del derecho a la vida. Análisis de los derechos violados y las responsabilidades estatales en los casos de </w:t>
      </w:r>
      <w:proofErr w:type="spellStart"/>
      <w:r w:rsidRPr="009E30D1">
        <w:rPr>
          <w:rFonts w:ascii="Adobe Caslon Pro" w:hAnsi="Adobe Caslon Pro" w:cs="Arial"/>
        </w:rPr>
        <w:t>femicidio</w:t>
      </w:r>
      <w:proofErr w:type="spellEnd"/>
      <w:r w:rsidRPr="009E30D1">
        <w:rPr>
          <w:rFonts w:ascii="Adobe Caslon Pro" w:hAnsi="Adobe Caslon Pro" w:cs="Arial"/>
        </w:rPr>
        <w:t xml:space="preserve"> de Ciudad Juárez. Costa Rica: Instituto Interamericano de Derechos Humanos</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IMJUVE (2005) Encuesta Nacional de Juventud. México: In</w:t>
      </w:r>
      <w:r>
        <w:rPr>
          <w:rFonts w:ascii="Adobe Caslon Pro" w:hAnsi="Adobe Caslon Pro" w:cs="Arial"/>
        </w:rPr>
        <w:t>stituto Mexicano de la Juventud.</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IMJUVE (2012) Encuesta Nacional de Valores en Juventud. México: In</w:t>
      </w:r>
      <w:r>
        <w:rPr>
          <w:rFonts w:ascii="Adobe Caslon Pro" w:hAnsi="Adobe Caslon Pro" w:cs="Arial"/>
        </w:rPr>
        <w:t>stituto Mexicano de la Juventud.</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lastRenderedPageBreak/>
        <w:t>INEGI (1999 – 2012) Estadísticas Judiciales en Materia Penal. México: Instituto Naci</w:t>
      </w:r>
      <w:r>
        <w:rPr>
          <w:rFonts w:ascii="Adobe Caslon Pro" w:hAnsi="Adobe Caslon Pro" w:cs="Arial"/>
        </w:rPr>
        <w:t>onal de Estadística y Geografía.</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(2003, 2006, 2011) Encuesta Nacional sobre la Dinámica de las Relaciones en los Hogares. México: Instituto Naci</w:t>
      </w:r>
      <w:r>
        <w:rPr>
          <w:rFonts w:ascii="Adobe Caslon Pro" w:hAnsi="Adobe Caslon Pro" w:cs="Arial"/>
        </w:rPr>
        <w:t>onal de Estadística y Geografía.</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(2009) Encuesta Nacional sobre Uso del Tiempo. México: Instituto Naci</w:t>
      </w:r>
      <w:r>
        <w:rPr>
          <w:rFonts w:ascii="Adobe Caslon Pro" w:hAnsi="Adobe Caslon Pro" w:cs="Arial"/>
        </w:rPr>
        <w:t>onal de Estadística y Geografía.</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(2012) Censo Nacional de Gobierno, Seguridad Pública y Sistema Penitenciario Estatales. México: Instituto Naci</w:t>
      </w:r>
      <w:r>
        <w:rPr>
          <w:rFonts w:ascii="Adobe Caslon Pro" w:hAnsi="Adobe Caslon Pro" w:cs="Arial"/>
        </w:rPr>
        <w:t>onal de Estadística y Geografía.</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(2012) Encuesta Laboral y de Corresponsabilidad Social. México: Instituto Naci</w:t>
      </w:r>
      <w:r>
        <w:rPr>
          <w:rFonts w:ascii="Adobe Caslon Pro" w:hAnsi="Adobe Caslon Pro" w:cs="Arial"/>
        </w:rPr>
        <w:t>onal de Estadística y Geografía.</w:t>
      </w:r>
    </w:p>
    <w:p w:rsidR="00451FC6" w:rsidRPr="009E30D1" w:rsidRDefault="00451FC6" w:rsidP="00451FC6">
      <w:pPr>
        <w:pStyle w:val="Prrafodelista"/>
        <w:numPr>
          <w:ilvl w:val="0"/>
          <w:numId w:val="49"/>
        </w:numPr>
        <w:spacing w:after="0"/>
        <w:jc w:val="both"/>
        <w:rPr>
          <w:rStyle w:val="Hipervnculo"/>
          <w:rFonts w:ascii="Adobe Caslon Pro" w:hAnsi="Adobe Caslon Pro" w:cs="Arial"/>
          <w:color w:val="auto"/>
          <w:u w:val="none"/>
        </w:rPr>
      </w:pPr>
      <w:r w:rsidRPr="009E30D1">
        <w:rPr>
          <w:rFonts w:ascii="Adobe Caslon Pro" w:hAnsi="Adobe Caslon Pro" w:cs="Arial"/>
        </w:rPr>
        <w:t>INEGI (2012) Encuesta Nacional de Ingreso y Gasto en los Hogares. México: Instituto Naci</w:t>
      </w:r>
      <w:r>
        <w:rPr>
          <w:rFonts w:ascii="Adobe Caslon Pro" w:hAnsi="Adobe Caslon Pro" w:cs="Arial"/>
        </w:rPr>
        <w:t>onal de Estadística y Geografía.</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INEGI (2012) Encuesta Nacional de </w:t>
      </w:r>
      <w:proofErr w:type="spellStart"/>
      <w:r w:rsidRPr="009E30D1">
        <w:rPr>
          <w:rFonts w:ascii="Adobe Caslon Pro" w:hAnsi="Adobe Caslon Pro" w:cs="Arial"/>
        </w:rPr>
        <w:t>Micronegocios</w:t>
      </w:r>
      <w:proofErr w:type="spellEnd"/>
      <w:r w:rsidRPr="009E30D1">
        <w:rPr>
          <w:rFonts w:ascii="Adobe Caslon Pro" w:hAnsi="Adobe Caslon Pro" w:cs="Arial"/>
        </w:rPr>
        <w:t>. México: Instituto Nacional de Estadística y Geografía</w:t>
      </w:r>
      <w:r>
        <w:rPr>
          <w:rFonts w:ascii="Adobe Caslon Pro" w:hAnsi="Adobe Caslon Pro" w:cs="Arial"/>
        </w:rPr>
        <w:t>.</w:t>
      </w:r>
    </w:p>
    <w:p w:rsidR="00451FC6" w:rsidRPr="009E30D1" w:rsidRDefault="00451FC6" w:rsidP="00451FC6">
      <w:pPr>
        <w:pStyle w:val="Prrafodelista"/>
        <w:numPr>
          <w:ilvl w:val="0"/>
          <w:numId w:val="49"/>
        </w:numPr>
        <w:spacing w:after="0"/>
        <w:jc w:val="both"/>
        <w:rPr>
          <w:rStyle w:val="Hipervnculo"/>
          <w:rFonts w:ascii="Adobe Caslon Pro" w:hAnsi="Adobe Caslon Pro" w:cs="Arial"/>
          <w:color w:val="auto"/>
          <w:u w:val="none"/>
        </w:rPr>
      </w:pPr>
      <w:r w:rsidRPr="009E30D1">
        <w:rPr>
          <w:rFonts w:ascii="Adobe Caslon Pro" w:hAnsi="Adobe Caslon Pro" w:cs="Arial"/>
        </w:rPr>
        <w:t>INEGI (2012) Encuesta Nacional de Ocupación y Empleo. México: Instituto Nacional de Estadística y Geografía</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(2012) Encuesta Nacional de Victimización y Percepción sobre Seguridad Pública. México: Instituto Nacional de Estadística y Geografía</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(2012) Encuesta Nacional sobre Cultura Política y Prácticas Ciudadanas. México: Instituto Nacional de Estadística y Geografía</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(2013) Sistema de Cuentas Nacionales. Cuenta Satélite del Trabajo no Remunerado de los Hogares de México, 2007-2011. México: Instituto Nacional de Estadística y Geografía</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INEGI (varios años) Censo de Población y Vivienda. México: Instituto Nacional de Estadística y Geografía</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INMUJERES (2008) Guía metodológica para la sensibilización en género; una herramienta didáctica para capacitación en administración pública. Violencia contra las mujeres un obstáculo crítico para la igualdad de género. Vol.4, p. 15.</w:t>
      </w:r>
      <w:r w:rsidRPr="009E30D1">
        <w:rPr>
          <w:rFonts w:ascii="Adobe Caslon Pro" w:hAnsi="Adobe Caslon Pro"/>
        </w:rPr>
        <w:t xml:space="preserve"> </w:t>
      </w:r>
      <w:r w:rsidRPr="009E30D1">
        <w:rPr>
          <w:rFonts w:ascii="Adobe Caslon Pro" w:hAnsi="Adobe Caslon Pro" w:cs="Arial"/>
        </w:rPr>
        <w:t>México: Instituto Nacional de las Mujeres</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INMUJERES (2008) Programa Nacional para la Igualdad entre Mujeres y Hombres 2008-2012. México: Instituto Nacional de las Mujere</w:t>
      </w:r>
      <w:r>
        <w:rPr>
          <w:rFonts w:ascii="Adobe Caslon Pro" w:hAnsi="Adobe Caslon Pro" w:cs="Arial"/>
        </w:rPr>
        <w:t>s.</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lastRenderedPageBreak/>
        <w:t>INMUJERES (2013) Informe de resultados julio- septiembre 2013. México: Instituto Nacional de las Mujeres</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INMUJERES (2014) Directorio nacional de líneas telefónicas y centros de atención a mujeres en situación de violencia. México: Instituto Na</w:t>
      </w:r>
      <w:r w:rsidR="00006AB7">
        <w:rPr>
          <w:rFonts w:ascii="Adobe Caslon Pro" w:hAnsi="Adobe Caslon Pro" w:cs="Arial"/>
        </w:rPr>
        <w:t>cional de las Mujeres.</w:t>
      </w:r>
      <w:bookmarkStart w:id="74" w:name="_GoBack"/>
      <w:bookmarkEnd w:id="74"/>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INMUJERES (sin fecha) ¿Qué es el INMUJERES? México: Instituto Nacional de las </w:t>
      </w:r>
      <w:proofErr w:type="gramStart"/>
      <w:r w:rsidRPr="009E30D1">
        <w:rPr>
          <w:rFonts w:ascii="Adobe Caslon Pro" w:hAnsi="Adobe Caslon Pro" w:cs="Arial"/>
        </w:rPr>
        <w:t xml:space="preserve">Mujeres </w:t>
      </w:r>
      <w:r>
        <w:rPr>
          <w:rFonts w:ascii="Adobe Caslon Pro" w:hAnsi="Adobe Caslon Pro" w:cs="Arial"/>
        </w:rPr>
        <w:t>.</w:t>
      </w:r>
      <w:proofErr w:type="gramEnd"/>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INSP (2011) Encuesta Nacional de Adicciones. México: Instituto Nacional de Salud Pública</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OACDH (1993) Declaración sobre la eliminación de la violencia contra la mujer. Estados Unidos: Oficina del Alto Comisionado de las Naciones Unidas para los Derechos Humanos</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OEA (1994) Convención Interamericana para Prevenir, Sancionar y Erradicar la Violencia contra la Mujer o Convención de Belem do Pará. Brasil: Organización de los Estados Americanos</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OMS (2013) Informe de la OMS destaca que la violencia contra la mujer es “un problema de salud global de proporciones epidémicas”. Ginebra: Organización Mundial de la Salud</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ONU (1979) Convención sobre la Eliminación de Todas las Formas de Discriminación contra la Mujer. Estados Unidos: Organización de las Naciones Unidas</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ONU (1993) Declaración sobre la Eliminación de la Violencia contra la Mujer. Estados Unidos: Asamblea General de Naciones Unidas</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ONU (1995) Declaración y Plataforma de Beijing 1995 (Cuarta Conferencia Mundial sobre la Mujer). Estados Unidos: Organización de las Naciones Unidas</w:t>
      </w:r>
      <w:r>
        <w:rPr>
          <w:rFonts w:ascii="Adobe Caslon Pro" w:hAnsi="Adobe Caslon Pro" w:cs="Arial"/>
        </w:rPr>
        <w:t>.</w:t>
      </w:r>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 xml:space="preserve">ONU (2006) Estudio del Secretario General Naciones Unidas 2006. Poner fin a la violencia contra la mujer. De las palabras a los hechos, Naciones Unidas. Estados Unidos: Organización de las Naciones </w:t>
      </w:r>
      <w:proofErr w:type="gramStart"/>
      <w:r w:rsidRPr="009E30D1">
        <w:rPr>
          <w:rFonts w:ascii="Adobe Caslon Pro" w:hAnsi="Adobe Caslon Pro" w:cs="Arial"/>
        </w:rPr>
        <w:t xml:space="preserve">Unidas </w:t>
      </w:r>
      <w:r>
        <w:rPr>
          <w:rFonts w:ascii="Adobe Caslon Pro" w:hAnsi="Adobe Caslon Pro" w:cs="Arial"/>
        </w:rPr>
        <w:t>.</w:t>
      </w:r>
      <w:proofErr w:type="gramEnd"/>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 xml:space="preserve">ONU (2006) Poner fin a la violencia contra la mujer. México: Naciones Unidas. </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ORTEGÓN, Edgar; Pacheco, Juan Francisco, y Prieto, Adriana (2005) Metodología del marco lógico para la planificación, el seguimiento y la evaluación de proyectos y programas. México: Comisión Económica para América Latina y el </w:t>
      </w:r>
      <w:proofErr w:type="gramStart"/>
      <w:r w:rsidRPr="009E30D1">
        <w:rPr>
          <w:rFonts w:ascii="Adobe Caslon Pro" w:hAnsi="Adobe Caslon Pro" w:cs="Arial"/>
        </w:rPr>
        <w:t xml:space="preserve">Caribe </w:t>
      </w:r>
      <w:r>
        <w:rPr>
          <w:rFonts w:ascii="Adobe Caslon Pro" w:hAnsi="Adobe Caslon Pro" w:cs="Arial"/>
        </w:rPr>
        <w:t>.</w:t>
      </w:r>
      <w:proofErr w:type="gramEnd"/>
    </w:p>
    <w:p w:rsidR="00451FC6" w:rsidRPr="009E30D1" w:rsidRDefault="00451FC6" w:rsidP="00451FC6">
      <w:pPr>
        <w:pStyle w:val="Prrafodelista"/>
        <w:numPr>
          <w:ilvl w:val="0"/>
          <w:numId w:val="49"/>
        </w:numPr>
        <w:jc w:val="both"/>
        <w:rPr>
          <w:rFonts w:ascii="Adobe Caslon Pro" w:hAnsi="Adobe Caslon Pro" w:cs="Arial"/>
        </w:rPr>
      </w:pPr>
      <w:r w:rsidRPr="009E30D1">
        <w:rPr>
          <w:rFonts w:ascii="Adobe Caslon Pro" w:hAnsi="Adobe Caslon Pro" w:cs="Arial"/>
        </w:rPr>
        <w:t xml:space="preserve">PNUD (2010) México y las Sociedades del Conocimiento. Competitividad con Igualdad de Género. México: Programa de las Naciones Unidas para el Desarrollo en México. </w:t>
      </w:r>
    </w:p>
    <w:p w:rsidR="00451FC6" w:rsidRPr="009E30D1" w:rsidRDefault="00451FC6" w:rsidP="00451FC6">
      <w:pPr>
        <w:pStyle w:val="Prrafodelista"/>
        <w:numPr>
          <w:ilvl w:val="0"/>
          <w:numId w:val="49"/>
        </w:numPr>
        <w:spacing w:after="0"/>
        <w:jc w:val="both"/>
        <w:rPr>
          <w:rFonts w:ascii="Adobe Caslon Pro" w:hAnsi="Adobe Caslon Pro" w:cs="Arial"/>
          <w:lang w:val="en-US"/>
        </w:rPr>
      </w:pPr>
      <w:r w:rsidRPr="009E30D1">
        <w:rPr>
          <w:rFonts w:ascii="Adobe Caslon Pro" w:hAnsi="Adobe Caslon Pro" w:cs="Arial"/>
          <w:lang w:val="en-US"/>
        </w:rPr>
        <w:lastRenderedPageBreak/>
        <w:t xml:space="preserve">RILEY, Nancy (1997) Gender, Power and Population Change, in Population Reference Bureau, Population Bulletin, vol. 52, Washington, </w:t>
      </w:r>
      <w:proofErr w:type="spellStart"/>
      <w:r w:rsidRPr="009E30D1">
        <w:rPr>
          <w:rFonts w:ascii="Adobe Caslon Pro" w:hAnsi="Adobe Caslon Pro" w:cs="Arial"/>
          <w:lang w:val="en-US"/>
        </w:rPr>
        <w:t>pp</w:t>
      </w:r>
      <w:proofErr w:type="spellEnd"/>
      <w:r w:rsidRPr="009E30D1">
        <w:rPr>
          <w:rFonts w:ascii="Adobe Caslon Pro" w:hAnsi="Adobe Caslon Pro" w:cs="Arial"/>
          <w:lang w:val="en-US"/>
        </w:rPr>
        <w:t xml:space="preserve"> 48. </w:t>
      </w:r>
      <w:proofErr w:type="spellStart"/>
      <w:r w:rsidRPr="009E30D1">
        <w:rPr>
          <w:rFonts w:ascii="Adobe Caslon Pro" w:hAnsi="Adobe Caslon Pro" w:cs="Arial"/>
          <w:lang w:val="en-US"/>
        </w:rPr>
        <w:t>Estados</w:t>
      </w:r>
      <w:proofErr w:type="spellEnd"/>
      <w:r w:rsidRPr="009E30D1">
        <w:rPr>
          <w:rFonts w:ascii="Adobe Caslon Pro" w:hAnsi="Adobe Caslon Pro" w:cs="Arial"/>
          <w:lang w:val="en-US"/>
        </w:rPr>
        <w:t xml:space="preserve"> </w:t>
      </w:r>
      <w:proofErr w:type="spellStart"/>
      <w:r w:rsidRPr="009E30D1">
        <w:rPr>
          <w:rFonts w:ascii="Adobe Caslon Pro" w:hAnsi="Adobe Caslon Pro" w:cs="Arial"/>
          <w:lang w:val="en-US"/>
        </w:rPr>
        <w:t>Unidos</w:t>
      </w:r>
      <w:proofErr w:type="spellEnd"/>
      <w:r w:rsidRPr="009E30D1">
        <w:rPr>
          <w:rFonts w:ascii="Adobe Caslon Pro" w:hAnsi="Adobe Caslon Pro" w:cs="Arial"/>
          <w:lang w:val="en-US"/>
        </w:rPr>
        <w:t>: Population Reference Bureau.</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SEP-UNICEF (2009) Informe Nacional sobre Violencia de Género en la Educación Básica en México. México: Secretaria de Educación Pública- Fondo de las Naciones Unidas para la </w:t>
      </w:r>
      <w:proofErr w:type="gramStart"/>
      <w:r w:rsidRPr="009E30D1">
        <w:rPr>
          <w:rFonts w:ascii="Adobe Caslon Pro" w:hAnsi="Adobe Caslon Pro" w:cs="Arial"/>
        </w:rPr>
        <w:t xml:space="preserve">Infancia </w:t>
      </w:r>
      <w:r>
        <w:rPr>
          <w:rFonts w:ascii="Adobe Caslon Pro" w:hAnsi="Adobe Caslon Pro" w:cs="Arial"/>
        </w:rPr>
        <w:t>.</w:t>
      </w:r>
      <w:proofErr w:type="gramEnd"/>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SERNAM (2012) Plan Nacional de acción para la prevención de la Violencia Intrafamiliar en Chile, Unidad de Prevención en Violencia Intrafamiliar Programa Chile ACOGE, Servicio Nacional de la Mujer. Chile: Servicio Nacional de la Mujer</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SETEC (2010) Nuevo Sistema de Justicia Penal. México: Secretaría de Gobernación</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SOLÍS, Rosa Elena (2008) Violencia de género. Análisis del marco jurídico de Yucatán, págs. 36-37. México: Instituto para </w:t>
      </w:r>
      <w:r>
        <w:rPr>
          <w:rFonts w:ascii="Adobe Caslon Pro" w:hAnsi="Adobe Caslon Pro" w:cs="Arial"/>
        </w:rPr>
        <w:t>la Equidad de Género en Yucatán.</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SS (2007) Programa de Acción Específico 2007-2012: Prevención y Atención de la Violencia Familiar y de Género. México: Secretaría de Salud</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UACM (2007) Evaluación de diseño del PAIMEF. México: Universidad Autónoma de la Ciudad de México</w:t>
      </w:r>
      <w:r>
        <w:rPr>
          <w:rFonts w:ascii="Adobe Caslon Pro" w:hAnsi="Adobe Caslon Pro" w:cs="Arial"/>
        </w:rPr>
        <w:t>.</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UNESCO (1993) Conferencia Mundial sobre los Derechos Humanos. Viena: Organización de las Naciones Unidas para la Edu</w:t>
      </w:r>
      <w:r>
        <w:rPr>
          <w:rFonts w:ascii="Adobe Caslon Pro" w:hAnsi="Adobe Caslon Pro" w:cs="Arial"/>
        </w:rPr>
        <w:t>cación, la Ciencia y la Cultura.</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UNIFEM (2004) Perfil de Género de la Economía del Istmo Centroamericano. México:</w:t>
      </w:r>
      <w:r w:rsidRPr="009E30D1">
        <w:rPr>
          <w:rFonts w:ascii="Adobe Caslon Pro" w:hAnsi="Adobe Caslon Pro"/>
        </w:rPr>
        <w:t xml:space="preserve"> </w:t>
      </w:r>
      <w:r w:rsidRPr="009E30D1">
        <w:rPr>
          <w:rFonts w:ascii="Adobe Caslon Pro" w:hAnsi="Adobe Caslon Pro" w:cs="Arial"/>
        </w:rPr>
        <w:t>Programa de las Nac</w:t>
      </w:r>
      <w:r>
        <w:rPr>
          <w:rFonts w:ascii="Adobe Caslon Pro" w:hAnsi="Adobe Caslon Pro" w:cs="Arial"/>
        </w:rPr>
        <w:t>iones Unidas para el Desarrollo.</w:t>
      </w:r>
    </w:p>
    <w:p w:rsidR="00451FC6" w:rsidRPr="009E30D1" w:rsidRDefault="00451FC6" w:rsidP="00451FC6">
      <w:pPr>
        <w:pStyle w:val="Prrafodelista"/>
        <w:numPr>
          <w:ilvl w:val="0"/>
          <w:numId w:val="49"/>
        </w:numPr>
        <w:spacing w:after="0"/>
        <w:jc w:val="both"/>
        <w:rPr>
          <w:rFonts w:ascii="Adobe Caslon Pro" w:hAnsi="Adobe Caslon Pro" w:cs="Arial"/>
        </w:rPr>
      </w:pPr>
      <w:r w:rsidRPr="009E30D1">
        <w:rPr>
          <w:rFonts w:ascii="Adobe Caslon Pro" w:hAnsi="Adobe Caslon Pro" w:cs="Arial"/>
        </w:rPr>
        <w:t xml:space="preserve">UNIFEM: PNUD (2004) La mujer y el derecho internacional: conferencias internacionales, Organización Internacional del Trabajo. México: Secretaría de Relaciones Exteriores: 46p. </w:t>
      </w:r>
    </w:p>
    <w:p w:rsidR="00907E1A" w:rsidRPr="00451FC6" w:rsidRDefault="00451FC6" w:rsidP="00451FC6">
      <w:pPr>
        <w:pStyle w:val="Prrafodelista"/>
        <w:numPr>
          <w:ilvl w:val="0"/>
          <w:numId w:val="49"/>
        </w:numPr>
        <w:spacing w:after="0"/>
        <w:jc w:val="both"/>
        <w:rPr>
          <w:rFonts w:ascii="Adobe Caslon Pro" w:hAnsi="Adobe Caslon Pro" w:cs="Arial"/>
        </w:rPr>
      </w:pPr>
      <w:r w:rsidRPr="00451FC6">
        <w:rPr>
          <w:rFonts w:ascii="Adobe Caslon Pro" w:hAnsi="Adobe Caslon Pro" w:cs="Arial"/>
        </w:rPr>
        <w:t>ZEPEDA, Guillermo (2002) Entre la delincuencia y la impunidad: el desempeño de las instituciones de procuración de justicia penal en México frente a los desafíos de la seguridad ciudadana, Porrúa, año LXVIII, número 3, 2012, p. 216. México: Academia Mexicana de Ciencias Penales.</w:t>
      </w:r>
    </w:p>
    <w:p w:rsidR="00DF2C05" w:rsidRPr="009E30D1" w:rsidRDefault="00DF2C05">
      <w:r w:rsidRPr="009E30D1">
        <w:br w:type="page"/>
      </w:r>
    </w:p>
    <w:p w:rsidR="00907E1A" w:rsidRPr="009E30D1" w:rsidRDefault="00DC3F30" w:rsidP="004703E0">
      <w:pPr>
        <w:pStyle w:val="Ttulo1"/>
      </w:pPr>
      <w:bookmarkStart w:id="75" w:name="_Toc391883396"/>
      <w:r w:rsidRPr="009E30D1">
        <w:lastRenderedPageBreak/>
        <w:t xml:space="preserve">6. </w:t>
      </w:r>
      <w:r w:rsidR="00DF2C05" w:rsidRPr="009E30D1">
        <w:t>Anexos</w:t>
      </w:r>
      <w:bookmarkEnd w:id="75"/>
    </w:p>
    <w:p w:rsidR="00DF2C05" w:rsidRPr="009E30D1" w:rsidRDefault="00DF2C05" w:rsidP="00DC3F30">
      <w:pPr>
        <w:rPr>
          <w:rFonts w:ascii="Adobe Caslon Pro" w:hAnsi="Adobe Caslon Pro"/>
          <w:b/>
          <w:i/>
        </w:rPr>
      </w:pPr>
      <w:bookmarkStart w:id="76" w:name="_Toc381359167"/>
      <w:r w:rsidRPr="009E30D1">
        <w:rPr>
          <w:rFonts w:ascii="Adobe Caslon Pro" w:hAnsi="Adobe Caslon Pro"/>
          <w:b/>
          <w:i/>
        </w:rPr>
        <w:t>Anexo 1. Población por Estado y Mayoría de Género</w:t>
      </w:r>
      <w:bookmarkEnd w:id="76"/>
    </w:p>
    <w:tbl>
      <w:tblPr>
        <w:tblW w:w="7587" w:type="dxa"/>
        <w:jc w:val="center"/>
        <w:tblCellMar>
          <w:left w:w="70" w:type="dxa"/>
          <w:right w:w="70" w:type="dxa"/>
        </w:tblCellMar>
        <w:tblLook w:val="04A0" w:firstRow="1" w:lastRow="0" w:firstColumn="1" w:lastColumn="0" w:noHBand="0" w:noVBand="1"/>
      </w:tblPr>
      <w:tblGrid>
        <w:gridCol w:w="1179"/>
        <w:gridCol w:w="2610"/>
        <w:gridCol w:w="1364"/>
        <w:gridCol w:w="2434"/>
      </w:tblGrid>
      <w:tr w:rsidR="00DF2C05" w:rsidRPr="009E30D1" w:rsidTr="00DF2C05">
        <w:trPr>
          <w:trHeight w:val="514"/>
          <w:jc w:val="center"/>
        </w:trPr>
        <w:tc>
          <w:tcPr>
            <w:tcW w:w="117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F2C05" w:rsidRPr="009E30D1" w:rsidRDefault="00DF2C05" w:rsidP="00DC3F30">
            <w:pPr>
              <w:spacing w:after="120" w:line="240" w:lineRule="auto"/>
              <w:contextualSpacing/>
              <w:jc w:val="center"/>
              <w:rPr>
                <w:rFonts w:ascii="Adobe Caslon Pro" w:hAnsi="Adobe Caslon Pro" w:cs="Arial"/>
                <w:b/>
                <w:color w:val="000000"/>
                <w:sz w:val="20"/>
                <w:szCs w:val="20"/>
              </w:rPr>
            </w:pPr>
            <w:r w:rsidRPr="009E30D1">
              <w:rPr>
                <w:rFonts w:ascii="Adobe Caslon Pro" w:hAnsi="Adobe Caslon Pro" w:cs="Arial"/>
                <w:b/>
                <w:color w:val="000000"/>
                <w:sz w:val="20"/>
                <w:szCs w:val="20"/>
              </w:rPr>
              <w:t xml:space="preserve">Posición </w:t>
            </w:r>
          </w:p>
        </w:tc>
        <w:tc>
          <w:tcPr>
            <w:tcW w:w="261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F2C05" w:rsidRPr="009E30D1" w:rsidRDefault="00DF2C05" w:rsidP="00DC3F30">
            <w:pPr>
              <w:spacing w:after="120" w:line="240" w:lineRule="auto"/>
              <w:contextualSpacing/>
              <w:jc w:val="center"/>
              <w:rPr>
                <w:rFonts w:ascii="Adobe Caslon Pro" w:hAnsi="Adobe Caslon Pro" w:cs="Arial"/>
                <w:b/>
                <w:color w:val="000000"/>
                <w:sz w:val="20"/>
                <w:szCs w:val="20"/>
              </w:rPr>
            </w:pPr>
            <w:r w:rsidRPr="009E30D1">
              <w:rPr>
                <w:rFonts w:ascii="Adobe Caslon Pro" w:hAnsi="Adobe Caslon Pro" w:cs="Arial"/>
                <w:b/>
                <w:color w:val="000000"/>
                <w:sz w:val="20"/>
                <w:szCs w:val="20"/>
              </w:rPr>
              <w:t>Estados</w:t>
            </w:r>
          </w:p>
        </w:tc>
        <w:tc>
          <w:tcPr>
            <w:tcW w:w="136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F2C05" w:rsidRPr="009E30D1" w:rsidRDefault="00DF2C05" w:rsidP="00DC3F30">
            <w:pPr>
              <w:spacing w:after="120" w:line="240" w:lineRule="auto"/>
              <w:contextualSpacing/>
              <w:jc w:val="center"/>
              <w:rPr>
                <w:rFonts w:ascii="Adobe Caslon Pro" w:hAnsi="Adobe Caslon Pro" w:cs="Arial"/>
                <w:b/>
                <w:color w:val="000000"/>
                <w:sz w:val="20"/>
                <w:szCs w:val="20"/>
              </w:rPr>
            </w:pPr>
            <w:r w:rsidRPr="009E30D1">
              <w:rPr>
                <w:rFonts w:ascii="Adobe Caslon Pro" w:hAnsi="Adobe Caslon Pro" w:cs="Arial"/>
                <w:b/>
                <w:color w:val="000000"/>
                <w:sz w:val="20"/>
                <w:szCs w:val="20"/>
              </w:rPr>
              <w:t>Población</w:t>
            </w:r>
          </w:p>
        </w:tc>
        <w:tc>
          <w:tcPr>
            <w:tcW w:w="24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F2C05" w:rsidRPr="009E30D1" w:rsidRDefault="00DF2C05" w:rsidP="00DC3F30">
            <w:pPr>
              <w:spacing w:after="120" w:line="240" w:lineRule="auto"/>
              <w:contextualSpacing/>
              <w:jc w:val="center"/>
              <w:rPr>
                <w:rFonts w:ascii="Adobe Caslon Pro" w:hAnsi="Adobe Caslon Pro" w:cs="Arial"/>
                <w:b/>
                <w:color w:val="000000"/>
                <w:sz w:val="20"/>
                <w:szCs w:val="20"/>
              </w:rPr>
            </w:pPr>
            <w:r w:rsidRPr="009E30D1">
              <w:rPr>
                <w:rFonts w:ascii="Adobe Caslon Pro" w:hAnsi="Adobe Caslon Pro" w:cs="Arial"/>
                <w:b/>
                <w:color w:val="000000"/>
                <w:sz w:val="20"/>
                <w:szCs w:val="20"/>
              </w:rPr>
              <w:t>Mayoría por genero</w:t>
            </w:r>
          </w:p>
        </w:tc>
      </w:tr>
      <w:tr w:rsidR="00DF2C05" w:rsidRPr="009E30D1" w:rsidTr="00DC3F30">
        <w:trPr>
          <w:trHeight w:val="300"/>
          <w:jc w:val="center"/>
        </w:trPr>
        <w:tc>
          <w:tcPr>
            <w:tcW w:w="1179" w:type="dxa"/>
            <w:tcBorders>
              <w:top w:val="single" w:sz="4" w:space="0" w:color="auto"/>
              <w:left w:val="single" w:sz="4" w:space="0" w:color="auto"/>
              <w:bottom w:val="nil"/>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w:t>
            </w:r>
          </w:p>
        </w:tc>
        <w:tc>
          <w:tcPr>
            <w:tcW w:w="2610" w:type="dxa"/>
            <w:tcBorders>
              <w:top w:val="single" w:sz="4" w:space="0" w:color="auto"/>
              <w:left w:val="single" w:sz="4" w:space="0" w:color="auto"/>
              <w:bottom w:val="nil"/>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México</w:t>
            </w:r>
          </w:p>
        </w:tc>
        <w:tc>
          <w:tcPr>
            <w:tcW w:w="1364" w:type="dxa"/>
            <w:tcBorders>
              <w:top w:val="single" w:sz="4" w:space="0" w:color="auto"/>
              <w:left w:val="single" w:sz="4" w:space="0" w:color="auto"/>
              <w:bottom w:val="nil"/>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15,175,862</w:t>
            </w:r>
          </w:p>
        </w:tc>
        <w:tc>
          <w:tcPr>
            <w:tcW w:w="2434" w:type="dxa"/>
            <w:tcBorders>
              <w:top w:val="single" w:sz="4" w:space="0" w:color="auto"/>
              <w:left w:val="single" w:sz="4" w:space="0" w:color="auto"/>
              <w:bottom w:val="nil"/>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Distrito Federal</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8,851,080</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3</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Veracruz</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7,643,194</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4</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Jalisco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7,350,682</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5</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Puebla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5,779,829</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6</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Guanajuato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5,486,372</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7</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Chiapas</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4,796,580</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8</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Nuevo León</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4,653,458</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9</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Michoacán de Ocampo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4,351,037</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10</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Oaxaca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3,801,962</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11</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Chihuahua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3,406,465</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12</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Guerrero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3,388,768</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13</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Tamaulipas</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3,268,554</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14</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Baja California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3,155,070</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HOMBRE</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15</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Sinaloa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2,767,761</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16</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Coahuila de Zaragoza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2,748,391</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17</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Hidalgo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2,665,018</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18</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Sonora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2,662,480</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HOMBRE</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19</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San Luis Potosí</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2,585,518</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20</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Tabasco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2,238,603</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21</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Yucatán</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1,955,577</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22</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Querétaro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1,827,937</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23</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Morelos</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1,777,227</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24</w:t>
            </w:r>
          </w:p>
        </w:tc>
        <w:tc>
          <w:tcPr>
            <w:tcW w:w="2610" w:type="dxa"/>
            <w:tcBorders>
              <w:left w:val="single" w:sz="4" w:space="0" w:color="auto"/>
              <w:right w:val="single" w:sz="4" w:space="0" w:color="auto"/>
            </w:tcBorders>
            <w:noWrap/>
            <w:vAlign w:val="center"/>
            <w:hideMark/>
          </w:tcPr>
          <w:p w:rsidR="00DF2C05" w:rsidRPr="009E30D1" w:rsidRDefault="0014504B"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Durango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1,632,934</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25</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Zacatecas</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1,490,668</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26</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Quintana Roo</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1,325,578</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HOMBRE</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27</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Aguascalientes</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1,184,996</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28</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Tlaxcala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1,169,936</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29</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Nayarit</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1,084,979</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30</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Campeche</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822,441</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left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31</w:t>
            </w:r>
          </w:p>
        </w:tc>
        <w:tc>
          <w:tcPr>
            <w:tcW w:w="2610"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Colima</w:t>
            </w:r>
          </w:p>
        </w:tc>
        <w:tc>
          <w:tcPr>
            <w:tcW w:w="136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650,555</w:t>
            </w:r>
          </w:p>
        </w:tc>
        <w:tc>
          <w:tcPr>
            <w:tcW w:w="2434" w:type="dxa"/>
            <w:tcBorders>
              <w:left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r w:rsidR="00DF2C05" w:rsidRPr="009E30D1" w:rsidTr="00DC3F30">
        <w:trPr>
          <w:trHeight w:val="300"/>
          <w:jc w:val="center"/>
        </w:trPr>
        <w:tc>
          <w:tcPr>
            <w:tcW w:w="1179" w:type="dxa"/>
            <w:tcBorders>
              <w:top w:val="nil"/>
              <w:left w:val="single" w:sz="4" w:space="0" w:color="auto"/>
              <w:bottom w:val="single" w:sz="4" w:space="0" w:color="auto"/>
              <w:right w:val="single" w:sz="4" w:space="0" w:color="auto"/>
            </w:tcBorders>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32</w:t>
            </w:r>
          </w:p>
        </w:tc>
        <w:tc>
          <w:tcPr>
            <w:tcW w:w="2610" w:type="dxa"/>
            <w:tcBorders>
              <w:top w:val="nil"/>
              <w:left w:val="single" w:sz="4" w:space="0" w:color="auto"/>
              <w:bottom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Baja California Sur</w:t>
            </w:r>
          </w:p>
        </w:tc>
        <w:tc>
          <w:tcPr>
            <w:tcW w:w="1364" w:type="dxa"/>
            <w:tcBorders>
              <w:top w:val="nil"/>
              <w:left w:val="single" w:sz="4" w:space="0" w:color="auto"/>
              <w:bottom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637,026</w:t>
            </w:r>
          </w:p>
        </w:tc>
        <w:tc>
          <w:tcPr>
            <w:tcW w:w="2434" w:type="dxa"/>
            <w:tcBorders>
              <w:top w:val="nil"/>
              <w:left w:val="single" w:sz="4" w:space="0" w:color="auto"/>
              <w:bottom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HOMBRE</w:t>
            </w:r>
          </w:p>
        </w:tc>
      </w:tr>
      <w:tr w:rsidR="00DF2C05" w:rsidRPr="009E30D1" w:rsidTr="00DC3F30">
        <w:trPr>
          <w:trHeight w:val="300"/>
          <w:jc w:val="center"/>
        </w:trPr>
        <w:tc>
          <w:tcPr>
            <w:tcW w:w="1179" w:type="dxa"/>
            <w:tcBorders>
              <w:top w:val="single" w:sz="4" w:space="0" w:color="auto"/>
              <w:left w:val="single" w:sz="4" w:space="0" w:color="auto"/>
              <w:bottom w:val="single" w:sz="4" w:space="0" w:color="auto"/>
              <w:right w:val="single" w:sz="4" w:space="0" w:color="auto"/>
            </w:tcBorders>
            <w:vAlign w:val="center"/>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p>
        </w:tc>
        <w:tc>
          <w:tcPr>
            <w:tcW w:w="2610" w:type="dxa"/>
            <w:tcBorders>
              <w:top w:val="single" w:sz="4" w:space="0" w:color="auto"/>
              <w:left w:val="single" w:sz="4" w:space="0" w:color="auto"/>
              <w:bottom w:val="single" w:sz="4" w:space="0" w:color="auto"/>
              <w:right w:val="single" w:sz="4" w:space="0" w:color="auto"/>
            </w:tcBorders>
            <w:noWrap/>
            <w:vAlign w:val="center"/>
            <w:hideMark/>
          </w:tcPr>
          <w:p w:rsidR="00DF2C05" w:rsidRPr="009E30D1" w:rsidRDefault="00DF2C05" w:rsidP="00DC3F30">
            <w:pPr>
              <w:spacing w:after="120" w:line="240" w:lineRule="auto"/>
              <w:contextualSpacing/>
              <w:rPr>
                <w:rFonts w:ascii="Adobe Caslon Pro" w:hAnsi="Adobe Caslon Pro" w:cs="Arial"/>
                <w:color w:val="000000"/>
                <w:sz w:val="20"/>
                <w:szCs w:val="20"/>
              </w:rPr>
            </w:pPr>
            <w:r w:rsidRPr="009E30D1">
              <w:rPr>
                <w:rFonts w:ascii="Adobe Caslon Pro" w:hAnsi="Adobe Caslon Pro" w:cs="Arial"/>
                <w:color w:val="000000"/>
                <w:sz w:val="20"/>
                <w:szCs w:val="20"/>
              </w:rPr>
              <w:t>Nacional</w:t>
            </w:r>
          </w:p>
        </w:tc>
        <w:tc>
          <w:tcPr>
            <w:tcW w:w="1364" w:type="dxa"/>
            <w:tcBorders>
              <w:top w:val="single" w:sz="4" w:space="0" w:color="auto"/>
              <w:left w:val="single" w:sz="4" w:space="0" w:color="auto"/>
              <w:bottom w:val="single" w:sz="4" w:space="0" w:color="auto"/>
              <w:right w:val="single" w:sz="4" w:space="0" w:color="auto"/>
            </w:tcBorders>
            <w:noWrap/>
            <w:vAlign w:val="center"/>
            <w:hideMark/>
          </w:tcPr>
          <w:p w:rsidR="00DF2C05" w:rsidRPr="009E30D1" w:rsidRDefault="00DF2C05" w:rsidP="00DC3F30">
            <w:pPr>
              <w:spacing w:after="120" w:line="240" w:lineRule="auto"/>
              <w:contextualSpacing/>
              <w:jc w:val="right"/>
              <w:rPr>
                <w:rFonts w:ascii="Adobe Caslon Pro" w:hAnsi="Adobe Caslon Pro" w:cs="Arial"/>
                <w:color w:val="000000"/>
                <w:sz w:val="20"/>
                <w:szCs w:val="20"/>
              </w:rPr>
            </w:pPr>
            <w:r w:rsidRPr="009E30D1">
              <w:rPr>
                <w:rFonts w:ascii="Adobe Caslon Pro" w:hAnsi="Adobe Caslon Pro" w:cs="Arial"/>
                <w:color w:val="000000"/>
                <w:sz w:val="20"/>
                <w:szCs w:val="20"/>
              </w:rPr>
              <w:t>112,336,538</w:t>
            </w:r>
          </w:p>
        </w:tc>
        <w:tc>
          <w:tcPr>
            <w:tcW w:w="2434" w:type="dxa"/>
            <w:tcBorders>
              <w:top w:val="single" w:sz="4" w:space="0" w:color="auto"/>
              <w:left w:val="single" w:sz="4" w:space="0" w:color="auto"/>
              <w:bottom w:val="single" w:sz="4" w:space="0" w:color="auto"/>
              <w:right w:val="single" w:sz="4" w:space="0" w:color="auto"/>
            </w:tcBorders>
            <w:noWrap/>
            <w:vAlign w:val="center"/>
            <w:hideMark/>
          </w:tcPr>
          <w:p w:rsidR="00DF2C05" w:rsidRPr="009E30D1" w:rsidRDefault="00DF2C05" w:rsidP="00DC3F30">
            <w:pPr>
              <w:spacing w:after="120" w:line="240" w:lineRule="auto"/>
              <w:contextualSpacing/>
              <w:jc w:val="center"/>
              <w:rPr>
                <w:rFonts w:ascii="Adobe Caslon Pro" w:hAnsi="Adobe Caslon Pro" w:cs="Arial"/>
                <w:color w:val="000000"/>
                <w:sz w:val="20"/>
                <w:szCs w:val="20"/>
              </w:rPr>
            </w:pPr>
            <w:r w:rsidRPr="009E30D1">
              <w:rPr>
                <w:rFonts w:ascii="Adobe Caslon Pro" w:hAnsi="Adobe Caslon Pro" w:cs="Arial"/>
                <w:color w:val="000000"/>
                <w:sz w:val="20"/>
                <w:szCs w:val="20"/>
              </w:rPr>
              <w:t>MUJER</w:t>
            </w:r>
          </w:p>
        </w:tc>
      </w:tr>
    </w:tbl>
    <w:p w:rsidR="00DF2C05" w:rsidRPr="009E30D1" w:rsidRDefault="00DF2C05" w:rsidP="00DF2C05">
      <w:pPr>
        <w:spacing w:after="120" w:line="240" w:lineRule="auto"/>
        <w:ind w:left="567" w:right="616"/>
        <w:jc w:val="center"/>
        <w:rPr>
          <w:rFonts w:ascii="Adobe Caslon Pro" w:hAnsi="Adobe Caslon Pro"/>
        </w:rPr>
      </w:pPr>
      <w:r w:rsidRPr="009E30D1">
        <w:rPr>
          <w:rFonts w:ascii="Adobe Caslon Pro" w:hAnsi="Adobe Caslon Pro" w:cs="Arial"/>
          <w:i/>
          <w:sz w:val="18"/>
          <w:szCs w:val="18"/>
        </w:rPr>
        <w:t>Fuente: Anuario de Estadísticas por entidad federativa, INEGI, 2011</w:t>
      </w:r>
    </w:p>
    <w:p w:rsidR="00304556" w:rsidRPr="009E30D1" w:rsidRDefault="00304556" w:rsidP="004703E0">
      <w:pPr>
        <w:rPr>
          <w:rFonts w:ascii="Adobe Caslon Pro" w:hAnsi="Adobe Caslon Pro"/>
          <w:b/>
          <w:i/>
        </w:rPr>
      </w:pPr>
      <w:bookmarkStart w:id="77" w:name="_Toc380742847"/>
      <w:r w:rsidRPr="009E30D1">
        <w:rPr>
          <w:rFonts w:ascii="Adobe Caslon Pro" w:hAnsi="Adobe Caslon Pro"/>
          <w:b/>
          <w:i/>
        </w:rPr>
        <w:lastRenderedPageBreak/>
        <w:t>Anexo 2. Experiencias Exitosas</w:t>
      </w:r>
      <w:bookmarkEnd w:id="77"/>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000"/>
        <w:gridCol w:w="7654"/>
      </w:tblGrid>
      <w:tr w:rsidR="00304556" w:rsidRPr="009E30D1" w:rsidTr="00DC3F30">
        <w:trPr>
          <w:trHeight w:val="765"/>
        </w:trPr>
        <w:tc>
          <w:tcPr>
            <w:tcW w:w="2000" w:type="dxa"/>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color w:val="222222"/>
                <w:sz w:val="18"/>
                <w:szCs w:val="18"/>
              </w:rPr>
              <w:t xml:space="preserve"> </w:t>
            </w:r>
            <w:r w:rsidRPr="009E30D1">
              <w:rPr>
                <w:rFonts w:ascii="Adobe Caslon Pro" w:hAnsi="Adobe Caslon Pro" w:cs="Arial"/>
                <w:sz w:val="20"/>
                <w:szCs w:val="20"/>
                <w:lang w:val="en-US"/>
              </w:rPr>
              <w:br w:type="page"/>
            </w:r>
            <w:r w:rsidRPr="009E30D1">
              <w:rPr>
                <w:rFonts w:ascii="Adobe Caslon Pro" w:hAnsi="Adobe Caslon Pro" w:cs="Arial"/>
                <w:b/>
                <w:bCs/>
                <w:color w:val="222222"/>
                <w:sz w:val="20"/>
                <w:szCs w:val="20"/>
              </w:rPr>
              <w:t>Nombre del Programa</w:t>
            </w:r>
          </w:p>
        </w:tc>
        <w:tc>
          <w:tcPr>
            <w:tcW w:w="7654" w:type="dxa"/>
            <w:shd w:val="clear" w:color="auto" w:fill="A6A6A6"/>
            <w:vAlign w:val="center"/>
            <w:hideMark/>
          </w:tcPr>
          <w:p w:rsidR="00304556" w:rsidRPr="009E30D1" w:rsidRDefault="00304556" w:rsidP="00DC3F30">
            <w:pPr>
              <w:spacing w:after="0" w:line="240" w:lineRule="auto"/>
              <w:rPr>
                <w:rFonts w:ascii="Adobe Caslon Pro" w:hAnsi="Adobe Caslon Pro" w:cs="Arial"/>
                <w:color w:val="222222"/>
                <w:sz w:val="20"/>
                <w:szCs w:val="20"/>
              </w:rPr>
            </w:pPr>
            <w:proofErr w:type="spellStart"/>
            <w:r w:rsidRPr="009E30D1">
              <w:rPr>
                <w:rFonts w:ascii="Adobe Caslon Pro" w:hAnsi="Adobe Caslon Pro" w:cs="Arial"/>
                <w:color w:val="222222"/>
                <w:sz w:val="20"/>
                <w:szCs w:val="20"/>
              </w:rPr>
              <w:t>The</w:t>
            </w:r>
            <w:proofErr w:type="spellEnd"/>
            <w:r w:rsidRPr="009E30D1">
              <w:rPr>
                <w:rFonts w:ascii="Adobe Caslon Pro" w:hAnsi="Adobe Caslon Pro" w:cs="Arial"/>
                <w:color w:val="222222"/>
                <w:sz w:val="20"/>
                <w:szCs w:val="20"/>
              </w:rPr>
              <w:t xml:space="preserve"> </w:t>
            </w:r>
            <w:proofErr w:type="spellStart"/>
            <w:r w:rsidRPr="009E30D1">
              <w:rPr>
                <w:rFonts w:ascii="Adobe Caslon Pro" w:hAnsi="Adobe Caslon Pro" w:cs="Arial"/>
                <w:color w:val="222222"/>
                <w:sz w:val="20"/>
                <w:szCs w:val="20"/>
              </w:rPr>
              <w:t>Stepping</w:t>
            </w:r>
            <w:proofErr w:type="spellEnd"/>
            <w:r w:rsidRPr="009E30D1">
              <w:rPr>
                <w:rFonts w:ascii="Adobe Caslon Pro" w:hAnsi="Adobe Caslon Pro" w:cs="Arial"/>
                <w:color w:val="222222"/>
                <w:sz w:val="20"/>
                <w:szCs w:val="20"/>
              </w:rPr>
              <w:t xml:space="preserve"> </w:t>
            </w:r>
            <w:proofErr w:type="spellStart"/>
            <w:r w:rsidRPr="009E30D1">
              <w:rPr>
                <w:rFonts w:ascii="Adobe Caslon Pro" w:hAnsi="Adobe Caslon Pro" w:cs="Arial"/>
                <w:color w:val="222222"/>
                <w:sz w:val="20"/>
                <w:szCs w:val="20"/>
              </w:rPr>
              <w:t>Stones</w:t>
            </w:r>
            <w:proofErr w:type="spellEnd"/>
          </w:p>
        </w:tc>
      </w:tr>
      <w:tr w:rsidR="00304556" w:rsidRPr="009E30D1" w:rsidTr="00DC3F30">
        <w:trPr>
          <w:trHeight w:val="765"/>
        </w:trPr>
        <w:tc>
          <w:tcPr>
            <w:tcW w:w="20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6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sz w:val="19"/>
                <w:szCs w:val="19"/>
                <w:lang w:val="es-ES_tradnl"/>
              </w:rPr>
            </w:pPr>
            <w:proofErr w:type="spellStart"/>
            <w:r w:rsidRPr="009E30D1">
              <w:rPr>
                <w:rFonts w:ascii="Adobe Caslon Pro" w:hAnsi="Adobe Caslon Pro" w:cs="Arial"/>
                <w:sz w:val="19"/>
                <w:szCs w:val="19"/>
                <w:lang w:val="es-ES_tradnl"/>
              </w:rPr>
              <w:t>Salamander</w:t>
            </w:r>
            <w:proofErr w:type="spellEnd"/>
            <w:r w:rsidRPr="009E30D1">
              <w:rPr>
                <w:rFonts w:ascii="Adobe Caslon Pro" w:hAnsi="Adobe Caslon Pro" w:cs="Arial"/>
                <w:sz w:val="19"/>
                <w:szCs w:val="19"/>
                <w:lang w:val="es-ES_tradnl"/>
              </w:rPr>
              <w:t xml:space="preserve"> Trust </w:t>
            </w:r>
          </w:p>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Gambia, Ghana, Kenia, Filipinas,</w:t>
            </w:r>
            <w:r w:rsidR="0014504B" w:rsidRPr="009E30D1">
              <w:rPr>
                <w:rFonts w:ascii="Adobe Caslon Pro" w:hAnsi="Adobe Caslon Pro" w:cs="Arial"/>
                <w:color w:val="222222"/>
                <w:sz w:val="20"/>
                <w:szCs w:val="20"/>
              </w:rPr>
              <w:t xml:space="preserve"> </w:t>
            </w:r>
            <w:r w:rsidRPr="009E30D1">
              <w:rPr>
                <w:rFonts w:ascii="Adobe Caslon Pro" w:hAnsi="Adobe Caslon Pro" w:cs="Arial"/>
                <w:color w:val="222222"/>
                <w:sz w:val="20"/>
                <w:szCs w:val="20"/>
              </w:rPr>
              <w:t>Sudáfrica, Tanzania, Uganda y Zambia</w:t>
            </w:r>
          </w:p>
        </w:tc>
      </w:tr>
      <w:tr w:rsidR="00304556" w:rsidRPr="009E30D1" w:rsidTr="00DC3F30">
        <w:trPr>
          <w:trHeight w:val="1322"/>
        </w:trPr>
        <w:tc>
          <w:tcPr>
            <w:tcW w:w="20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7654" w:type="dxa"/>
            <w:shd w:val="clear" w:color="000000" w:fill="FFFFFF"/>
            <w:vAlign w:val="center"/>
            <w:hideMark/>
          </w:tcPr>
          <w:p w:rsidR="00304556" w:rsidRPr="009E30D1" w:rsidRDefault="00304556" w:rsidP="00DC3F30">
            <w:pPr>
              <w:jc w:val="both"/>
              <w:rPr>
                <w:rFonts w:ascii="Adobe Caslon Pro" w:hAnsi="Adobe Caslon Pro" w:cs="Arial"/>
                <w:color w:val="222222"/>
                <w:sz w:val="20"/>
                <w:szCs w:val="20"/>
              </w:rPr>
            </w:pPr>
            <w:r w:rsidRPr="009E30D1">
              <w:rPr>
                <w:rFonts w:ascii="Adobe Caslon Pro" w:hAnsi="Adobe Caslon Pro" w:cs="Arial"/>
                <w:color w:val="222222"/>
                <w:sz w:val="20"/>
                <w:szCs w:val="20"/>
              </w:rPr>
              <w:t>El objetivo es alentar a las comunidades a preguntarse y rectificar las desigualdades de género que contribuyen al VIH / SIDA, la violencia de género y otras cuestiones relacionadas con la salud.</w:t>
            </w:r>
          </w:p>
        </w:tc>
      </w:tr>
      <w:tr w:rsidR="00304556" w:rsidRPr="009E30D1" w:rsidTr="00DC3F30">
        <w:trPr>
          <w:trHeight w:val="1275"/>
        </w:trPr>
        <w:tc>
          <w:tcPr>
            <w:tcW w:w="20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654" w:type="dxa"/>
            <w:shd w:val="clear" w:color="000000" w:fill="FFFFFF"/>
            <w:vAlign w:val="center"/>
            <w:hideMark/>
          </w:tcPr>
          <w:p w:rsidR="00304556" w:rsidRPr="009E30D1" w:rsidRDefault="00304556" w:rsidP="00DC3F30">
            <w:pPr>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Ofrece capacitación y talleres en materia de género, de VIH, de comunicación y de habilidades de relación, dirigidos a toda la comunidad y a grupos específicos de personas. Brinda capacitación con un enfoque participativo de la educación no formal a través de debates compartidos y actividades creativas que se acompañan. </w:t>
            </w:r>
          </w:p>
        </w:tc>
      </w:tr>
      <w:tr w:rsidR="00304556" w:rsidRPr="009E30D1" w:rsidTr="00DC3F30">
        <w:trPr>
          <w:trHeight w:val="1020"/>
        </w:trPr>
        <w:tc>
          <w:tcPr>
            <w:tcW w:w="20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w:t>
            </w:r>
          </w:p>
        </w:tc>
        <w:tc>
          <w:tcPr>
            <w:tcW w:w="7654" w:type="dxa"/>
            <w:shd w:val="clear" w:color="000000" w:fill="FFFFFF"/>
            <w:vAlign w:val="center"/>
            <w:hideMark/>
          </w:tcPr>
          <w:p w:rsidR="00304556" w:rsidRPr="009E30D1" w:rsidRDefault="00304556" w:rsidP="00DC3F30">
            <w:pPr>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Se enfocan a la reducción de los conflictos dentro de una pareja y a promover el entendimiento mutuo. Existen numerosos informes sobre la reducción de violencia de género en comunidades que utilizaron </w:t>
            </w:r>
            <w:proofErr w:type="spellStart"/>
            <w:r w:rsidRPr="009E30D1">
              <w:rPr>
                <w:rFonts w:ascii="Adobe Caslon Pro" w:hAnsi="Adobe Caslon Pro" w:cs="Arial"/>
                <w:color w:val="222222"/>
                <w:sz w:val="20"/>
                <w:szCs w:val="20"/>
              </w:rPr>
              <w:t>The</w:t>
            </w:r>
            <w:proofErr w:type="spellEnd"/>
            <w:r w:rsidRPr="009E30D1">
              <w:rPr>
                <w:rFonts w:ascii="Adobe Caslon Pro" w:hAnsi="Adobe Caslon Pro" w:cs="Arial"/>
                <w:color w:val="222222"/>
                <w:sz w:val="20"/>
                <w:szCs w:val="20"/>
              </w:rPr>
              <w:t xml:space="preserve"> </w:t>
            </w:r>
            <w:proofErr w:type="spellStart"/>
            <w:r w:rsidRPr="009E30D1">
              <w:rPr>
                <w:rFonts w:ascii="Adobe Caslon Pro" w:hAnsi="Adobe Caslon Pro" w:cs="Arial"/>
                <w:color w:val="222222"/>
                <w:sz w:val="20"/>
                <w:szCs w:val="20"/>
              </w:rPr>
              <w:t>Stepping</w:t>
            </w:r>
            <w:proofErr w:type="spellEnd"/>
            <w:r w:rsidRPr="009E30D1">
              <w:rPr>
                <w:rFonts w:ascii="Adobe Caslon Pro" w:hAnsi="Adobe Caslon Pro" w:cs="Arial"/>
                <w:color w:val="222222"/>
                <w:sz w:val="20"/>
                <w:szCs w:val="20"/>
              </w:rPr>
              <w:t xml:space="preserve"> Stone con testimonios de mujeres participantes de todas partes del mundo.</w:t>
            </w:r>
          </w:p>
        </w:tc>
      </w:tr>
      <w:tr w:rsidR="00304556" w:rsidRPr="009E30D1" w:rsidTr="00DC3F30">
        <w:trPr>
          <w:trHeight w:val="1275"/>
        </w:trPr>
        <w:tc>
          <w:tcPr>
            <w:tcW w:w="20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654" w:type="dxa"/>
            <w:shd w:val="clear" w:color="000000" w:fill="FFFFFF"/>
            <w:vAlign w:val="center"/>
            <w:hideMark/>
          </w:tcPr>
          <w:p w:rsidR="00304556" w:rsidRPr="009E30D1" w:rsidRDefault="00304556" w:rsidP="00DC3F30">
            <w:pPr>
              <w:jc w:val="both"/>
              <w:rPr>
                <w:rFonts w:ascii="Adobe Caslon Pro" w:hAnsi="Adobe Caslon Pro" w:cs="Arial"/>
                <w:color w:val="222222"/>
                <w:sz w:val="20"/>
                <w:szCs w:val="20"/>
              </w:rPr>
            </w:pPr>
            <w:r w:rsidRPr="009E30D1">
              <w:rPr>
                <w:rFonts w:ascii="Adobe Caslon Pro" w:hAnsi="Adobe Caslon Pro" w:cs="Arial"/>
                <w:color w:val="222222"/>
                <w:sz w:val="20"/>
                <w:szCs w:val="20"/>
              </w:rPr>
              <w:t>La expansión es un desafío para desarrollar un mayor acceso al programa. La sostenibilidad es otro gran desafío. Varias evaluaciones de este programa han puesto en claro la necesidad de garantizar que se dé seguimiento a la labor y participación de las organizaciones en las comunidades donde ya se hayan llevado a cabo talleres.</w:t>
            </w:r>
          </w:p>
        </w:tc>
      </w:tr>
      <w:tr w:rsidR="00304556" w:rsidRPr="009E30D1" w:rsidTr="00DC3F30">
        <w:trPr>
          <w:trHeight w:val="765"/>
        </w:trPr>
        <w:tc>
          <w:tcPr>
            <w:tcW w:w="20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6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Evaluado en Gambia, se condujo una evaluación externa con grupos focales (conocimientos, actitudes y prácticas).</w:t>
            </w:r>
          </w:p>
        </w:tc>
      </w:tr>
      <w:tr w:rsidR="00304556" w:rsidRPr="009E30D1" w:rsidTr="00DC3F30">
        <w:trPr>
          <w:trHeight w:val="1275"/>
        </w:trPr>
        <w:tc>
          <w:tcPr>
            <w:tcW w:w="20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6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En Gambia, el programa mejoró las actitudes </w:t>
            </w:r>
            <w:proofErr w:type="spellStart"/>
            <w:r w:rsidRPr="009E30D1">
              <w:rPr>
                <w:rFonts w:ascii="Adobe Caslon Pro" w:hAnsi="Adobe Caslon Pro" w:cs="Arial"/>
                <w:color w:val="222222"/>
                <w:sz w:val="20"/>
                <w:szCs w:val="20"/>
              </w:rPr>
              <w:t>autorreportadas</w:t>
            </w:r>
            <w:proofErr w:type="spellEnd"/>
            <w:r w:rsidRPr="009E30D1">
              <w:rPr>
                <w:rFonts w:ascii="Adobe Caslon Pro" w:hAnsi="Adobe Caslon Pro" w:cs="Arial"/>
                <w:color w:val="222222"/>
                <w:sz w:val="20"/>
                <w:szCs w:val="20"/>
              </w:rPr>
              <w:t xml:space="preserve"> y comportamientos relacionados con la violencia contra la mujer.</w:t>
            </w:r>
          </w:p>
        </w:tc>
      </w:tr>
      <w:tr w:rsidR="00304556" w:rsidRPr="009E30D1" w:rsidTr="00DC3F30">
        <w:trPr>
          <w:trHeight w:val="300"/>
        </w:trPr>
        <w:tc>
          <w:tcPr>
            <w:tcW w:w="2000" w:type="dxa"/>
            <w:vMerge w:val="restart"/>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654" w:type="dxa"/>
            <w:shd w:val="clear" w:color="000000" w:fill="FFFFFF"/>
            <w:vAlign w:val="center"/>
            <w:hideMark/>
          </w:tcPr>
          <w:p w:rsidR="00304556" w:rsidRPr="009E30D1" w:rsidRDefault="006E5628" w:rsidP="00DC3F30">
            <w:pPr>
              <w:jc w:val="both"/>
              <w:rPr>
                <w:rFonts w:ascii="Adobe Caslon Pro" w:hAnsi="Adobe Caslon Pro" w:cs="Arial"/>
                <w:color w:val="222222"/>
                <w:sz w:val="20"/>
                <w:szCs w:val="20"/>
              </w:rPr>
            </w:pPr>
            <w:hyperlink r:id="rId52" w:history="1">
              <w:r w:rsidR="00304556" w:rsidRPr="009E30D1">
                <w:rPr>
                  <w:rFonts w:ascii="Adobe Caslon Pro" w:hAnsi="Adobe Caslon Pro" w:cs="Arial"/>
                  <w:color w:val="222222"/>
                  <w:sz w:val="20"/>
                  <w:szCs w:val="20"/>
                </w:rPr>
                <w:t>http://www.steppingstonesfeedback.org/index.php/page/About/gb</w:t>
              </w:r>
            </w:hyperlink>
          </w:p>
        </w:tc>
      </w:tr>
      <w:tr w:rsidR="00304556" w:rsidRPr="009E30D1" w:rsidTr="00DC3F30">
        <w:trPr>
          <w:trHeight w:val="765"/>
        </w:trPr>
        <w:tc>
          <w:tcPr>
            <w:tcW w:w="2000" w:type="dxa"/>
            <w:vMerge/>
            <w:vAlign w:val="center"/>
            <w:hideMark/>
          </w:tcPr>
          <w:p w:rsidR="00304556" w:rsidRPr="009E30D1" w:rsidRDefault="00304556" w:rsidP="00DC3F30">
            <w:pPr>
              <w:spacing w:after="0" w:line="240" w:lineRule="auto"/>
              <w:rPr>
                <w:rFonts w:ascii="Adobe Caslon Pro" w:hAnsi="Adobe Caslon Pro" w:cs="Arial"/>
                <w:b/>
                <w:bCs/>
                <w:color w:val="222222"/>
                <w:sz w:val="20"/>
                <w:szCs w:val="20"/>
              </w:rPr>
            </w:pPr>
          </w:p>
        </w:tc>
        <w:tc>
          <w:tcPr>
            <w:tcW w:w="7654" w:type="dxa"/>
            <w:shd w:val="clear" w:color="000000" w:fill="FFFFFF"/>
            <w:vAlign w:val="center"/>
            <w:hideMark/>
          </w:tcPr>
          <w:p w:rsidR="00304556" w:rsidRPr="009E30D1" w:rsidRDefault="00304556" w:rsidP="00DC3F30">
            <w:pPr>
              <w:jc w:val="both"/>
              <w:rPr>
                <w:rFonts w:ascii="Adobe Caslon Pro" w:hAnsi="Adobe Caslon Pro" w:cs="Arial"/>
                <w:color w:val="222222"/>
                <w:sz w:val="20"/>
                <w:szCs w:val="20"/>
                <w:lang w:val="en-US"/>
              </w:rPr>
            </w:pPr>
            <w:proofErr w:type="spellStart"/>
            <w:r w:rsidRPr="009E30D1">
              <w:rPr>
                <w:rFonts w:ascii="Adobe Caslon Pro" w:hAnsi="Adobe Caslon Pro" w:cs="Arial"/>
                <w:color w:val="222222"/>
                <w:sz w:val="20"/>
                <w:szCs w:val="20"/>
                <w:lang w:val="en-US"/>
              </w:rPr>
              <w:t>Bott</w:t>
            </w:r>
            <w:proofErr w:type="spellEnd"/>
            <w:r w:rsidRPr="009E30D1">
              <w:rPr>
                <w:rFonts w:ascii="Adobe Caslon Pro" w:hAnsi="Adobe Caslon Pro" w:cs="Arial"/>
                <w:color w:val="222222"/>
                <w:sz w:val="20"/>
                <w:szCs w:val="20"/>
                <w:lang w:val="en-US"/>
              </w:rPr>
              <w:t xml:space="preserve"> S, Morrison A, Ellsberg M. Preventing and responding to gender-based violence in middle and low income countries: a global review and analysis. World Bank Policy Research Working Paper 3618, June 2005.</w:t>
            </w:r>
          </w:p>
        </w:tc>
      </w:tr>
    </w:tbl>
    <w:p w:rsidR="00304556" w:rsidRPr="009E30D1" w:rsidRDefault="00304556" w:rsidP="00304556">
      <w:pPr>
        <w:rPr>
          <w:rFonts w:ascii="Adobe Caslon Pro" w:hAnsi="Adobe Caslon Pro" w:cs="Arial"/>
          <w:sz w:val="20"/>
          <w:szCs w:val="20"/>
          <w:lang w:val="en-US"/>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100"/>
        <w:gridCol w:w="7554"/>
      </w:tblGrid>
      <w:tr w:rsidR="00304556" w:rsidRPr="009E30D1" w:rsidTr="00DC3F30">
        <w:trPr>
          <w:trHeight w:val="694"/>
        </w:trPr>
        <w:tc>
          <w:tcPr>
            <w:tcW w:w="2100" w:type="dxa"/>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lang w:val="en-US"/>
              </w:rPr>
              <w:lastRenderedPageBreak/>
              <w:br w:type="page"/>
            </w:r>
            <w:r w:rsidRPr="009E30D1">
              <w:rPr>
                <w:rFonts w:ascii="Adobe Caslon Pro" w:hAnsi="Adobe Caslon Pro" w:cs="Arial"/>
                <w:b/>
                <w:bCs/>
                <w:color w:val="222222"/>
                <w:sz w:val="20"/>
                <w:szCs w:val="20"/>
              </w:rPr>
              <w:t>Nombre del Programa</w:t>
            </w:r>
          </w:p>
        </w:tc>
        <w:tc>
          <w:tcPr>
            <w:tcW w:w="7554" w:type="dxa"/>
            <w:shd w:val="clear" w:color="auto" w:fill="A6A6A6"/>
            <w:vAlign w:val="center"/>
            <w:hideMark/>
          </w:tcPr>
          <w:p w:rsidR="00304556" w:rsidRPr="009E30D1" w:rsidRDefault="00304556" w:rsidP="00DC3F30">
            <w:pPr>
              <w:spacing w:after="0" w:line="240" w:lineRule="auto"/>
              <w:rPr>
                <w:rFonts w:ascii="Adobe Caslon Pro" w:hAnsi="Adobe Caslon Pro" w:cs="Arial"/>
                <w:color w:val="222222"/>
                <w:sz w:val="20"/>
                <w:szCs w:val="20"/>
              </w:rPr>
            </w:pPr>
            <w:r w:rsidRPr="009E30D1">
              <w:rPr>
                <w:rFonts w:ascii="Adobe Caslon Pro" w:hAnsi="Adobe Caslon Pro" w:cs="Arial"/>
                <w:color w:val="222222"/>
                <w:sz w:val="20"/>
                <w:szCs w:val="20"/>
              </w:rPr>
              <w:t>Programa H</w:t>
            </w:r>
          </w:p>
        </w:tc>
      </w:tr>
      <w:tr w:rsidR="00304556" w:rsidRPr="009E30D1" w:rsidTr="00DC3F30">
        <w:trPr>
          <w:trHeight w:val="704"/>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proofErr w:type="spellStart"/>
            <w:r w:rsidRPr="009E30D1">
              <w:rPr>
                <w:rFonts w:ascii="Adobe Caslon Pro" w:hAnsi="Adobe Caslon Pro" w:cs="Arial"/>
                <w:color w:val="222222"/>
                <w:sz w:val="20"/>
                <w:szCs w:val="20"/>
              </w:rPr>
              <w:t>Promundo</w:t>
            </w:r>
            <w:proofErr w:type="spellEnd"/>
          </w:p>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Bolivia, Brasil, Colombia, Jamaica, México y Perú.</w:t>
            </w:r>
          </w:p>
        </w:tc>
      </w:tr>
      <w:tr w:rsidR="00304556" w:rsidRPr="009E30D1" w:rsidTr="00DC3F30">
        <w:trPr>
          <w:trHeight w:val="1078"/>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El programa tiene como objetivo cambiar normas de género y comportamientos sexuales.</w:t>
            </w:r>
          </w:p>
        </w:tc>
      </w:tr>
      <w:tr w:rsidR="00304556" w:rsidRPr="009E30D1" w:rsidTr="00DC3F30">
        <w:trPr>
          <w:trHeight w:val="1971"/>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Este programa brinda servicios de consejería, médico, sensibilización en comunidad (</w:t>
            </w:r>
            <w:proofErr w:type="spellStart"/>
            <w:r w:rsidRPr="009E30D1">
              <w:rPr>
                <w:rFonts w:ascii="Adobe Caslon Pro" w:hAnsi="Adobe Caslon Pro" w:cs="Arial"/>
                <w:color w:val="222222"/>
                <w:sz w:val="20"/>
                <w:szCs w:val="20"/>
              </w:rPr>
              <w:t>Outreach</w:t>
            </w:r>
            <w:proofErr w:type="spellEnd"/>
            <w:r w:rsidRPr="009E30D1">
              <w:rPr>
                <w:rFonts w:ascii="Adobe Caslon Pro" w:hAnsi="Adobe Caslon Pro" w:cs="Arial"/>
                <w:color w:val="222222"/>
                <w:sz w:val="20"/>
                <w:szCs w:val="20"/>
              </w:rPr>
              <w:t>) y capacitación de profesionales para trabajar con jóvenes en el ámbito de la salud y la equidad de género mediante un conjunto de manuales y videos. Las actividades se basan en un manual, e incluyen juegos de rol, intercambio de ideas, y otros ejercicios de participación para ayudar a reflexionar sobre aspectos positivos y negativos de la socialización, y ponderar los beneficios de cambiar ciertos comportamientos.</w:t>
            </w:r>
          </w:p>
        </w:tc>
      </w:tr>
      <w:tr w:rsidR="00304556" w:rsidRPr="009E30D1" w:rsidTr="00DC3F30">
        <w:trPr>
          <w:trHeight w:val="1276"/>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Incremento significativo en el uso del condón entre los hombres jóvenes en Brasil y la India. Reducción significativa del uso de la violencia contra la pareja en la India. Cambio notable en las actitudes de género entre los hombres jóvenes en Brasil.</w:t>
            </w:r>
          </w:p>
        </w:tc>
      </w:tr>
      <w:tr w:rsidR="00304556" w:rsidRPr="009E30D1" w:rsidTr="00DC3F30">
        <w:trPr>
          <w:trHeight w:val="1275"/>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La investigación confirmó que hay afirmaciones de normas de género no equitativas en hombres jóvenes. Por lo que se indica que el apoyo a las normas de equidad de género y el comportamiento es un aspecto importante que debe ser abordado en el diseño e implementación de programas. </w:t>
            </w:r>
          </w:p>
        </w:tc>
      </w:tr>
      <w:tr w:rsidR="00304556" w:rsidRPr="009E30D1" w:rsidTr="00DC3F30">
        <w:trPr>
          <w:trHeight w:val="102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Los métodos incluyen </w:t>
            </w:r>
            <w:proofErr w:type="spellStart"/>
            <w:r w:rsidRPr="009E30D1">
              <w:rPr>
                <w:rFonts w:ascii="Adobe Caslon Pro" w:hAnsi="Adobe Caslon Pro" w:cs="Arial"/>
                <w:color w:val="222222"/>
                <w:sz w:val="20"/>
                <w:szCs w:val="20"/>
              </w:rPr>
              <w:t>prepruebas</w:t>
            </w:r>
            <w:proofErr w:type="spellEnd"/>
            <w:r w:rsidRPr="009E30D1">
              <w:rPr>
                <w:rFonts w:ascii="Adobe Caslon Pro" w:hAnsi="Adobe Caslon Pro" w:cs="Arial"/>
                <w:color w:val="222222"/>
                <w:sz w:val="20"/>
                <w:szCs w:val="20"/>
              </w:rPr>
              <w:t xml:space="preserve"> y </w:t>
            </w:r>
            <w:proofErr w:type="spellStart"/>
            <w:r w:rsidRPr="009E30D1">
              <w:rPr>
                <w:rFonts w:ascii="Adobe Caslon Pro" w:hAnsi="Adobe Caslon Pro" w:cs="Arial"/>
                <w:color w:val="222222"/>
                <w:sz w:val="20"/>
                <w:szCs w:val="20"/>
              </w:rPr>
              <w:t>pospruebas</w:t>
            </w:r>
            <w:proofErr w:type="spellEnd"/>
            <w:r w:rsidRPr="009E30D1">
              <w:rPr>
                <w:rFonts w:ascii="Adobe Caslon Pro" w:hAnsi="Adobe Caslon Pro" w:cs="Arial"/>
                <w:color w:val="222222"/>
                <w:sz w:val="20"/>
                <w:szCs w:val="20"/>
              </w:rPr>
              <w:t>, así como un periodo de seis meses de seguimiento en la comunidad de estudio. Además, se reúne información cualitativa entre los hombres y sus parejas femeninas</w:t>
            </w:r>
          </w:p>
        </w:tc>
      </w:tr>
      <w:tr w:rsidR="00304556" w:rsidRPr="009E30D1" w:rsidTr="00DC3F30">
        <w:trPr>
          <w:trHeight w:val="1275"/>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Los resultados preliminares sugieren que el programa ha tenido éxito en aumentar la equidad de género y la reducción de las normas de comportamiento que pone a los hombres en mayor riesgo de VIH / SIDA</w:t>
            </w:r>
          </w:p>
        </w:tc>
      </w:tr>
      <w:tr w:rsidR="00304556" w:rsidRPr="009E30D1" w:rsidTr="00DC3F30">
        <w:trPr>
          <w:trHeight w:val="510"/>
        </w:trPr>
        <w:tc>
          <w:tcPr>
            <w:tcW w:w="2100" w:type="dxa"/>
            <w:vMerge w:val="restart"/>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554" w:type="dxa"/>
            <w:shd w:val="clear" w:color="000000" w:fill="FFFFFF"/>
            <w:vAlign w:val="center"/>
            <w:hideMark/>
          </w:tcPr>
          <w:p w:rsidR="00304556" w:rsidRPr="009E30D1" w:rsidRDefault="006E5628" w:rsidP="00DC3F30">
            <w:pPr>
              <w:spacing w:after="0" w:line="240" w:lineRule="auto"/>
              <w:jc w:val="both"/>
              <w:rPr>
                <w:rFonts w:ascii="Adobe Caslon Pro" w:hAnsi="Adobe Caslon Pro" w:cs="Arial"/>
                <w:color w:val="222222"/>
                <w:sz w:val="20"/>
                <w:szCs w:val="20"/>
              </w:rPr>
            </w:pPr>
            <w:hyperlink r:id="rId53" w:history="1">
              <w:r w:rsidR="00304556" w:rsidRPr="009E30D1">
                <w:rPr>
                  <w:rFonts w:ascii="Adobe Caslon Pro" w:hAnsi="Adobe Caslon Pro" w:cs="Arial"/>
                  <w:color w:val="222222"/>
                  <w:sz w:val="20"/>
                  <w:szCs w:val="20"/>
                </w:rPr>
                <w:t>http://www.promundo.org.br/wp-content/uploads/2011/01/OPAS_ESPANHOLweb.pdf</w:t>
              </w:r>
            </w:hyperlink>
          </w:p>
        </w:tc>
      </w:tr>
      <w:tr w:rsidR="00304556" w:rsidRPr="009E30D1" w:rsidTr="00DC3F30">
        <w:trPr>
          <w:trHeight w:val="1020"/>
        </w:trPr>
        <w:tc>
          <w:tcPr>
            <w:tcW w:w="2100" w:type="dxa"/>
            <w:vMerge/>
            <w:vAlign w:val="center"/>
            <w:hideMark/>
          </w:tcPr>
          <w:p w:rsidR="00304556" w:rsidRPr="009E30D1" w:rsidRDefault="00304556" w:rsidP="00DC3F30">
            <w:pPr>
              <w:spacing w:after="0" w:line="240" w:lineRule="auto"/>
              <w:rPr>
                <w:rFonts w:ascii="Adobe Caslon Pro" w:hAnsi="Adobe Caslon Pro" w:cs="Arial"/>
                <w:b/>
                <w:bCs/>
                <w:color w:val="222222"/>
                <w:sz w:val="20"/>
                <w:szCs w:val="20"/>
              </w:rPr>
            </w:pP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proofErr w:type="spellStart"/>
            <w:r w:rsidRPr="009E30D1">
              <w:rPr>
                <w:rFonts w:ascii="Adobe Caslon Pro" w:hAnsi="Adobe Caslon Pro" w:cs="Arial"/>
                <w:color w:val="222222"/>
                <w:sz w:val="20"/>
                <w:szCs w:val="20"/>
                <w:lang w:val="en-US"/>
              </w:rPr>
              <w:t>Bott</w:t>
            </w:r>
            <w:proofErr w:type="spellEnd"/>
            <w:r w:rsidRPr="009E30D1">
              <w:rPr>
                <w:rFonts w:ascii="Adobe Caslon Pro" w:hAnsi="Adobe Caslon Pro" w:cs="Arial"/>
                <w:color w:val="222222"/>
                <w:sz w:val="20"/>
                <w:szCs w:val="20"/>
                <w:lang w:val="en-US"/>
              </w:rPr>
              <w:t xml:space="preserve"> S, Morrison A, Ellsberg M. Preventing and responding to gender-based violence in middle and low income countries: a global review and analysis. </w:t>
            </w:r>
            <w:proofErr w:type="spellStart"/>
            <w:r w:rsidRPr="009E30D1">
              <w:rPr>
                <w:rFonts w:ascii="Adobe Caslon Pro" w:hAnsi="Adobe Caslon Pro" w:cs="Arial"/>
                <w:color w:val="222222"/>
                <w:sz w:val="20"/>
                <w:szCs w:val="20"/>
              </w:rPr>
              <w:t>World</w:t>
            </w:r>
            <w:proofErr w:type="spellEnd"/>
            <w:r w:rsidRPr="009E30D1">
              <w:rPr>
                <w:rFonts w:ascii="Adobe Caslon Pro" w:hAnsi="Adobe Caslon Pro" w:cs="Arial"/>
                <w:color w:val="222222"/>
                <w:sz w:val="20"/>
                <w:szCs w:val="20"/>
              </w:rPr>
              <w:t xml:space="preserve"> Bank </w:t>
            </w:r>
            <w:proofErr w:type="spellStart"/>
            <w:r w:rsidRPr="009E30D1">
              <w:rPr>
                <w:rFonts w:ascii="Adobe Caslon Pro" w:hAnsi="Adobe Caslon Pro" w:cs="Arial"/>
                <w:color w:val="222222"/>
                <w:sz w:val="20"/>
                <w:szCs w:val="20"/>
              </w:rPr>
              <w:t>Policy</w:t>
            </w:r>
            <w:proofErr w:type="spellEnd"/>
            <w:r w:rsidRPr="009E30D1">
              <w:rPr>
                <w:rFonts w:ascii="Adobe Caslon Pro" w:hAnsi="Adobe Caslon Pro" w:cs="Arial"/>
                <w:color w:val="222222"/>
                <w:sz w:val="20"/>
                <w:szCs w:val="20"/>
              </w:rPr>
              <w:t xml:space="preserve"> </w:t>
            </w:r>
            <w:proofErr w:type="spellStart"/>
            <w:r w:rsidRPr="009E30D1">
              <w:rPr>
                <w:rFonts w:ascii="Adobe Caslon Pro" w:hAnsi="Adobe Caslon Pro" w:cs="Arial"/>
                <w:color w:val="222222"/>
                <w:sz w:val="20"/>
                <w:szCs w:val="20"/>
              </w:rPr>
              <w:t>Research</w:t>
            </w:r>
            <w:proofErr w:type="spellEnd"/>
            <w:r w:rsidRPr="009E30D1">
              <w:rPr>
                <w:rFonts w:ascii="Adobe Caslon Pro" w:hAnsi="Adobe Caslon Pro" w:cs="Arial"/>
                <w:color w:val="222222"/>
                <w:sz w:val="20"/>
                <w:szCs w:val="20"/>
              </w:rPr>
              <w:t xml:space="preserve"> </w:t>
            </w:r>
            <w:proofErr w:type="spellStart"/>
            <w:r w:rsidRPr="009E30D1">
              <w:rPr>
                <w:rFonts w:ascii="Adobe Caslon Pro" w:hAnsi="Adobe Caslon Pro" w:cs="Arial"/>
                <w:color w:val="222222"/>
                <w:sz w:val="20"/>
                <w:szCs w:val="20"/>
              </w:rPr>
              <w:t>Working</w:t>
            </w:r>
            <w:proofErr w:type="spellEnd"/>
            <w:r w:rsidRPr="009E30D1">
              <w:rPr>
                <w:rFonts w:ascii="Adobe Caslon Pro" w:hAnsi="Adobe Caslon Pro" w:cs="Arial"/>
                <w:color w:val="222222"/>
                <w:sz w:val="20"/>
                <w:szCs w:val="20"/>
              </w:rPr>
              <w:t xml:space="preserve"> </w:t>
            </w:r>
            <w:proofErr w:type="spellStart"/>
            <w:r w:rsidRPr="009E30D1">
              <w:rPr>
                <w:rFonts w:ascii="Adobe Caslon Pro" w:hAnsi="Adobe Caslon Pro" w:cs="Arial"/>
                <w:color w:val="222222"/>
                <w:sz w:val="20"/>
                <w:szCs w:val="20"/>
              </w:rPr>
              <w:t>Paper</w:t>
            </w:r>
            <w:proofErr w:type="spellEnd"/>
            <w:r w:rsidRPr="009E30D1">
              <w:rPr>
                <w:rFonts w:ascii="Adobe Caslon Pro" w:hAnsi="Adobe Caslon Pro" w:cs="Arial"/>
                <w:color w:val="222222"/>
                <w:sz w:val="20"/>
                <w:szCs w:val="20"/>
              </w:rPr>
              <w:t xml:space="preserve"> 3618, June 2005.</w:t>
            </w:r>
          </w:p>
        </w:tc>
      </w:tr>
    </w:tbl>
    <w:p w:rsidR="00304556" w:rsidRPr="009E30D1" w:rsidRDefault="00304556" w:rsidP="00304556">
      <w:pPr>
        <w:rPr>
          <w:rFonts w:ascii="Adobe Caslon Pro" w:hAnsi="Adobe Caslon Pro" w:cs="Arial"/>
          <w:sz w:val="20"/>
          <w:szCs w:val="20"/>
          <w:lang w:val="en-US"/>
        </w:rPr>
      </w:pPr>
    </w:p>
    <w:tbl>
      <w:tblPr>
        <w:tblW w:w="9654"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00"/>
        <w:gridCol w:w="7554"/>
      </w:tblGrid>
      <w:tr w:rsidR="00304556" w:rsidRPr="00006AB7" w:rsidTr="00DC3F30">
        <w:trPr>
          <w:trHeight w:val="694"/>
        </w:trPr>
        <w:tc>
          <w:tcPr>
            <w:tcW w:w="2100" w:type="dxa"/>
            <w:tcBorders>
              <w:top w:val="single" w:sz="4" w:space="0" w:color="auto"/>
              <w:bottom w:val="single" w:sz="4" w:space="0" w:color="auto"/>
            </w:tcBorders>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lang w:val="en-US"/>
              </w:rPr>
              <w:br w:type="page"/>
            </w:r>
            <w:r w:rsidRPr="009E30D1">
              <w:rPr>
                <w:rFonts w:ascii="Adobe Caslon Pro" w:hAnsi="Adobe Caslon Pro" w:cs="Arial"/>
                <w:b/>
                <w:bCs/>
                <w:color w:val="222222"/>
                <w:sz w:val="20"/>
                <w:szCs w:val="20"/>
              </w:rPr>
              <w:t>Nombre del Programa</w:t>
            </w:r>
          </w:p>
        </w:tc>
        <w:tc>
          <w:tcPr>
            <w:tcW w:w="7554" w:type="dxa"/>
            <w:tcBorders>
              <w:top w:val="single" w:sz="4" w:space="0" w:color="auto"/>
              <w:bottom w:val="single" w:sz="4" w:space="0" w:color="auto"/>
            </w:tcBorders>
            <w:shd w:val="clear" w:color="auto" w:fill="A6A6A6"/>
            <w:vAlign w:val="center"/>
            <w:hideMark/>
          </w:tcPr>
          <w:p w:rsidR="00304556" w:rsidRPr="009E30D1" w:rsidRDefault="00304556" w:rsidP="00DC3F30">
            <w:pPr>
              <w:spacing w:after="0" w:line="240" w:lineRule="auto"/>
              <w:rPr>
                <w:rFonts w:ascii="Adobe Caslon Pro" w:hAnsi="Adobe Caslon Pro" w:cs="Arial"/>
                <w:color w:val="222222"/>
                <w:sz w:val="20"/>
                <w:szCs w:val="20"/>
                <w:lang w:val="en-US"/>
              </w:rPr>
            </w:pPr>
            <w:r w:rsidRPr="009E30D1">
              <w:rPr>
                <w:rFonts w:ascii="Adobe Caslon Pro" w:hAnsi="Adobe Caslon Pro" w:cs="Arial"/>
                <w:color w:val="222222"/>
                <w:sz w:val="20"/>
                <w:szCs w:val="20"/>
                <w:lang w:val="en-US"/>
              </w:rPr>
              <w:t>Counseling and Education To Stop Domestic Violence</w:t>
            </w:r>
          </w:p>
        </w:tc>
      </w:tr>
      <w:tr w:rsidR="00304556" w:rsidRPr="009E30D1" w:rsidTr="00DC3F30">
        <w:trPr>
          <w:trHeight w:val="718"/>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Grupo Emerge </w:t>
            </w:r>
          </w:p>
          <w:p w:rsidR="00304556" w:rsidRPr="009E30D1" w:rsidRDefault="00304556" w:rsidP="00DC3F30">
            <w:pPr>
              <w:spacing w:after="0" w:line="240" w:lineRule="auto"/>
              <w:jc w:val="both"/>
              <w:rPr>
                <w:rFonts w:ascii="Adobe Caslon Pro" w:hAnsi="Adobe Caslon Pro" w:cs="Arial"/>
                <w:color w:val="222222"/>
                <w:sz w:val="20"/>
                <w:szCs w:val="20"/>
              </w:rPr>
            </w:pPr>
            <w:proofErr w:type="spellStart"/>
            <w:r w:rsidRPr="009E30D1">
              <w:rPr>
                <w:rFonts w:ascii="Adobe Caslon Pro" w:hAnsi="Adobe Caslon Pro" w:cs="Arial"/>
                <w:color w:val="222222"/>
                <w:sz w:val="20"/>
                <w:szCs w:val="20"/>
              </w:rPr>
              <w:t>Massachussets</w:t>
            </w:r>
            <w:proofErr w:type="spellEnd"/>
            <w:r w:rsidRPr="009E30D1">
              <w:rPr>
                <w:rFonts w:ascii="Adobe Caslon Pro" w:hAnsi="Adobe Caslon Pro" w:cs="Arial"/>
                <w:color w:val="222222"/>
                <w:sz w:val="20"/>
                <w:szCs w:val="20"/>
              </w:rPr>
              <w:t>, Estados Unidos.</w:t>
            </w:r>
          </w:p>
        </w:tc>
      </w:tr>
      <w:tr w:rsidR="00304556" w:rsidRPr="009E30D1" w:rsidTr="00DC3F30">
        <w:trPr>
          <w:trHeight w:val="554"/>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lastRenderedPageBreak/>
              <w:t>Objetivo del programa</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Apoyar a hombres que ejercen violencia hacia sus parejas e hijos.</w:t>
            </w:r>
          </w:p>
        </w:tc>
      </w:tr>
      <w:tr w:rsidR="00304556" w:rsidRPr="009E30D1" w:rsidTr="00DC3F30">
        <w:trPr>
          <w:trHeight w:val="1413"/>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El Programa de Paternidad Responsable utiliza una versión adaptada del plan de estudios Papás </w:t>
            </w:r>
            <w:r w:rsidRPr="009E30D1">
              <w:rPr>
                <w:rFonts w:ascii="Times New Roman" w:hAnsi="Times New Roman"/>
                <w:color w:val="222222"/>
                <w:sz w:val="20"/>
                <w:szCs w:val="20"/>
              </w:rPr>
              <w:t>​​</w:t>
            </w:r>
            <w:proofErr w:type="spellStart"/>
            <w:r w:rsidRPr="009E30D1">
              <w:rPr>
                <w:rFonts w:ascii="Adobe Caslon Pro" w:hAnsi="Adobe Caslon Pro" w:cs="Arial"/>
                <w:color w:val="222222"/>
                <w:sz w:val="20"/>
                <w:szCs w:val="20"/>
              </w:rPr>
              <w:t>Caring</w:t>
            </w:r>
            <w:proofErr w:type="spellEnd"/>
            <w:r w:rsidRPr="009E30D1">
              <w:rPr>
                <w:rFonts w:ascii="Adobe Caslon Pro" w:hAnsi="Adobe Caslon Pro" w:cs="Arial"/>
                <w:color w:val="222222"/>
                <w:sz w:val="20"/>
                <w:szCs w:val="20"/>
              </w:rPr>
              <w:t>, destinados específicamente para padres con antecedentes de violencia doméstica. El programa otorga apoyos en consejería, grupos de reflexión, participa como programa de desvío por mandato legal</w:t>
            </w:r>
            <w:r w:rsidRPr="009E30D1">
              <w:rPr>
                <w:rStyle w:val="Refdenotaalpie"/>
                <w:rFonts w:ascii="Adobe Caslon Pro" w:hAnsi="Adobe Caslon Pro"/>
                <w:color w:val="222222"/>
                <w:sz w:val="20"/>
                <w:szCs w:val="20"/>
              </w:rPr>
              <w:footnoteReference w:id="36"/>
            </w:r>
            <w:r w:rsidRPr="009E30D1">
              <w:rPr>
                <w:rFonts w:ascii="Adobe Caslon Pro" w:hAnsi="Adobe Caslon Pro" w:cs="Arial"/>
                <w:color w:val="222222"/>
                <w:sz w:val="20"/>
                <w:szCs w:val="20"/>
              </w:rPr>
              <w:t xml:space="preserve"> y otorga materiales educativos en línea.</w:t>
            </w:r>
          </w:p>
        </w:tc>
      </w:tr>
      <w:tr w:rsidR="00304556" w:rsidRPr="009E30D1" w:rsidTr="00DC3F30">
        <w:trPr>
          <w:trHeight w:val="709"/>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El modelo se ha multiplicado en 44 estados de</w:t>
            </w:r>
            <w:r w:rsidR="0014504B" w:rsidRPr="009E30D1">
              <w:rPr>
                <w:rFonts w:ascii="Adobe Caslon Pro" w:hAnsi="Adobe Caslon Pro" w:cs="Arial"/>
                <w:color w:val="222222"/>
                <w:sz w:val="20"/>
                <w:szCs w:val="20"/>
              </w:rPr>
              <w:t xml:space="preserve"> </w:t>
            </w:r>
            <w:r w:rsidRPr="009E30D1">
              <w:rPr>
                <w:rFonts w:ascii="Adobe Caslon Pro" w:hAnsi="Adobe Caslon Pro" w:cs="Arial"/>
                <w:color w:val="222222"/>
                <w:sz w:val="20"/>
                <w:szCs w:val="20"/>
              </w:rPr>
              <w:t>Unión Americana y en 22 países del mundo.</w:t>
            </w:r>
          </w:p>
        </w:tc>
      </w:tr>
      <w:tr w:rsidR="00304556" w:rsidRPr="009E30D1" w:rsidTr="00DC3F30">
        <w:trPr>
          <w:trHeight w:val="719"/>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510"/>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“Actualmente el programa no cuenta con una evaluación de impacto”</w:t>
            </w:r>
          </w:p>
        </w:tc>
      </w:tr>
      <w:tr w:rsidR="00304556" w:rsidRPr="009E30D1" w:rsidTr="00DC3F30">
        <w:trPr>
          <w:trHeight w:val="1020"/>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510"/>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554" w:type="dxa"/>
            <w:tcBorders>
              <w:top w:val="single" w:sz="4" w:space="0" w:color="auto"/>
              <w:bottom w:val="single" w:sz="4" w:space="0" w:color="auto"/>
            </w:tcBorders>
            <w:shd w:val="clear" w:color="000000" w:fill="FFFFFF"/>
            <w:vAlign w:val="center"/>
            <w:hideMark/>
          </w:tcPr>
          <w:p w:rsidR="00304556" w:rsidRPr="009E30D1" w:rsidRDefault="006E5628" w:rsidP="00DC3F30">
            <w:pPr>
              <w:spacing w:after="0" w:line="240" w:lineRule="auto"/>
              <w:jc w:val="both"/>
              <w:rPr>
                <w:rFonts w:ascii="Adobe Caslon Pro" w:hAnsi="Adobe Caslon Pro" w:cs="Arial"/>
                <w:color w:val="222222"/>
                <w:sz w:val="20"/>
                <w:szCs w:val="20"/>
              </w:rPr>
            </w:pPr>
            <w:hyperlink r:id="rId54" w:history="1">
              <w:r w:rsidR="00304556" w:rsidRPr="009E30D1">
                <w:rPr>
                  <w:rFonts w:ascii="Adobe Caslon Pro" w:hAnsi="Adobe Caslon Pro" w:cs="Arial"/>
                  <w:color w:val="222222"/>
                  <w:sz w:val="20"/>
                  <w:szCs w:val="20"/>
                </w:rPr>
                <w:t>http://www.emergedv.com/</w:t>
              </w:r>
            </w:hyperlink>
          </w:p>
        </w:tc>
      </w:tr>
    </w:tbl>
    <w:p w:rsidR="00304556" w:rsidRPr="009E30D1" w:rsidRDefault="00304556" w:rsidP="00304556">
      <w:pPr>
        <w:rPr>
          <w:rFonts w:ascii="Adobe Caslon Pro" w:hAnsi="Adobe Caslon Pro" w:cs="Arial"/>
          <w:sz w:val="20"/>
          <w:szCs w:val="20"/>
          <w:lang w:val="en-US"/>
        </w:rPr>
      </w:pPr>
    </w:p>
    <w:tbl>
      <w:tblPr>
        <w:tblW w:w="9654"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00"/>
        <w:gridCol w:w="7554"/>
      </w:tblGrid>
      <w:tr w:rsidR="00304556" w:rsidRPr="009E30D1" w:rsidTr="00DC3F30">
        <w:trPr>
          <w:trHeight w:val="694"/>
        </w:trPr>
        <w:tc>
          <w:tcPr>
            <w:tcW w:w="2100" w:type="dxa"/>
            <w:tcBorders>
              <w:top w:val="single" w:sz="4" w:space="0" w:color="auto"/>
              <w:bottom w:val="single" w:sz="4" w:space="0" w:color="auto"/>
            </w:tcBorders>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Nombre del Programa</w:t>
            </w:r>
          </w:p>
        </w:tc>
        <w:tc>
          <w:tcPr>
            <w:tcW w:w="7554" w:type="dxa"/>
            <w:tcBorders>
              <w:top w:val="single" w:sz="4" w:space="0" w:color="auto"/>
              <w:bottom w:val="single" w:sz="4" w:space="0" w:color="auto"/>
            </w:tcBorders>
            <w:shd w:val="clear" w:color="auto" w:fill="A6A6A6"/>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Programa de Detección, Diagnóstico y Tratamiento de las Personas Afectadas por Violencia Intrafamiliar</w:t>
            </w:r>
          </w:p>
        </w:tc>
      </w:tr>
      <w:tr w:rsidR="00304556" w:rsidRPr="009E30D1" w:rsidTr="00DC3F30">
        <w:trPr>
          <w:trHeight w:val="718"/>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Ministerio de Salud (MINSAL)</w:t>
            </w:r>
          </w:p>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Santiago de Chile.</w:t>
            </w:r>
          </w:p>
        </w:tc>
      </w:tr>
      <w:tr w:rsidR="00304556" w:rsidRPr="009E30D1" w:rsidTr="00DC3F30">
        <w:trPr>
          <w:trHeight w:val="1020"/>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Brindar una atención tendiente a favorecer la protección de la mujer, eliminar la violencia, disminuir las consecuencias de la violencia en las mujeres y sus familias y desarrollar habilidades alternativas a la violencia.</w:t>
            </w:r>
          </w:p>
        </w:tc>
      </w:tr>
      <w:tr w:rsidR="00304556" w:rsidRPr="009E30D1" w:rsidTr="00DC3F30">
        <w:trPr>
          <w:trHeight w:val="1933"/>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Otorga gran importancia a la coordinación interinstitucional y el trabajo en red, incluyendo roles definidos para los distintos actores institucionales locales, principalmente los del nivel secundario en salud y del sector judicial. Este programa es un modelo de intervención integral en violencia intrafamiliar, que considera la intervención médica y psicosocial, en los planos individual, grupal y familiar para personas afectadas por esta problemática.</w:t>
            </w:r>
          </w:p>
        </w:tc>
      </w:tr>
      <w:tr w:rsidR="00304556" w:rsidRPr="009E30D1" w:rsidTr="00DC3F30">
        <w:trPr>
          <w:trHeight w:val="841"/>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683"/>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707"/>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lastRenderedPageBreak/>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“Actualmente el programa no cuenta con una evaluación de impacto”</w:t>
            </w:r>
          </w:p>
        </w:tc>
      </w:tr>
      <w:tr w:rsidR="00304556" w:rsidRPr="009E30D1" w:rsidTr="00DC3F30">
        <w:trPr>
          <w:trHeight w:val="1020"/>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1039"/>
        </w:trPr>
        <w:tc>
          <w:tcPr>
            <w:tcW w:w="2100"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554"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proofErr w:type="spellStart"/>
            <w:r w:rsidRPr="009E30D1">
              <w:rPr>
                <w:rFonts w:ascii="Adobe Caslon Pro" w:hAnsi="Adobe Caslon Pro" w:cs="Arial"/>
                <w:color w:val="222222"/>
                <w:sz w:val="20"/>
                <w:szCs w:val="20"/>
              </w:rPr>
              <w:t>Provoste</w:t>
            </w:r>
            <w:proofErr w:type="spellEnd"/>
            <w:r w:rsidRPr="009E30D1">
              <w:rPr>
                <w:rFonts w:ascii="Adobe Caslon Pro" w:hAnsi="Adobe Caslon Pro" w:cs="Arial"/>
                <w:color w:val="222222"/>
                <w:sz w:val="20"/>
                <w:szCs w:val="20"/>
              </w:rPr>
              <w:t xml:space="preserve"> P. Violencia contra la mujer en la pareja: respuestas de la salud pública en Santiago de Chile. Documento preparado como consultora de la Unidad Mujer y Desarrollo de la CEPAL, 2007.</w:t>
            </w:r>
          </w:p>
        </w:tc>
      </w:tr>
    </w:tbl>
    <w:p w:rsidR="00304556" w:rsidRPr="009E30D1" w:rsidRDefault="00304556" w:rsidP="00304556">
      <w:pPr>
        <w:spacing w:after="0" w:line="240" w:lineRule="auto"/>
        <w:rPr>
          <w:rFonts w:ascii="Adobe Caslon Pro" w:hAnsi="Adobe Caslon Pro" w:cs="Arial"/>
          <w:sz w:val="20"/>
          <w:szCs w:val="20"/>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100"/>
        <w:gridCol w:w="7554"/>
      </w:tblGrid>
      <w:tr w:rsidR="00304556" w:rsidRPr="00006AB7" w:rsidTr="00DC3F30">
        <w:trPr>
          <w:trHeight w:val="694"/>
        </w:trPr>
        <w:tc>
          <w:tcPr>
            <w:tcW w:w="2100" w:type="dxa"/>
            <w:shd w:val="clear" w:color="auto" w:fill="808080"/>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Nombre del Programa</w:t>
            </w:r>
          </w:p>
        </w:tc>
        <w:tc>
          <w:tcPr>
            <w:tcW w:w="7554" w:type="dxa"/>
            <w:shd w:val="clear" w:color="auto" w:fill="808080"/>
            <w:vAlign w:val="center"/>
            <w:hideMark/>
          </w:tcPr>
          <w:p w:rsidR="00304556" w:rsidRPr="009E30D1" w:rsidRDefault="00304556" w:rsidP="00DC3F30">
            <w:pPr>
              <w:spacing w:after="0" w:line="240" w:lineRule="auto"/>
              <w:jc w:val="both"/>
              <w:rPr>
                <w:rFonts w:ascii="Adobe Caslon Pro" w:hAnsi="Adobe Caslon Pro" w:cs="Arial"/>
                <w:color w:val="222222"/>
                <w:sz w:val="20"/>
                <w:szCs w:val="20"/>
                <w:lang w:val="en-US"/>
              </w:rPr>
            </w:pPr>
            <w:r w:rsidRPr="009E30D1">
              <w:rPr>
                <w:rFonts w:ascii="Adobe Caslon Pro" w:hAnsi="Adobe Caslon Pro" w:cs="Arial"/>
                <w:color w:val="222222"/>
                <w:sz w:val="20"/>
                <w:szCs w:val="20"/>
                <w:lang w:val="en-US"/>
              </w:rPr>
              <w:t xml:space="preserve">Domestic Abuse Intervention Project (DAIP) </w:t>
            </w:r>
          </w:p>
        </w:tc>
      </w:tr>
      <w:tr w:rsidR="00304556" w:rsidRPr="009E30D1" w:rsidTr="00DC3F30">
        <w:trPr>
          <w:trHeight w:val="718"/>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Programa </w:t>
            </w:r>
            <w:proofErr w:type="spellStart"/>
            <w:r w:rsidRPr="009E30D1">
              <w:rPr>
                <w:rFonts w:ascii="Adobe Caslon Pro" w:hAnsi="Adobe Caslon Pro" w:cs="Arial"/>
                <w:color w:val="222222"/>
                <w:sz w:val="20"/>
                <w:szCs w:val="20"/>
              </w:rPr>
              <w:t>Development</w:t>
            </w:r>
            <w:proofErr w:type="spellEnd"/>
            <w:r w:rsidRPr="009E30D1">
              <w:rPr>
                <w:rFonts w:ascii="Adobe Caslon Pro" w:hAnsi="Adobe Caslon Pro" w:cs="Arial"/>
                <w:color w:val="222222"/>
                <w:sz w:val="20"/>
                <w:szCs w:val="20"/>
              </w:rPr>
              <w:t xml:space="preserve">, Inc., Duluth, </w:t>
            </w:r>
            <w:proofErr w:type="spellStart"/>
            <w:r w:rsidRPr="009E30D1">
              <w:rPr>
                <w:rFonts w:ascii="Adobe Caslon Pro" w:hAnsi="Adobe Caslon Pro" w:cs="Arial"/>
                <w:color w:val="222222"/>
                <w:sz w:val="20"/>
                <w:szCs w:val="20"/>
              </w:rPr>
              <w:t>USADuluth</w:t>
            </w:r>
            <w:proofErr w:type="spellEnd"/>
            <w:r w:rsidRPr="009E30D1">
              <w:rPr>
                <w:rFonts w:ascii="Adobe Caslon Pro" w:hAnsi="Adobe Caslon Pro" w:cs="Arial"/>
                <w:color w:val="222222"/>
                <w:sz w:val="20"/>
                <w:szCs w:val="20"/>
              </w:rPr>
              <w:t>, Minnesota,</w:t>
            </w:r>
            <w:r w:rsidR="0014504B" w:rsidRPr="009E30D1">
              <w:rPr>
                <w:rFonts w:ascii="Adobe Caslon Pro" w:hAnsi="Adobe Caslon Pro" w:cs="Arial"/>
                <w:color w:val="222222"/>
                <w:sz w:val="20"/>
                <w:szCs w:val="20"/>
              </w:rPr>
              <w:t xml:space="preserve"> </w:t>
            </w:r>
            <w:r w:rsidRPr="009E30D1">
              <w:rPr>
                <w:rFonts w:ascii="Adobe Caslon Pro" w:hAnsi="Adobe Caslon Pro" w:cs="Arial"/>
                <w:color w:val="222222"/>
                <w:sz w:val="20"/>
                <w:szCs w:val="20"/>
              </w:rPr>
              <w:t>Estados Unidos.</w:t>
            </w:r>
          </w:p>
        </w:tc>
      </w:tr>
      <w:tr w:rsidR="00304556" w:rsidRPr="009E30D1" w:rsidTr="00DC3F30">
        <w:trPr>
          <w:trHeight w:val="102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DAIP trabaja para poner fin a la violencia contra las mujeres a través de sus programas en Duluth y en colaboración con los profesionales de la violencia doméstica en todo el mundo.</w:t>
            </w:r>
          </w:p>
        </w:tc>
      </w:tr>
      <w:tr w:rsidR="00304556" w:rsidRPr="009E30D1" w:rsidTr="00DC3F30">
        <w:trPr>
          <w:trHeight w:val="250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El programa da prioridad a las voces y experiencias de las mujeres que sufren maltrato. Considera que el maltrato es un patrón de acciones utilizados para controlar o dominar a su pareja intencional y trabaja activamente para cambiar las condiciones sociales que el uso de apoyo de los hombres de las tácticas de poder y control sobre las mujeres.</w:t>
            </w:r>
          </w:p>
          <w:p w:rsidR="00304556" w:rsidRPr="009E30D1" w:rsidRDefault="00304556" w:rsidP="00DC3F30">
            <w:pPr>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 Ofrece oportunidades de cambio para los delincuentes a través de grupos educativos por orden judicial para maltratadores. Ofrece servicios de consejería, grupos de reflexión, participa como programa de desvío por mandato legal, ofrece materiales educativos en línea.</w:t>
            </w:r>
          </w:p>
        </w:tc>
      </w:tr>
      <w:tr w:rsidR="00304556" w:rsidRPr="009E30D1" w:rsidTr="00DC3F30">
        <w:trPr>
          <w:trHeight w:val="1275"/>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Los resultados indican que de 500 hombres, sólo 283 completaron el proceso de admisión después de 12 meses y asistieron a una sesión de grupo al inicio, de éstos sólo 153 completaron el programa. Dos de cada tres de esos hombres fueron informados como no violentos. </w:t>
            </w:r>
          </w:p>
        </w:tc>
      </w:tr>
      <w:tr w:rsidR="00304556" w:rsidRPr="009E30D1" w:rsidTr="00DC3F30">
        <w:trPr>
          <w:trHeight w:val="51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51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Sí refiere evaluaciones. </w:t>
            </w:r>
          </w:p>
        </w:tc>
      </w:tr>
      <w:tr w:rsidR="00304556" w:rsidRPr="009E30D1" w:rsidTr="00DC3F30">
        <w:trPr>
          <w:trHeight w:val="102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554"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Fue el primer modelo en el país en instituir un proyecto de respuesta comunitaria integrada como una manera de proteger a las mujeres que sufrían violencia domestica</w:t>
            </w:r>
          </w:p>
        </w:tc>
      </w:tr>
      <w:tr w:rsidR="00304556" w:rsidRPr="009E30D1" w:rsidTr="00DC3F30">
        <w:trPr>
          <w:trHeight w:val="51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554" w:type="dxa"/>
            <w:shd w:val="clear" w:color="000000" w:fill="FFFFFF"/>
            <w:vAlign w:val="center"/>
            <w:hideMark/>
          </w:tcPr>
          <w:p w:rsidR="00304556" w:rsidRPr="009E30D1" w:rsidRDefault="006E5628" w:rsidP="00DC3F30">
            <w:pPr>
              <w:spacing w:after="0" w:line="240" w:lineRule="auto"/>
              <w:jc w:val="both"/>
              <w:rPr>
                <w:rFonts w:ascii="Adobe Caslon Pro" w:hAnsi="Adobe Caslon Pro" w:cs="Arial"/>
                <w:color w:val="222222"/>
                <w:sz w:val="20"/>
                <w:szCs w:val="20"/>
              </w:rPr>
            </w:pPr>
            <w:hyperlink r:id="rId55" w:history="1">
              <w:r w:rsidR="00304556" w:rsidRPr="009E30D1">
                <w:rPr>
                  <w:rFonts w:ascii="Adobe Caslon Pro" w:hAnsi="Adobe Caslon Pro" w:cs="Arial"/>
                  <w:color w:val="222222"/>
                  <w:sz w:val="20"/>
                  <w:szCs w:val="20"/>
                </w:rPr>
                <w:t>http://www.theduluthmodel.org/about.html</w:t>
              </w:r>
            </w:hyperlink>
          </w:p>
        </w:tc>
      </w:tr>
    </w:tbl>
    <w:p w:rsidR="00304556" w:rsidRPr="009E30D1" w:rsidRDefault="00304556" w:rsidP="00304556">
      <w:pPr>
        <w:rPr>
          <w:rFonts w:ascii="Adobe Caslon Pro" w:hAnsi="Adobe Caslon Pro" w:cs="Arial"/>
          <w:sz w:val="20"/>
          <w:szCs w:val="20"/>
        </w:rPr>
      </w:pPr>
    </w:p>
    <w:tbl>
      <w:tblPr>
        <w:tblW w:w="9673" w:type="dxa"/>
        <w:tblInd w:w="55"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100"/>
        <w:gridCol w:w="7573"/>
      </w:tblGrid>
      <w:tr w:rsidR="00304556" w:rsidRPr="009E30D1" w:rsidTr="00DC3F30">
        <w:trPr>
          <w:trHeight w:val="758"/>
        </w:trPr>
        <w:tc>
          <w:tcPr>
            <w:tcW w:w="2100" w:type="dxa"/>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lastRenderedPageBreak/>
              <w:br w:type="page"/>
            </w:r>
            <w:r w:rsidRPr="009E30D1">
              <w:rPr>
                <w:rFonts w:ascii="Adobe Caslon Pro" w:hAnsi="Adobe Caslon Pro" w:cs="Arial"/>
                <w:b/>
                <w:bCs/>
                <w:color w:val="222222"/>
                <w:sz w:val="20"/>
                <w:szCs w:val="20"/>
              </w:rPr>
              <w:t>Nombre del Programa</w:t>
            </w:r>
          </w:p>
        </w:tc>
        <w:tc>
          <w:tcPr>
            <w:tcW w:w="7573" w:type="dxa"/>
            <w:shd w:val="clear" w:color="auto" w:fill="A6A6A6"/>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Centro de Atención a la Violencia Intrafamiliar (CAVI)</w:t>
            </w:r>
          </w:p>
        </w:tc>
      </w:tr>
      <w:tr w:rsidR="00304556" w:rsidRPr="009E30D1" w:rsidTr="00DC3F30">
        <w:trPr>
          <w:trHeight w:val="698"/>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573"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Procuraduría General de Justicia del DF.</w:t>
            </w:r>
          </w:p>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México</w:t>
            </w:r>
          </w:p>
        </w:tc>
      </w:tr>
      <w:tr w:rsidR="00304556" w:rsidRPr="009E30D1" w:rsidTr="00DC3F30">
        <w:trPr>
          <w:trHeight w:val="562"/>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7573"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Atender a mujeres víctimas de violencia de pareja; niñas y niños hasta 12 años de edad víctimas de violencia familiar.</w:t>
            </w:r>
          </w:p>
        </w:tc>
      </w:tr>
      <w:tr w:rsidR="00304556" w:rsidRPr="009E30D1" w:rsidTr="00DC3F30">
        <w:trPr>
          <w:trHeight w:val="852"/>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573"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Otorga atención de trabajo social, asesoría legal y apoyo psicoterapéutico individual y grupal a mujeres. </w:t>
            </w:r>
          </w:p>
        </w:tc>
      </w:tr>
      <w:tr w:rsidR="00304556" w:rsidRPr="009E30D1" w:rsidTr="00DC3F30">
        <w:trPr>
          <w:trHeight w:val="765"/>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w:t>
            </w:r>
          </w:p>
        </w:tc>
        <w:tc>
          <w:tcPr>
            <w:tcW w:w="7573"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51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573"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51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573"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102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573"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510"/>
        </w:trPr>
        <w:tc>
          <w:tcPr>
            <w:tcW w:w="2100"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573" w:type="dxa"/>
            <w:shd w:val="clear" w:color="000000" w:fill="FFFFFF"/>
            <w:vAlign w:val="center"/>
            <w:hideMark/>
          </w:tcPr>
          <w:p w:rsidR="00304556" w:rsidRPr="009E30D1" w:rsidRDefault="006E5628" w:rsidP="00DC3F30">
            <w:pPr>
              <w:spacing w:after="0" w:line="240" w:lineRule="auto"/>
              <w:jc w:val="both"/>
              <w:rPr>
                <w:rFonts w:ascii="Adobe Caslon Pro" w:hAnsi="Adobe Caslon Pro" w:cs="Arial"/>
                <w:color w:val="222222"/>
                <w:sz w:val="20"/>
                <w:szCs w:val="20"/>
              </w:rPr>
            </w:pPr>
            <w:hyperlink r:id="rId56" w:history="1">
              <w:r w:rsidR="00304556" w:rsidRPr="009E30D1">
                <w:rPr>
                  <w:rFonts w:ascii="Adobe Caslon Pro" w:hAnsi="Adobe Caslon Pro" w:cs="Arial"/>
                  <w:color w:val="222222"/>
                  <w:sz w:val="20"/>
                  <w:szCs w:val="20"/>
                </w:rPr>
                <w:t>http://www.pgjdf.gob.mx/index.php/servicios/atencionvictimas/cavi</w:t>
              </w:r>
            </w:hyperlink>
          </w:p>
        </w:tc>
      </w:tr>
    </w:tbl>
    <w:p w:rsidR="00304556" w:rsidRPr="009E30D1" w:rsidRDefault="00304556" w:rsidP="00304556">
      <w:pPr>
        <w:rPr>
          <w:rFonts w:ascii="Adobe Caslon Pro" w:hAnsi="Adobe Caslon Pro" w:cs="Arial"/>
          <w:sz w:val="20"/>
          <w:szCs w:val="20"/>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42"/>
        <w:gridCol w:w="7512"/>
      </w:tblGrid>
      <w:tr w:rsidR="00304556" w:rsidRPr="009E30D1" w:rsidTr="00DC3F30">
        <w:trPr>
          <w:trHeight w:val="694"/>
        </w:trPr>
        <w:tc>
          <w:tcPr>
            <w:tcW w:w="2142" w:type="dxa"/>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br w:type="page"/>
            </w:r>
            <w:r w:rsidRPr="009E30D1">
              <w:rPr>
                <w:rFonts w:ascii="Adobe Caslon Pro" w:hAnsi="Adobe Caslon Pro" w:cs="Arial"/>
                <w:sz w:val="20"/>
                <w:szCs w:val="20"/>
              </w:rPr>
              <w:br w:type="page"/>
            </w:r>
            <w:r w:rsidRPr="009E30D1">
              <w:rPr>
                <w:rFonts w:ascii="Adobe Caslon Pro" w:hAnsi="Adobe Caslon Pro" w:cs="Arial"/>
                <w:b/>
                <w:bCs/>
                <w:color w:val="222222"/>
                <w:sz w:val="20"/>
                <w:szCs w:val="20"/>
              </w:rPr>
              <w:t>Nombre del Programa</w:t>
            </w:r>
          </w:p>
        </w:tc>
        <w:tc>
          <w:tcPr>
            <w:tcW w:w="7512" w:type="dxa"/>
            <w:shd w:val="clear" w:color="auto" w:fill="A6A6A6"/>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Programa Seguro Contra la Violencia Familiar</w:t>
            </w:r>
          </w:p>
        </w:tc>
      </w:tr>
      <w:tr w:rsidR="00304556" w:rsidRPr="009E30D1" w:rsidTr="00DC3F30">
        <w:trPr>
          <w:trHeight w:val="718"/>
        </w:trPr>
        <w:tc>
          <w:tcPr>
            <w:tcW w:w="2142"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SEDESO-DF</w:t>
            </w:r>
          </w:p>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México</w:t>
            </w:r>
          </w:p>
        </w:tc>
      </w:tr>
      <w:tr w:rsidR="00304556" w:rsidRPr="009E30D1" w:rsidTr="00DC3F30">
        <w:trPr>
          <w:trHeight w:val="1020"/>
        </w:trPr>
        <w:tc>
          <w:tcPr>
            <w:tcW w:w="2142"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Apoyar emocional y económicamente a las mujeres que se encuentran en una situación de violencia familiar que ponga en riesgo su integridad física, emocional e incluso su vida, para que puedan contar con las condiciones básicas que les permitan iniciar una vida libre de violencia.</w:t>
            </w:r>
          </w:p>
        </w:tc>
      </w:tr>
      <w:tr w:rsidR="00304556" w:rsidRPr="009E30D1" w:rsidTr="00DC3F30">
        <w:trPr>
          <w:trHeight w:val="283"/>
        </w:trPr>
        <w:tc>
          <w:tcPr>
            <w:tcW w:w="2142"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Este programa ofrece a la víctima directa e indirectas de violencia familiar condiciones mínimas de independencia para la toma de decisiones, empoderamiento y rescate de sus derechos a través de un proceso jurídico y de atención psicológica. Las mujeres beneficiadas por este programa son canalizadas por otras instancias como las UAPVIF, refugios, OSC y centros de atención a víctimas del delito de violencia familiar. Se otorga apoyo psicológico y un apoyo económico de $1,500 pesos mensuales durante un año. Brinda seguridad y protección a su integridad física y emocional (refugio y casa de emergencia para mujeres, sus hijas e hijos víctimas de violencia familiar extrema) y apoyo económico que contribuye a liberar a la mujer de su agresor pues favorece a salir de la situación de dependencia económica.</w:t>
            </w:r>
          </w:p>
        </w:tc>
      </w:tr>
      <w:tr w:rsidR="00304556" w:rsidRPr="009E30D1" w:rsidTr="00DC3F30">
        <w:trPr>
          <w:trHeight w:val="765"/>
        </w:trPr>
        <w:tc>
          <w:tcPr>
            <w:tcW w:w="2142"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lastRenderedPageBreak/>
              <w:t>Principales resultados</w:t>
            </w: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El porcentaje de mujeres que concluyeron el programa tiene el siguiente comportamiento: en 2009 fue 87.9%, en 2010 terminaron 85.3%, en 2011 acabaron</w:t>
            </w:r>
            <w:r w:rsidR="0014504B" w:rsidRPr="009E30D1">
              <w:rPr>
                <w:rFonts w:ascii="Adobe Caslon Pro" w:hAnsi="Adobe Caslon Pro" w:cs="Arial"/>
                <w:color w:val="222222"/>
                <w:sz w:val="20"/>
                <w:szCs w:val="20"/>
              </w:rPr>
              <w:t xml:space="preserve"> </w:t>
            </w:r>
            <w:r w:rsidRPr="009E30D1">
              <w:rPr>
                <w:rFonts w:ascii="Adobe Caslon Pro" w:hAnsi="Adobe Caslon Pro" w:cs="Arial"/>
                <w:color w:val="222222"/>
                <w:sz w:val="20"/>
                <w:szCs w:val="20"/>
              </w:rPr>
              <w:t>86.2% y en 2012 finalizaron 87%.</w:t>
            </w:r>
          </w:p>
        </w:tc>
      </w:tr>
      <w:tr w:rsidR="00304556" w:rsidRPr="009E30D1" w:rsidTr="00DC3F30">
        <w:trPr>
          <w:trHeight w:val="911"/>
        </w:trPr>
        <w:tc>
          <w:tcPr>
            <w:tcW w:w="2142"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Las mujeres víctimas de violencia obedecen a sus subjetividades. No es posible</w:t>
            </w:r>
            <w:r w:rsidR="0014504B" w:rsidRPr="009E30D1">
              <w:rPr>
                <w:rFonts w:ascii="Adobe Caslon Pro" w:hAnsi="Adobe Caslon Pro" w:cs="Arial"/>
                <w:color w:val="222222"/>
                <w:sz w:val="20"/>
                <w:szCs w:val="20"/>
              </w:rPr>
              <w:t xml:space="preserve"> </w:t>
            </w:r>
            <w:r w:rsidRPr="009E30D1">
              <w:rPr>
                <w:rFonts w:ascii="Adobe Caslon Pro" w:hAnsi="Adobe Caslon Pro" w:cs="Arial"/>
                <w:color w:val="222222"/>
                <w:sz w:val="20"/>
                <w:szCs w:val="20"/>
              </w:rPr>
              <w:t>asegurar que el proceso que inician con el Seguro concluirá en el sentido esperado.</w:t>
            </w:r>
          </w:p>
        </w:tc>
      </w:tr>
      <w:tr w:rsidR="00304556" w:rsidRPr="009E30D1" w:rsidTr="00DC3F30">
        <w:trPr>
          <w:trHeight w:val="853"/>
        </w:trPr>
        <w:tc>
          <w:tcPr>
            <w:tcW w:w="2142"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Se realizó una evaluación interna de resultados y se amplió con cuestionarios a las beneficiarias</w:t>
            </w:r>
          </w:p>
        </w:tc>
      </w:tr>
      <w:tr w:rsidR="00304556" w:rsidRPr="009E30D1" w:rsidTr="00DC3F30">
        <w:trPr>
          <w:trHeight w:val="1020"/>
        </w:trPr>
        <w:tc>
          <w:tcPr>
            <w:tcW w:w="2142"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El programa ofrece una atención integral para que las mujeres, por propia convicción, se alejen del agresor y no por obligación. El personal tiene amplio conocimiento de la perspectiva de género y sobre los</w:t>
            </w:r>
            <w:r w:rsidR="0014504B" w:rsidRPr="009E30D1">
              <w:rPr>
                <w:rFonts w:ascii="Adobe Caslon Pro" w:hAnsi="Adobe Caslon Pro" w:cs="Arial"/>
                <w:color w:val="222222"/>
                <w:sz w:val="20"/>
                <w:szCs w:val="20"/>
              </w:rPr>
              <w:t xml:space="preserve"> </w:t>
            </w:r>
            <w:r w:rsidRPr="009E30D1">
              <w:rPr>
                <w:rFonts w:ascii="Adobe Caslon Pro" w:hAnsi="Adobe Caslon Pro" w:cs="Arial"/>
                <w:color w:val="222222"/>
                <w:sz w:val="20"/>
                <w:szCs w:val="20"/>
              </w:rPr>
              <w:t>procesos internos que viven las víctimas de violencia familiar.</w:t>
            </w:r>
          </w:p>
        </w:tc>
      </w:tr>
      <w:tr w:rsidR="00304556" w:rsidRPr="009E30D1" w:rsidTr="00DC3F30">
        <w:trPr>
          <w:trHeight w:val="653"/>
        </w:trPr>
        <w:tc>
          <w:tcPr>
            <w:tcW w:w="2142" w:type="dxa"/>
            <w:vMerge w:val="restart"/>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512" w:type="dxa"/>
            <w:shd w:val="clear" w:color="000000" w:fill="FFFFFF"/>
            <w:vAlign w:val="center"/>
            <w:hideMark/>
          </w:tcPr>
          <w:p w:rsidR="00304556" w:rsidRPr="009E30D1" w:rsidRDefault="006E5628" w:rsidP="00DC3F30">
            <w:pPr>
              <w:spacing w:after="0" w:line="240" w:lineRule="auto"/>
              <w:jc w:val="both"/>
              <w:rPr>
                <w:rFonts w:ascii="Adobe Caslon Pro" w:hAnsi="Adobe Caslon Pro" w:cs="Arial"/>
                <w:color w:val="222222"/>
                <w:sz w:val="20"/>
                <w:szCs w:val="20"/>
              </w:rPr>
            </w:pPr>
            <w:hyperlink r:id="rId57" w:history="1">
              <w:r w:rsidR="00304556" w:rsidRPr="009E30D1">
                <w:rPr>
                  <w:rFonts w:ascii="Adobe Caslon Pro" w:hAnsi="Adobe Caslon Pro" w:cs="Arial"/>
                  <w:color w:val="222222"/>
                  <w:sz w:val="20"/>
                  <w:szCs w:val="20"/>
                </w:rPr>
                <w:t>http://www.sideso.df.gob.mx/documentos/2013/sds/Gaceta%201533%20ter%2030%20ene%202013.pdf</w:t>
              </w:r>
            </w:hyperlink>
          </w:p>
        </w:tc>
      </w:tr>
      <w:tr w:rsidR="00304556" w:rsidRPr="009E30D1" w:rsidTr="00DC3F30">
        <w:trPr>
          <w:trHeight w:val="987"/>
        </w:trPr>
        <w:tc>
          <w:tcPr>
            <w:tcW w:w="2142" w:type="dxa"/>
            <w:vMerge/>
            <w:vAlign w:val="center"/>
            <w:hideMark/>
          </w:tcPr>
          <w:p w:rsidR="00304556" w:rsidRPr="009E30D1" w:rsidRDefault="00304556" w:rsidP="00DC3F30">
            <w:pPr>
              <w:spacing w:after="0" w:line="240" w:lineRule="auto"/>
              <w:rPr>
                <w:rFonts w:ascii="Adobe Caslon Pro" w:hAnsi="Adobe Caslon Pro" w:cs="Arial"/>
                <w:b/>
                <w:bCs/>
                <w:color w:val="222222"/>
                <w:sz w:val="20"/>
                <w:szCs w:val="20"/>
              </w:rPr>
            </w:pPr>
          </w:p>
        </w:tc>
        <w:tc>
          <w:tcPr>
            <w:tcW w:w="7512" w:type="dxa"/>
            <w:shd w:val="clear" w:color="000000" w:fill="FFFFFF"/>
            <w:vAlign w:val="center"/>
            <w:hideMark/>
          </w:tcPr>
          <w:p w:rsidR="00304556" w:rsidRPr="009E30D1" w:rsidRDefault="00304556" w:rsidP="00DC3F30">
            <w:pPr>
              <w:spacing w:after="0" w:line="240" w:lineRule="auto"/>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Evaluación interna: Programa de Seguro Contra la Violencia Familiar </w:t>
            </w:r>
            <w:r w:rsidRPr="009E30D1">
              <w:rPr>
                <w:rFonts w:ascii="Adobe Caslon Pro" w:hAnsi="Adobe Caslon Pro" w:cs="Arial"/>
                <w:color w:val="222222"/>
                <w:sz w:val="20"/>
                <w:szCs w:val="20"/>
              </w:rPr>
              <w:br/>
              <w:t>(Gestión 2009-2012), SEDESO, Junio 2013.</w:t>
            </w:r>
          </w:p>
        </w:tc>
      </w:tr>
    </w:tbl>
    <w:p w:rsidR="00304556" w:rsidRPr="009E30D1" w:rsidRDefault="00304556" w:rsidP="00304556">
      <w:pPr>
        <w:spacing w:after="0" w:line="240" w:lineRule="auto"/>
        <w:rPr>
          <w:rFonts w:ascii="Adobe Caslon Pro" w:hAnsi="Adobe Caslon Pro" w:cs="Arial"/>
          <w:sz w:val="20"/>
          <w:szCs w:val="20"/>
        </w:rPr>
      </w:pPr>
    </w:p>
    <w:tbl>
      <w:tblPr>
        <w:tblW w:w="9654" w:type="dxa"/>
        <w:tblInd w:w="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329"/>
        <w:gridCol w:w="422"/>
        <w:gridCol w:w="7903"/>
      </w:tblGrid>
      <w:tr w:rsidR="00304556" w:rsidRPr="009E30D1" w:rsidTr="00DC3F30">
        <w:trPr>
          <w:trHeight w:val="694"/>
        </w:trPr>
        <w:tc>
          <w:tcPr>
            <w:tcW w:w="1751" w:type="dxa"/>
            <w:gridSpan w:val="2"/>
            <w:tcBorders>
              <w:top w:val="single" w:sz="4" w:space="0" w:color="auto"/>
              <w:bottom w:val="single" w:sz="4" w:space="0" w:color="auto"/>
            </w:tcBorders>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sz w:val="20"/>
                <w:szCs w:val="20"/>
              </w:rPr>
              <w:br w:type="page"/>
            </w:r>
            <w:r w:rsidRPr="009E30D1">
              <w:rPr>
                <w:rFonts w:ascii="Adobe Caslon Pro" w:hAnsi="Adobe Caslon Pro" w:cs="Arial"/>
                <w:sz w:val="20"/>
                <w:szCs w:val="20"/>
              </w:rPr>
              <w:br w:type="page"/>
            </w:r>
            <w:r w:rsidRPr="009E30D1">
              <w:rPr>
                <w:rFonts w:ascii="Adobe Caslon Pro" w:hAnsi="Adobe Caslon Pro" w:cs="Arial"/>
                <w:b/>
                <w:bCs/>
                <w:color w:val="222222"/>
                <w:sz w:val="20"/>
                <w:szCs w:val="20"/>
              </w:rPr>
              <w:t>Nombre del Programa</w:t>
            </w:r>
          </w:p>
        </w:tc>
        <w:tc>
          <w:tcPr>
            <w:tcW w:w="7903" w:type="dxa"/>
            <w:tcBorders>
              <w:top w:val="single" w:sz="4" w:space="0" w:color="auto"/>
              <w:bottom w:val="single" w:sz="4" w:space="0" w:color="auto"/>
            </w:tcBorders>
            <w:shd w:val="clear" w:color="auto" w:fill="A6A6A6"/>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Programa Nacional para la Atención a la Violencia Familiar</w:t>
            </w:r>
          </w:p>
        </w:tc>
      </w:tr>
      <w:tr w:rsidR="00304556" w:rsidRPr="009E30D1" w:rsidTr="00DC3F30">
        <w:trPr>
          <w:trHeight w:val="860"/>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7903"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Centro Nacional de Equidad de Género y Salud R</w:t>
            </w:r>
            <w:r w:rsidR="005D27BC" w:rsidRPr="009E30D1">
              <w:rPr>
                <w:rFonts w:ascii="Adobe Caslon Pro" w:hAnsi="Adobe Caslon Pro" w:cs="Arial"/>
                <w:color w:val="222222"/>
                <w:sz w:val="20"/>
                <w:szCs w:val="20"/>
              </w:rPr>
              <w:t>eproductiva (</w:t>
            </w:r>
            <w:proofErr w:type="spellStart"/>
            <w:r w:rsidR="005D27BC" w:rsidRPr="009E30D1">
              <w:rPr>
                <w:rFonts w:ascii="Adobe Caslon Pro" w:hAnsi="Adobe Caslon Pro" w:cs="Arial"/>
                <w:color w:val="222222"/>
                <w:sz w:val="20"/>
                <w:szCs w:val="20"/>
              </w:rPr>
              <w:t>CNEGySR</w:t>
            </w:r>
            <w:proofErr w:type="spellEnd"/>
            <w:r w:rsidR="005D27BC" w:rsidRPr="009E30D1">
              <w:rPr>
                <w:rFonts w:ascii="Adobe Caslon Pro" w:hAnsi="Adobe Caslon Pro" w:cs="Arial"/>
                <w:color w:val="222222"/>
                <w:sz w:val="20"/>
                <w:szCs w:val="20"/>
              </w:rPr>
              <w:t>), Secretarí</w:t>
            </w:r>
            <w:r w:rsidRPr="009E30D1">
              <w:rPr>
                <w:rFonts w:ascii="Adobe Caslon Pro" w:hAnsi="Adobe Caslon Pro" w:cs="Arial"/>
                <w:color w:val="222222"/>
                <w:sz w:val="20"/>
                <w:szCs w:val="20"/>
              </w:rPr>
              <w:t>a de Salud.</w:t>
            </w:r>
          </w:p>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México</w:t>
            </w:r>
          </w:p>
        </w:tc>
      </w:tr>
      <w:tr w:rsidR="00304556" w:rsidRPr="009E30D1" w:rsidTr="00DC3F30">
        <w:trPr>
          <w:trHeight w:val="971"/>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7903"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Reducir la prevalencia y severidad de los daños a la salud causados por la violencia contra las mujeres, con particular énfasis entre aquéllas que se encuentran en situación de mayor riesgo o vulnerabilidad.</w:t>
            </w:r>
          </w:p>
        </w:tc>
      </w:tr>
      <w:tr w:rsidR="00304556" w:rsidRPr="009E30D1" w:rsidTr="00DC3F30">
        <w:trPr>
          <w:trHeight w:val="3252"/>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7903"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 xml:space="preserve">a)Promueve la detección temprana de la violencia familiar y de género en las Instituciones del Sistema Nacional de Salud, entre las mujeres de 15 años y más; b) Garantiza a las mujeres el acceso oportuno a servicios de atención médica y psicológica especializada, y atención de las consecuencias de la violencia familiar o de género; c) Contribuye a que las mujeres, así como sus hijos e hijas que viven en violencia extrema, cuenten con espacios seguros que les brinden protección, atención médica, psicológica y orientación legal; d) Contribuye desde el Sistema Nacional de Salud a la prevención de la violencia familiar y de género, así como la promoción del derecho a una vida sin violencia; e) Impulsa la mejora de los sistemas de información en salud para el registro de casos de violencia familiar y de género, para su análisis y evaluación; así como el desarrollo de investigaciones para la toma de decisiones basadas en evidencia científica; f) Promueve la atención integral que evite la </w:t>
            </w:r>
            <w:proofErr w:type="spellStart"/>
            <w:r w:rsidRPr="009E30D1">
              <w:rPr>
                <w:rFonts w:ascii="Adobe Caslon Pro" w:hAnsi="Adobe Caslon Pro" w:cs="Arial"/>
                <w:color w:val="222222"/>
                <w:sz w:val="20"/>
                <w:szCs w:val="20"/>
              </w:rPr>
              <w:t>revictimización</w:t>
            </w:r>
            <w:proofErr w:type="spellEnd"/>
            <w:r w:rsidRPr="009E30D1">
              <w:rPr>
                <w:rFonts w:ascii="Adobe Caslon Pro" w:hAnsi="Adobe Caslon Pro" w:cs="Arial"/>
                <w:color w:val="222222"/>
                <w:sz w:val="20"/>
                <w:szCs w:val="20"/>
              </w:rPr>
              <w:t xml:space="preserve"> de las persona afectadas. </w:t>
            </w:r>
          </w:p>
        </w:tc>
      </w:tr>
      <w:tr w:rsidR="00304556" w:rsidRPr="009E30D1" w:rsidTr="00DC3F30">
        <w:trPr>
          <w:trHeight w:val="691"/>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lastRenderedPageBreak/>
              <w:t>Principales resultados</w:t>
            </w:r>
          </w:p>
        </w:tc>
        <w:tc>
          <w:tcPr>
            <w:tcW w:w="7903"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701"/>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7903"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712"/>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7903"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“Actualmente el programa no cuenta con una evaluación de impacto”</w:t>
            </w:r>
          </w:p>
        </w:tc>
      </w:tr>
      <w:tr w:rsidR="00304556" w:rsidRPr="009E30D1" w:rsidTr="00DC3F30">
        <w:trPr>
          <w:trHeight w:val="1104"/>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7903" w:type="dxa"/>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 N.D.</w:t>
            </w:r>
          </w:p>
        </w:tc>
      </w:tr>
      <w:tr w:rsidR="00304556" w:rsidRPr="009E30D1" w:rsidTr="00DC3F30">
        <w:trPr>
          <w:trHeight w:val="837"/>
        </w:trPr>
        <w:tc>
          <w:tcPr>
            <w:tcW w:w="1751" w:type="dxa"/>
            <w:gridSpan w:val="2"/>
            <w:tcBorders>
              <w:top w:val="single" w:sz="4" w:space="0" w:color="auto"/>
              <w:bottom w:val="single" w:sz="4" w:space="0" w:color="auto"/>
            </w:tcBorders>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Bibliografías</w:t>
            </w:r>
          </w:p>
        </w:tc>
        <w:tc>
          <w:tcPr>
            <w:tcW w:w="7903" w:type="dxa"/>
            <w:tcBorders>
              <w:top w:val="single" w:sz="4" w:space="0" w:color="auto"/>
              <w:bottom w:val="single" w:sz="4" w:space="0" w:color="auto"/>
            </w:tcBorders>
            <w:shd w:val="clear" w:color="000000" w:fill="FFFFFF"/>
            <w:vAlign w:val="center"/>
            <w:hideMark/>
          </w:tcPr>
          <w:p w:rsidR="00304556" w:rsidRPr="009E30D1" w:rsidRDefault="006E5628" w:rsidP="00DC3F30">
            <w:pPr>
              <w:spacing w:after="0" w:line="240" w:lineRule="auto"/>
              <w:ind w:right="497"/>
              <w:jc w:val="both"/>
              <w:rPr>
                <w:rFonts w:ascii="Adobe Caslon Pro" w:hAnsi="Adobe Caslon Pro" w:cs="Arial"/>
                <w:color w:val="222222"/>
                <w:sz w:val="20"/>
                <w:szCs w:val="20"/>
              </w:rPr>
            </w:pPr>
            <w:hyperlink r:id="rId58" w:history="1">
              <w:r w:rsidR="00304556" w:rsidRPr="009E30D1">
                <w:rPr>
                  <w:rFonts w:ascii="Adobe Caslon Pro" w:hAnsi="Adobe Caslon Pro" w:cs="Arial"/>
                  <w:color w:val="222222"/>
                  <w:sz w:val="20"/>
                  <w:szCs w:val="20"/>
                </w:rPr>
                <w:t>http://www.cnegsr.gob.mx/programas/prevencion-atencion-violencia/objetivos.html</w:t>
              </w:r>
            </w:hyperlink>
          </w:p>
        </w:tc>
      </w:tr>
      <w:tr w:rsidR="00304556" w:rsidRPr="009E30D1" w:rsidTr="00DC3F30">
        <w:trPr>
          <w:trHeight w:val="461"/>
        </w:trPr>
        <w:tc>
          <w:tcPr>
            <w:tcW w:w="1751" w:type="dxa"/>
            <w:gridSpan w:val="2"/>
            <w:tcBorders>
              <w:top w:val="single" w:sz="4" w:space="0" w:color="auto"/>
              <w:left w:val="nil"/>
              <w:bottom w:val="single" w:sz="4" w:space="0" w:color="auto"/>
            </w:tcBorders>
            <w:shd w:val="clear" w:color="000000" w:fill="FFFFFF"/>
            <w:vAlign w:val="center"/>
          </w:tcPr>
          <w:p w:rsidR="00304556" w:rsidRPr="009E30D1" w:rsidRDefault="00304556" w:rsidP="00DC3F30">
            <w:pPr>
              <w:jc w:val="center"/>
              <w:rPr>
                <w:rFonts w:ascii="Adobe Caslon Pro" w:hAnsi="Adobe Caslon Pro" w:cs="Arial"/>
                <w:b/>
                <w:bCs/>
                <w:color w:val="222222"/>
                <w:sz w:val="20"/>
                <w:szCs w:val="20"/>
              </w:rPr>
            </w:pPr>
          </w:p>
        </w:tc>
        <w:tc>
          <w:tcPr>
            <w:tcW w:w="7903" w:type="dxa"/>
            <w:tcBorders>
              <w:top w:val="single" w:sz="4" w:space="0" w:color="auto"/>
              <w:bottom w:val="single" w:sz="4" w:space="0" w:color="auto"/>
              <w:right w:val="nil"/>
            </w:tcBorders>
            <w:shd w:val="clear" w:color="000000" w:fill="FFFFFF"/>
            <w:vAlign w:val="center"/>
          </w:tcPr>
          <w:p w:rsidR="00304556" w:rsidRPr="009E30D1" w:rsidRDefault="00304556" w:rsidP="00DC3F30">
            <w:pPr>
              <w:ind w:right="497"/>
              <w:jc w:val="both"/>
              <w:rPr>
                <w:rFonts w:ascii="Adobe Caslon Pro" w:hAnsi="Adobe Caslon Pro"/>
                <w:sz w:val="16"/>
              </w:rPr>
            </w:pPr>
          </w:p>
        </w:tc>
      </w:tr>
      <w:tr w:rsidR="00304556" w:rsidRPr="009E30D1" w:rsidTr="00DC3F30">
        <w:tblPrEx>
          <w:tblBorders>
            <w:insideH w:val="single" w:sz="4" w:space="0" w:color="auto"/>
          </w:tblBorders>
        </w:tblPrEx>
        <w:trPr>
          <w:trHeight w:val="681"/>
        </w:trPr>
        <w:tc>
          <w:tcPr>
            <w:tcW w:w="1329" w:type="dxa"/>
            <w:shd w:val="clear" w:color="auto" w:fill="A6A6A6"/>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Nombre del Programa</w:t>
            </w:r>
          </w:p>
        </w:tc>
        <w:tc>
          <w:tcPr>
            <w:tcW w:w="8325" w:type="dxa"/>
            <w:gridSpan w:val="2"/>
            <w:shd w:val="clear" w:color="auto" w:fill="A6A6A6"/>
            <w:vAlign w:val="center"/>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sz w:val="20"/>
                <w:szCs w:val="20"/>
              </w:rPr>
              <w:t>Programa Nacional de Capacitación, Asistencia Técnica y Sensibilización en la Temática De La Violencia Contra La Mujer</w:t>
            </w:r>
          </w:p>
        </w:tc>
      </w:tr>
      <w:tr w:rsidR="00304556" w:rsidRPr="009E30D1" w:rsidTr="00DC3F30">
        <w:tblPrEx>
          <w:tblBorders>
            <w:insideH w:val="single" w:sz="4" w:space="0" w:color="auto"/>
          </w:tblBorders>
        </w:tblPrEx>
        <w:trPr>
          <w:trHeight w:val="691"/>
        </w:trPr>
        <w:tc>
          <w:tcPr>
            <w:tcW w:w="1329"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Datos de identificación</w:t>
            </w:r>
          </w:p>
        </w:tc>
        <w:tc>
          <w:tcPr>
            <w:tcW w:w="8325" w:type="dxa"/>
            <w:gridSpan w:val="2"/>
            <w:shd w:val="clear" w:color="000000" w:fill="FFFFFF"/>
            <w:vAlign w:val="center"/>
          </w:tcPr>
          <w:p w:rsidR="00304556" w:rsidRPr="009E30D1" w:rsidRDefault="00304556" w:rsidP="00DC3F30">
            <w:pPr>
              <w:spacing w:after="0" w:line="240" w:lineRule="auto"/>
              <w:ind w:right="497"/>
              <w:jc w:val="both"/>
              <w:rPr>
                <w:rFonts w:ascii="Adobe Caslon Pro" w:hAnsi="Adobe Caslon Pro" w:cs="Arial"/>
                <w:color w:val="222222"/>
                <w:sz w:val="20"/>
                <w:szCs w:val="20"/>
                <w:lang w:val="en-US"/>
              </w:rPr>
            </w:pPr>
            <w:proofErr w:type="spellStart"/>
            <w:r w:rsidRPr="009E30D1">
              <w:rPr>
                <w:rFonts w:ascii="Adobe Caslon Pro" w:hAnsi="Adobe Caslon Pro" w:cs="Arial"/>
                <w:color w:val="222222"/>
                <w:sz w:val="20"/>
                <w:szCs w:val="20"/>
                <w:lang w:val="en-US"/>
              </w:rPr>
              <w:t>Gobierno</w:t>
            </w:r>
            <w:proofErr w:type="spellEnd"/>
            <w:r w:rsidRPr="009E30D1">
              <w:rPr>
                <w:rFonts w:ascii="Adobe Caslon Pro" w:hAnsi="Adobe Caslon Pro" w:cs="Arial"/>
                <w:color w:val="222222"/>
                <w:sz w:val="20"/>
                <w:szCs w:val="20"/>
                <w:lang w:val="en-US"/>
              </w:rPr>
              <w:t xml:space="preserve"> </w:t>
            </w:r>
            <w:proofErr w:type="spellStart"/>
            <w:r w:rsidRPr="009E30D1">
              <w:rPr>
                <w:rFonts w:ascii="Adobe Caslon Pro" w:hAnsi="Adobe Caslon Pro" w:cs="Arial"/>
                <w:color w:val="222222"/>
                <w:sz w:val="20"/>
                <w:szCs w:val="20"/>
                <w:lang w:val="en-US"/>
              </w:rPr>
              <w:t>Nacional</w:t>
            </w:r>
            <w:proofErr w:type="spellEnd"/>
          </w:p>
          <w:p w:rsidR="00304556" w:rsidRPr="009E30D1" w:rsidRDefault="00304556" w:rsidP="00DC3F30">
            <w:pPr>
              <w:spacing w:after="0" w:line="240" w:lineRule="auto"/>
              <w:ind w:right="497"/>
              <w:jc w:val="both"/>
              <w:rPr>
                <w:rFonts w:ascii="Adobe Caslon Pro" w:hAnsi="Adobe Caslon Pro" w:cs="Arial"/>
                <w:color w:val="222222"/>
                <w:sz w:val="20"/>
                <w:szCs w:val="20"/>
                <w:lang w:val="en-US"/>
              </w:rPr>
            </w:pPr>
            <w:r w:rsidRPr="009E30D1">
              <w:rPr>
                <w:rFonts w:ascii="Adobe Caslon Pro" w:hAnsi="Adobe Caslon Pro" w:cs="Arial"/>
                <w:color w:val="222222"/>
                <w:sz w:val="20"/>
                <w:szCs w:val="20"/>
                <w:lang w:val="en-US"/>
              </w:rPr>
              <w:t>Argentina</w:t>
            </w:r>
          </w:p>
        </w:tc>
      </w:tr>
      <w:tr w:rsidR="00304556" w:rsidRPr="009E30D1" w:rsidTr="00DC3F30">
        <w:tblPrEx>
          <w:tblBorders>
            <w:insideH w:val="single" w:sz="4" w:space="0" w:color="auto"/>
          </w:tblBorders>
        </w:tblPrEx>
        <w:trPr>
          <w:trHeight w:val="869"/>
        </w:trPr>
        <w:tc>
          <w:tcPr>
            <w:tcW w:w="1329"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Objetivo del programa</w:t>
            </w:r>
          </w:p>
        </w:tc>
        <w:tc>
          <w:tcPr>
            <w:tcW w:w="8325" w:type="dxa"/>
            <w:gridSpan w:val="2"/>
            <w:shd w:val="clear" w:color="000000" w:fill="FFFFFF"/>
            <w:vAlign w:val="center"/>
          </w:tcPr>
          <w:p w:rsidR="00304556" w:rsidRPr="009E30D1" w:rsidRDefault="00304556" w:rsidP="00DC3F30">
            <w:pPr>
              <w:spacing w:after="0" w:line="240" w:lineRule="auto"/>
              <w:ind w:right="497"/>
              <w:jc w:val="both"/>
              <w:rPr>
                <w:rFonts w:ascii="Adobe Caslon Pro" w:hAnsi="Adobe Caslon Pro" w:cs="Arial"/>
                <w:sz w:val="20"/>
                <w:szCs w:val="20"/>
                <w:lang w:val="es-ES_tradnl"/>
              </w:rPr>
            </w:pPr>
            <w:r w:rsidRPr="009E30D1">
              <w:rPr>
                <w:rFonts w:ascii="Adobe Caslon Pro" w:hAnsi="Adobe Caslon Pro" w:cs="Arial"/>
                <w:sz w:val="20"/>
                <w:szCs w:val="20"/>
                <w:lang w:val="es-ES_tradnl"/>
              </w:rPr>
              <w:t>Identificar estrategias desde el Estado Nacional, Áreas Mujer Provinciales y Municipales y organizaciones de la sociedad civil para la creación y/o fortalecimiento de servicios destinados a la prevención y asistencia de las mujeres objeto de violencia.</w:t>
            </w:r>
          </w:p>
        </w:tc>
      </w:tr>
      <w:tr w:rsidR="00304556" w:rsidRPr="009E30D1" w:rsidTr="00DC3F30">
        <w:tblPrEx>
          <w:tblBorders>
            <w:insideH w:val="single" w:sz="4" w:space="0" w:color="auto"/>
          </w:tblBorders>
        </w:tblPrEx>
        <w:trPr>
          <w:trHeight w:val="3816"/>
        </w:trPr>
        <w:tc>
          <w:tcPr>
            <w:tcW w:w="1329"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Líneas de acción y apoyos</w:t>
            </w:r>
          </w:p>
        </w:tc>
        <w:tc>
          <w:tcPr>
            <w:tcW w:w="8325" w:type="dxa"/>
            <w:gridSpan w:val="2"/>
            <w:shd w:val="clear" w:color="000000" w:fill="FFFFFF"/>
            <w:vAlign w:val="center"/>
          </w:tcPr>
          <w:p w:rsidR="00304556" w:rsidRPr="009E30D1" w:rsidRDefault="00304556" w:rsidP="00DC3F30">
            <w:pPr>
              <w:spacing w:after="0" w:line="240" w:lineRule="auto"/>
              <w:ind w:right="497"/>
              <w:jc w:val="both"/>
              <w:rPr>
                <w:rFonts w:ascii="Adobe Caslon Pro" w:hAnsi="Adobe Caslon Pro" w:cs="Arial"/>
                <w:sz w:val="20"/>
                <w:szCs w:val="20"/>
                <w:lang w:val="es-ES_tradnl"/>
              </w:rPr>
            </w:pPr>
            <w:r w:rsidRPr="009E30D1">
              <w:rPr>
                <w:rFonts w:ascii="Adobe Caslon Pro" w:hAnsi="Adobe Caslon Pro" w:cs="Arial"/>
                <w:sz w:val="20"/>
                <w:szCs w:val="20"/>
                <w:lang w:val="es-ES_tradnl"/>
              </w:rPr>
              <w:t xml:space="preserve">Una prioridad en este programa es estimular la formación de redes de gobiernos provinciales y/o municipales y organizaciones de la sociedad civil para la asistencia a las mujeres víctimas de violencia </w:t>
            </w:r>
          </w:p>
          <w:p w:rsidR="00304556" w:rsidRPr="009E30D1" w:rsidRDefault="00304556" w:rsidP="00DC3F30">
            <w:pPr>
              <w:spacing w:after="0" w:line="240" w:lineRule="auto"/>
              <w:ind w:right="497"/>
              <w:jc w:val="both"/>
              <w:rPr>
                <w:rFonts w:ascii="Adobe Caslon Pro" w:hAnsi="Adobe Caslon Pro" w:cs="Arial"/>
                <w:sz w:val="20"/>
                <w:szCs w:val="20"/>
                <w:lang w:val="es-ES_tradnl"/>
              </w:rPr>
            </w:pPr>
            <w:r w:rsidRPr="009E30D1">
              <w:rPr>
                <w:rFonts w:ascii="Adobe Caslon Pro" w:hAnsi="Adobe Caslon Pro" w:cs="Arial"/>
                <w:sz w:val="20"/>
                <w:szCs w:val="20"/>
                <w:lang w:val="es-ES_tradnl"/>
              </w:rPr>
              <w:t>Como parte del desarrollo del Programa, se editó la Serie “La violencia contra las mujeres en el ámbito de las relaciones familiares” integrada por distintos materiales referidos al tema,</w:t>
            </w:r>
            <w:r w:rsidR="0014504B" w:rsidRPr="009E30D1">
              <w:rPr>
                <w:rFonts w:ascii="Adobe Caslon Pro" w:hAnsi="Adobe Caslon Pro" w:cs="Arial"/>
                <w:sz w:val="20"/>
                <w:szCs w:val="20"/>
                <w:lang w:val="es-ES_tradnl"/>
              </w:rPr>
              <w:t xml:space="preserve"> </w:t>
            </w:r>
            <w:r w:rsidRPr="009E30D1">
              <w:rPr>
                <w:rFonts w:ascii="Adobe Caslon Pro" w:hAnsi="Adobe Caslon Pro" w:cs="Arial"/>
                <w:sz w:val="20"/>
                <w:szCs w:val="20"/>
                <w:lang w:val="es-ES_tradnl"/>
              </w:rPr>
              <w:t>que incluye un Manual de Capacitación -instrumento destinado a brindar orientaciones teóricas y metodológicas básicas para la intervención en situaciones de violencia contra la mujer en las relaciones intrafamiliares- y tiene como destinatarias/os a profesionales y personal con inserción en ámbitos institucionales o comunitarios (gubernamentales y no gubernamentales) que se encuentran trabajando en esta temática o interesados en comenzar a intervenir en esta área específica. Los restantes volúmenes de la serie se focalizan en modos de trabajo en talleres y la metodología para la aplicación de un software de relevamiento de casos de violencia. El Manual se integra con dos Instructivos, uno, destinado a las capacitadoras y capacitadores y otro, para el Desarrollo de Talleres, para los/as participantes.</w:t>
            </w:r>
          </w:p>
        </w:tc>
      </w:tr>
      <w:tr w:rsidR="00304556" w:rsidRPr="009E30D1" w:rsidTr="00DC3F30">
        <w:tblPrEx>
          <w:tblBorders>
            <w:insideH w:val="single" w:sz="4" w:space="0" w:color="auto"/>
          </w:tblBorders>
        </w:tblPrEx>
        <w:trPr>
          <w:trHeight w:val="1984"/>
        </w:trPr>
        <w:tc>
          <w:tcPr>
            <w:tcW w:w="1329"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lastRenderedPageBreak/>
              <w:t>Principales resultados</w:t>
            </w:r>
          </w:p>
        </w:tc>
        <w:tc>
          <w:tcPr>
            <w:tcW w:w="8325" w:type="dxa"/>
            <w:gridSpan w:val="2"/>
            <w:shd w:val="clear" w:color="000000" w:fill="FFFFFF"/>
            <w:vAlign w:val="center"/>
          </w:tcPr>
          <w:p w:rsidR="00304556" w:rsidRPr="009E30D1" w:rsidRDefault="00304556" w:rsidP="00DC3F30">
            <w:pPr>
              <w:spacing w:after="0" w:line="240" w:lineRule="auto"/>
              <w:ind w:right="497"/>
              <w:jc w:val="both"/>
              <w:rPr>
                <w:rFonts w:ascii="Adobe Caslon Pro" w:hAnsi="Adobe Caslon Pro" w:cs="Arial"/>
                <w:color w:val="222222"/>
                <w:sz w:val="20"/>
                <w:szCs w:val="20"/>
                <w:lang w:val="es-ES_tradnl"/>
              </w:rPr>
            </w:pPr>
            <w:r w:rsidRPr="009E30D1">
              <w:rPr>
                <w:rFonts w:ascii="Adobe Caslon Pro" w:hAnsi="Adobe Caslon Pro" w:cs="Arial"/>
                <w:color w:val="222222"/>
                <w:sz w:val="20"/>
                <w:szCs w:val="20"/>
                <w:lang w:val="es-ES_tradnl"/>
              </w:rPr>
              <w:t>Entre otras actividades se han realizado numerosos seminarios-talleres a nivel nacional con áreas gubernamentales y no gubernamentales para la presentación y entrega de los materiales para su replicación a nivel local, y en todas las provincias, convocados a través de las Áreas Mujer Provinciales y/o Municipales</w:t>
            </w:r>
            <w:r w:rsidR="0014504B" w:rsidRPr="009E30D1">
              <w:rPr>
                <w:rFonts w:ascii="Adobe Caslon Pro" w:hAnsi="Adobe Caslon Pro" w:cs="Arial"/>
                <w:color w:val="222222"/>
                <w:sz w:val="20"/>
                <w:szCs w:val="20"/>
                <w:lang w:val="es-ES_tradnl"/>
              </w:rPr>
              <w:t xml:space="preserve"> </w:t>
            </w:r>
            <w:r w:rsidRPr="009E30D1">
              <w:rPr>
                <w:rFonts w:ascii="Adobe Caslon Pro" w:hAnsi="Adobe Caslon Pro" w:cs="Arial"/>
                <w:color w:val="222222"/>
                <w:sz w:val="20"/>
                <w:szCs w:val="20"/>
                <w:lang w:val="es-ES_tradnl"/>
              </w:rPr>
              <w:t>que han contado con asistencia de personal de salud, educación, justicia,</w:t>
            </w:r>
            <w:r w:rsidR="0014504B" w:rsidRPr="009E30D1">
              <w:rPr>
                <w:rFonts w:ascii="Adobe Caslon Pro" w:hAnsi="Adobe Caslon Pro" w:cs="Arial"/>
                <w:color w:val="222222"/>
                <w:sz w:val="20"/>
                <w:szCs w:val="20"/>
                <w:lang w:val="es-ES_tradnl"/>
              </w:rPr>
              <w:t xml:space="preserve"> </w:t>
            </w:r>
            <w:r w:rsidRPr="009E30D1">
              <w:rPr>
                <w:rFonts w:ascii="Adobe Caslon Pro" w:hAnsi="Adobe Caslon Pro" w:cs="Arial"/>
                <w:color w:val="222222"/>
                <w:sz w:val="20"/>
                <w:szCs w:val="20"/>
                <w:lang w:val="es-ES_tradnl"/>
              </w:rPr>
              <w:t>de las fuerzas de seguridad y de organizaciones de la sociedad civil.</w:t>
            </w:r>
            <w:r w:rsidR="0014504B" w:rsidRPr="009E30D1">
              <w:rPr>
                <w:rFonts w:ascii="Adobe Caslon Pro" w:hAnsi="Adobe Caslon Pro" w:cs="Arial"/>
                <w:color w:val="222222"/>
                <w:sz w:val="20"/>
                <w:szCs w:val="20"/>
                <w:lang w:val="es-ES_tradnl"/>
              </w:rPr>
              <w:t xml:space="preserve"> </w:t>
            </w:r>
            <w:r w:rsidRPr="009E30D1">
              <w:rPr>
                <w:rFonts w:ascii="Adobe Caslon Pro" w:hAnsi="Adobe Caslon Pro" w:cs="Arial"/>
                <w:color w:val="222222"/>
                <w:sz w:val="20"/>
                <w:szCs w:val="20"/>
                <w:lang w:val="es-ES_tradnl"/>
              </w:rPr>
              <w:t>Durante el año 2005 se realizaron Encuentros Regionales de los que participaron los 240 proyectos del PROFAM, siendo uno de los talleres realizados en cada encuentro el de Violencia Familiar.</w:t>
            </w:r>
            <w:r w:rsidR="0014504B" w:rsidRPr="009E30D1">
              <w:rPr>
                <w:rFonts w:ascii="Adobe Caslon Pro" w:hAnsi="Adobe Caslon Pro" w:cs="Arial"/>
                <w:color w:val="222222"/>
                <w:sz w:val="20"/>
                <w:szCs w:val="20"/>
                <w:lang w:val="es-ES_tradnl"/>
              </w:rPr>
              <w:t xml:space="preserve"> </w:t>
            </w:r>
          </w:p>
        </w:tc>
      </w:tr>
      <w:tr w:rsidR="00304556" w:rsidRPr="009E30D1" w:rsidTr="00DC3F30">
        <w:tblPrEx>
          <w:tblBorders>
            <w:insideH w:val="single" w:sz="4" w:space="0" w:color="auto"/>
          </w:tblBorders>
        </w:tblPrEx>
        <w:trPr>
          <w:trHeight w:val="759"/>
        </w:trPr>
        <w:tc>
          <w:tcPr>
            <w:tcW w:w="1329"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obstáculos o retos</w:t>
            </w:r>
          </w:p>
        </w:tc>
        <w:tc>
          <w:tcPr>
            <w:tcW w:w="8325" w:type="dxa"/>
            <w:gridSpan w:val="2"/>
            <w:shd w:val="clear" w:color="000000" w:fill="FFFFFF"/>
            <w:vAlign w:val="center"/>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N.D.</w:t>
            </w:r>
          </w:p>
        </w:tc>
      </w:tr>
      <w:tr w:rsidR="00304556" w:rsidRPr="009E30D1" w:rsidTr="00DC3F30">
        <w:tblPrEx>
          <w:tblBorders>
            <w:insideH w:val="single" w:sz="4" w:space="0" w:color="auto"/>
          </w:tblBorders>
        </w:tblPrEx>
        <w:trPr>
          <w:trHeight w:val="557"/>
        </w:trPr>
        <w:tc>
          <w:tcPr>
            <w:tcW w:w="1329"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Evaluación</w:t>
            </w:r>
            <w:r w:rsidR="0014504B" w:rsidRPr="009E30D1">
              <w:rPr>
                <w:rFonts w:ascii="Adobe Caslon Pro" w:hAnsi="Adobe Caslon Pro" w:cs="Arial"/>
                <w:b/>
                <w:bCs/>
                <w:color w:val="222222"/>
                <w:sz w:val="20"/>
                <w:szCs w:val="20"/>
              </w:rPr>
              <w:t xml:space="preserve"> </w:t>
            </w:r>
            <w:r w:rsidRPr="009E30D1">
              <w:rPr>
                <w:rFonts w:ascii="Adobe Caslon Pro" w:hAnsi="Adobe Caslon Pro" w:cs="Arial"/>
                <w:b/>
                <w:bCs/>
                <w:color w:val="222222"/>
                <w:sz w:val="20"/>
                <w:szCs w:val="20"/>
              </w:rPr>
              <w:t>de impacto</w:t>
            </w:r>
          </w:p>
        </w:tc>
        <w:tc>
          <w:tcPr>
            <w:tcW w:w="8325" w:type="dxa"/>
            <w:gridSpan w:val="2"/>
            <w:shd w:val="clear" w:color="000000" w:fill="FFFFFF"/>
            <w:vAlign w:val="center"/>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N.D.</w:t>
            </w:r>
          </w:p>
        </w:tc>
      </w:tr>
      <w:tr w:rsidR="00304556" w:rsidRPr="009E30D1" w:rsidTr="00DC3F30">
        <w:tblPrEx>
          <w:tblBorders>
            <w:insideH w:val="single" w:sz="4" w:space="0" w:color="auto"/>
          </w:tblBorders>
        </w:tblPrEx>
        <w:trPr>
          <w:trHeight w:val="834"/>
        </w:trPr>
        <w:tc>
          <w:tcPr>
            <w:tcW w:w="1329" w:type="dxa"/>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color w:val="222222"/>
                <w:sz w:val="20"/>
                <w:szCs w:val="20"/>
              </w:rPr>
            </w:pPr>
            <w:r w:rsidRPr="009E30D1">
              <w:rPr>
                <w:rFonts w:ascii="Adobe Caslon Pro" w:hAnsi="Adobe Caslon Pro" w:cs="Arial"/>
                <w:b/>
                <w:bCs/>
                <w:color w:val="222222"/>
                <w:sz w:val="20"/>
                <w:szCs w:val="20"/>
              </w:rPr>
              <w:t>Principales resultados de evaluación de impacto</w:t>
            </w:r>
          </w:p>
        </w:tc>
        <w:tc>
          <w:tcPr>
            <w:tcW w:w="8325" w:type="dxa"/>
            <w:gridSpan w:val="2"/>
            <w:shd w:val="clear" w:color="000000" w:fill="FFFFFF"/>
            <w:vAlign w:val="center"/>
          </w:tcPr>
          <w:p w:rsidR="00304556" w:rsidRPr="009E30D1"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N.D.</w:t>
            </w:r>
          </w:p>
        </w:tc>
      </w:tr>
      <w:tr w:rsidR="00304556" w:rsidRPr="009E30D1" w:rsidTr="00DC3F30">
        <w:tblPrEx>
          <w:tblBorders>
            <w:insideH w:val="single" w:sz="4" w:space="0" w:color="auto"/>
          </w:tblBorders>
        </w:tblPrEx>
        <w:trPr>
          <w:trHeight w:val="510"/>
        </w:trPr>
        <w:tc>
          <w:tcPr>
            <w:tcW w:w="1329" w:type="dxa"/>
            <w:vMerge w:val="restart"/>
            <w:shd w:val="clear" w:color="000000" w:fill="FFFFFF"/>
            <w:vAlign w:val="center"/>
            <w:hideMark/>
          </w:tcPr>
          <w:p w:rsidR="00304556" w:rsidRPr="009E30D1" w:rsidRDefault="00304556" w:rsidP="00DC3F30">
            <w:pPr>
              <w:spacing w:after="0" w:line="240" w:lineRule="auto"/>
              <w:jc w:val="center"/>
              <w:rPr>
                <w:rFonts w:ascii="Adobe Caslon Pro" w:hAnsi="Adobe Caslon Pro" w:cs="Arial"/>
                <w:b/>
                <w:bCs/>
                <w:sz w:val="20"/>
                <w:szCs w:val="20"/>
              </w:rPr>
            </w:pPr>
            <w:r w:rsidRPr="009E30D1">
              <w:rPr>
                <w:rFonts w:ascii="Adobe Caslon Pro" w:hAnsi="Adobe Caslon Pro" w:cs="Arial"/>
                <w:b/>
                <w:bCs/>
                <w:sz w:val="20"/>
                <w:szCs w:val="20"/>
              </w:rPr>
              <w:t>Bibliografías</w:t>
            </w:r>
          </w:p>
        </w:tc>
        <w:tc>
          <w:tcPr>
            <w:tcW w:w="8325" w:type="dxa"/>
            <w:gridSpan w:val="2"/>
            <w:shd w:val="clear" w:color="000000" w:fill="FFFFFF"/>
            <w:vAlign w:val="center"/>
          </w:tcPr>
          <w:p w:rsidR="00304556" w:rsidRPr="009E30D1" w:rsidRDefault="006E5628" w:rsidP="00DC3F30">
            <w:pPr>
              <w:spacing w:after="0" w:line="240" w:lineRule="auto"/>
              <w:ind w:right="497"/>
              <w:jc w:val="both"/>
              <w:rPr>
                <w:rFonts w:ascii="Adobe Caslon Pro" w:hAnsi="Adobe Caslon Pro" w:cs="Arial"/>
                <w:sz w:val="20"/>
                <w:szCs w:val="20"/>
              </w:rPr>
            </w:pPr>
            <w:hyperlink r:id="rId59" w:history="1">
              <w:r w:rsidR="00304556" w:rsidRPr="009E30D1">
                <w:rPr>
                  <w:rStyle w:val="Hipervnculo"/>
                  <w:rFonts w:ascii="Adobe Caslon Pro" w:hAnsi="Adobe Caslon Pro" w:cs="Arial"/>
                  <w:sz w:val="20"/>
                  <w:szCs w:val="20"/>
                </w:rPr>
                <w:t>http://sgdatabase.unwomen.org/searchDetail.action?measureId=21027&amp;baseHREF=country&amp;baseHREFId=143</w:t>
              </w:r>
            </w:hyperlink>
          </w:p>
        </w:tc>
      </w:tr>
      <w:tr w:rsidR="00304556" w:rsidRPr="00857BEE" w:rsidTr="00DC3F30">
        <w:tblPrEx>
          <w:tblBorders>
            <w:insideH w:val="single" w:sz="4" w:space="0" w:color="auto"/>
          </w:tblBorders>
        </w:tblPrEx>
        <w:trPr>
          <w:trHeight w:val="1020"/>
        </w:trPr>
        <w:tc>
          <w:tcPr>
            <w:tcW w:w="1329" w:type="dxa"/>
            <w:vMerge/>
            <w:vAlign w:val="center"/>
            <w:hideMark/>
          </w:tcPr>
          <w:p w:rsidR="00304556" w:rsidRPr="009E30D1" w:rsidRDefault="00304556" w:rsidP="00DC3F30">
            <w:pPr>
              <w:spacing w:after="0" w:line="240" w:lineRule="auto"/>
              <w:rPr>
                <w:rFonts w:ascii="Adobe Caslon Pro" w:hAnsi="Adobe Caslon Pro" w:cs="Arial"/>
                <w:b/>
                <w:bCs/>
                <w:color w:val="222222"/>
                <w:sz w:val="20"/>
                <w:szCs w:val="20"/>
              </w:rPr>
            </w:pPr>
          </w:p>
        </w:tc>
        <w:tc>
          <w:tcPr>
            <w:tcW w:w="8325" w:type="dxa"/>
            <w:gridSpan w:val="2"/>
            <w:shd w:val="clear" w:color="000000" w:fill="FFFFFF"/>
            <w:vAlign w:val="center"/>
          </w:tcPr>
          <w:p w:rsidR="00304556" w:rsidRPr="00857BEE" w:rsidRDefault="00304556" w:rsidP="00DC3F30">
            <w:pPr>
              <w:spacing w:after="0" w:line="240" w:lineRule="auto"/>
              <w:ind w:right="497"/>
              <w:jc w:val="both"/>
              <w:rPr>
                <w:rFonts w:ascii="Adobe Caslon Pro" w:hAnsi="Adobe Caslon Pro" w:cs="Arial"/>
                <w:color w:val="222222"/>
                <w:sz w:val="20"/>
                <w:szCs w:val="20"/>
              </w:rPr>
            </w:pPr>
            <w:r w:rsidRPr="009E30D1">
              <w:rPr>
                <w:rFonts w:ascii="Adobe Caslon Pro" w:hAnsi="Adobe Caslon Pro" w:cs="Arial"/>
                <w:color w:val="222222"/>
                <w:sz w:val="20"/>
                <w:szCs w:val="20"/>
              </w:rPr>
              <w:t>Respuesta al cuestionario para la evaluación de la Implementación de las disposiciones de la convención Interamericana para prevenir, sancionar y erradicar la Violencia contra la mujer, Convención de Belém Do Pará, Junio, 2008.</w:t>
            </w:r>
          </w:p>
        </w:tc>
      </w:tr>
    </w:tbl>
    <w:p w:rsidR="00304556" w:rsidRPr="00857BEE" w:rsidRDefault="00304556" w:rsidP="00304556">
      <w:pPr>
        <w:tabs>
          <w:tab w:val="left" w:pos="1814"/>
        </w:tabs>
        <w:spacing w:after="0" w:line="240" w:lineRule="auto"/>
        <w:rPr>
          <w:rFonts w:ascii="Adobe Caslon Pro" w:hAnsi="Adobe Caslon Pro" w:cs="Arial"/>
          <w:sz w:val="20"/>
          <w:szCs w:val="20"/>
        </w:rPr>
      </w:pPr>
      <w:r w:rsidRPr="00857BEE">
        <w:rPr>
          <w:rFonts w:ascii="Adobe Caslon Pro" w:hAnsi="Adobe Caslon Pro" w:cs="Arial"/>
          <w:sz w:val="20"/>
          <w:szCs w:val="20"/>
        </w:rPr>
        <w:tab/>
      </w:r>
    </w:p>
    <w:p w:rsidR="00304556" w:rsidRDefault="00304556" w:rsidP="00304556"/>
    <w:p w:rsidR="00304556" w:rsidRDefault="00304556" w:rsidP="00304556"/>
    <w:sectPr w:rsidR="00304556" w:rsidSect="00172563">
      <w:pgSz w:w="12240" w:h="15840" w:code="1"/>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628" w:rsidRDefault="006E5628" w:rsidP="001C50F8">
      <w:pPr>
        <w:spacing w:after="0" w:line="240" w:lineRule="auto"/>
      </w:pPr>
      <w:r>
        <w:separator/>
      </w:r>
    </w:p>
  </w:endnote>
  <w:endnote w:type="continuationSeparator" w:id="0">
    <w:p w:rsidR="006E5628" w:rsidRDefault="006E5628" w:rsidP="001C5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Caslon Pro">
    <w:altName w:val="Georgia"/>
    <w:panose1 w:val="0205050205050A0204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jan Pro">
    <w:altName w:val="Georgia"/>
    <w:panose1 w:val="00000000000000000000"/>
    <w:charset w:val="00"/>
    <w:family w:val="roman"/>
    <w:notTrueType/>
    <w:pitch w:val="variable"/>
    <w:sig w:usb0="00000001" w:usb1="5000204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18582"/>
      <w:docPartObj>
        <w:docPartGallery w:val="Page Numbers (Bottom of Page)"/>
        <w:docPartUnique/>
      </w:docPartObj>
    </w:sdtPr>
    <w:sdtEndPr/>
    <w:sdtContent>
      <w:p w:rsidR="0098717D" w:rsidRDefault="0098717D">
        <w:pPr>
          <w:pStyle w:val="Piedepgina"/>
          <w:jc w:val="right"/>
        </w:pPr>
        <w:r>
          <w:fldChar w:fldCharType="begin"/>
        </w:r>
        <w:r>
          <w:instrText>PAGE   \* MERGEFORMAT</w:instrText>
        </w:r>
        <w:r>
          <w:fldChar w:fldCharType="separate"/>
        </w:r>
        <w:r w:rsidR="00006AB7" w:rsidRPr="00006AB7">
          <w:rPr>
            <w:noProof/>
            <w:lang w:val="es-ES"/>
          </w:rPr>
          <w:t>3</w:t>
        </w:r>
        <w:r>
          <w:fldChar w:fldCharType="end"/>
        </w:r>
      </w:p>
    </w:sdtContent>
  </w:sdt>
  <w:p w:rsidR="0098717D" w:rsidRDefault="009871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17D" w:rsidRDefault="0098717D">
    <w:pPr>
      <w:pStyle w:val="Piedepgina"/>
      <w:jc w:val="right"/>
    </w:pPr>
    <w:r>
      <w:fldChar w:fldCharType="begin"/>
    </w:r>
    <w:r>
      <w:instrText>PAGE   \* MERGEFORMAT</w:instrText>
    </w:r>
    <w:r>
      <w:fldChar w:fldCharType="separate"/>
    </w:r>
    <w:r w:rsidR="00006AB7" w:rsidRPr="00006AB7">
      <w:rPr>
        <w:noProof/>
        <w:lang w:val="es-ES"/>
      </w:rPr>
      <w:t>36</w:t>
    </w:r>
    <w:r>
      <w:fldChar w:fldCharType="end"/>
    </w:r>
  </w:p>
  <w:p w:rsidR="0098717D" w:rsidRPr="00956578" w:rsidRDefault="0098717D" w:rsidP="00957973">
    <w:pPr>
      <w:pStyle w:val="Piedepgina"/>
      <w:jc w:val="center"/>
      <w:rPr>
        <w:b/>
        <w:bCs/>
        <w:color w:val="984806"/>
        <w:sz w:val="20"/>
        <w:szCs w:val="20"/>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17D" w:rsidRDefault="0098717D">
    <w:pPr>
      <w:pStyle w:val="Piedepgina"/>
      <w:jc w:val="right"/>
    </w:pPr>
    <w:r>
      <w:fldChar w:fldCharType="begin"/>
    </w:r>
    <w:r>
      <w:instrText>PAGE   \* MERGEFORMAT</w:instrText>
    </w:r>
    <w:r>
      <w:fldChar w:fldCharType="separate"/>
    </w:r>
    <w:r w:rsidR="00006AB7" w:rsidRPr="00006AB7">
      <w:rPr>
        <w:noProof/>
        <w:lang w:val="es-ES"/>
      </w:rPr>
      <w:t>109</w:t>
    </w:r>
    <w:r>
      <w:fldChar w:fldCharType="end"/>
    </w:r>
  </w:p>
  <w:p w:rsidR="0098717D" w:rsidRPr="00956578" w:rsidRDefault="0098717D" w:rsidP="00957973">
    <w:pPr>
      <w:pStyle w:val="Piedepgina"/>
      <w:jc w:val="center"/>
      <w:rPr>
        <w:b/>
        <w:bCs/>
        <w:color w:val="984806"/>
        <w:sz w:val="20"/>
        <w:szCs w:val="20"/>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628" w:rsidRDefault="006E5628" w:rsidP="001C50F8">
      <w:pPr>
        <w:spacing w:after="0" w:line="240" w:lineRule="auto"/>
      </w:pPr>
      <w:r>
        <w:separator/>
      </w:r>
    </w:p>
  </w:footnote>
  <w:footnote w:type="continuationSeparator" w:id="0">
    <w:p w:rsidR="006E5628" w:rsidRDefault="006E5628" w:rsidP="001C50F8">
      <w:pPr>
        <w:spacing w:after="0" w:line="240" w:lineRule="auto"/>
      </w:pPr>
      <w:r>
        <w:continuationSeparator/>
      </w:r>
    </w:p>
  </w:footnote>
  <w:footnote w:id="1">
    <w:p w:rsidR="0098717D" w:rsidRDefault="0098717D" w:rsidP="009B24D3">
      <w:pPr>
        <w:pStyle w:val="Textonotapie"/>
        <w:contextualSpacing/>
        <w:jc w:val="both"/>
        <w:rPr>
          <w:rFonts w:ascii="Adobe Caslon Pro" w:hAnsi="Adobe Caslon Pro"/>
          <w:sz w:val="18"/>
          <w:szCs w:val="18"/>
        </w:rPr>
      </w:pPr>
      <w:r w:rsidRPr="001745AE">
        <w:rPr>
          <w:rStyle w:val="Refdenotaalpie"/>
          <w:rFonts w:ascii="Adobe Caslon Pro" w:hAnsi="Adobe Caslon Pro"/>
          <w:sz w:val="18"/>
          <w:szCs w:val="18"/>
        </w:rPr>
        <w:footnoteRef/>
      </w:r>
      <w:r w:rsidRPr="001745AE">
        <w:rPr>
          <w:rFonts w:ascii="Adobe Caslon Pro" w:hAnsi="Adobe Caslon Pro"/>
          <w:sz w:val="18"/>
          <w:szCs w:val="18"/>
        </w:rPr>
        <w:t xml:space="preserve"> Los lineamientos se pueden consultar en la siguiente dirección electrónica: </w:t>
      </w:r>
    </w:p>
    <w:p w:rsidR="0098717D" w:rsidRPr="001745AE" w:rsidRDefault="006E5628" w:rsidP="009B24D3">
      <w:pPr>
        <w:pStyle w:val="Textonotapie"/>
        <w:contextualSpacing/>
        <w:jc w:val="both"/>
        <w:rPr>
          <w:rFonts w:ascii="Adobe Caslon Pro" w:hAnsi="Adobe Caslon Pro"/>
          <w:sz w:val="18"/>
          <w:szCs w:val="18"/>
        </w:rPr>
      </w:pPr>
      <w:hyperlink r:id="rId1" w:history="1">
        <w:r w:rsidR="0098717D" w:rsidRPr="001745AE">
          <w:rPr>
            <w:rStyle w:val="Hipervnculo"/>
            <w:rFonts w:ascii="Adobe Caslon Pro" w:hAnsi="Adobe Caslon Pro"/>
            <w:sz w:val="18"/>
            <w:szCs w:val="18"/>
          </w:rPr>
          <w:t>http://dof.gob.mx/nota_detalle.php?codigo=5089652&amp;fecha=07/05/2009</w:t>
        </w:r>
      </w:hyperlink>
      <w:r w:rsidR="0098717D" w:rsidRPr="001745AE">
        <w:rPr>
          <w:rFonts w:ascii="Adobe Caslon Pro" w:hAnsi="Adobe Caslon Pro"/>
          <w:sz w:val="18"/>
          <w:szCs w:val="18"/>
        </w:rPr>
        <w:t xml:space="preserve"> .</w:t>
      </w:r>
    </w:p>
  </w:footnote>
  <w:footnote w:id="2">
    <w:p w:rsidR="0098717D" w:rsidRPr="001745AE" w:rsidRDefault="0098717D" w:rsidP="009B24D3">
      <w:pPr>
        <w:pStyle w:val="Textonotapie"/>
        <w:contextualSpacing/>
        <w:jc w:val="both"/>
        <w:rPr>
          <w:rFonts w:ascii="Adobe Caslon Pro" w:hAnsi="Adobe Caslon Pro"/>
          <w:sz w:val="18"/>
          <w:szCs w:val="18"/>
          <w:lang w:val="es-ES_tradnl"/>
        </w:rPr>
      </w:pPr>
      <w:r w:rsidRPr="001745AE">
        <w:rPr>
          <w:rStyle w:val="Refdenotaalpie"/>
          <w:rFonts w:ascii="Adobe Caslon Pro" w:hAnsi="Adobe Caslon Pro"/>
          <w:sz w:val="18"/>
          <w:szCs w:val="18"/>
        </w:rPr>
        <w:footnoteRef/>
      </w:r>
      <w:r w:rsidRPr="001745AE">
        <w:rPr>
          <w:rFonts w:ascii="Adobe Caslon Pro" w:hAnsi="Adobe Caslon Pro"/>
          <w:sz w:val="18"/>
          <w:szCs w:val="18"/>
        </w:rPr>
        <w:t xml:space="preserve"> </w:t>
      </w:r>
      <w:r w:rsidRPr="001745AE">
        <w:rPr>
          <w:rFonts w:ascii="Adobe Caslon Pro" w:hAnsi="Adobe Caslon Pro"/>
          <w:sz w:val="18"/>
          <w:szCs w:val="18"/>
          <w:lang w:val="es-ES_tradnl"/>
        </w:rPr>
        <w:t xml:space="preserve">El documento se puede consultar en la siguiente dirección electrónica: </w:t>
      </w:r>
    </w:p>
    <w:p w:rsidR="0098717D" w:rsidRPr="003A2472" w:rsidRDefault="006E5628" w:rsidP="009B24D3">
      <w:pPr>
        <w:pStyle w:val="Textonotapie"/>
        <w:contextualSpacing/>
        <w:jc w:val="both"/>
        <w:rPr>
          <w:rFonts w:ascii="Adobe Caslon Pro" w:hAnsi="Adobe Caslon Pro"/>
          <w:lang w:val="es-ES_tradnl"/>
        </w:rPr>
      </w:pPr>
      <w:hyperlink r:id="rId2" w:history="1">
        <w:r w:rsidR="0098717D" w:rsidRPr="001745AE">
          <w:rPr>
            <w:rStyle w:val="Hipervnculo"/>
            <w:rFonts w:ascii="Adobe Caslon Pro" w:hAnsi="Adobe Caslon Pro"/>
            <w:sz w:val="18"/>
            <w:szCs w:val="18"/>
            <w:lang w:val="es-ES_tradnl"/>
          </w:rPr>
          <w:t>http://web.Coneval.gob.mx/Informes/Evaluacion/Impacto/Diagnostico_Programas_Nuevos.pdf</w:t>
        </w:r>
      </w:hyperlink>
      <w:r w:rsidR="0098717D" w:rsidRPr="003A2472">
        <w:rPr>
          <w:rFonts w:ascii="Adobe Caslon Pro" w:hAnsi="Adobe Caslon Pro"/>
          <w:lang w:val="es-ES_tradnl"/>
        </w:rPr>
        <w:t xml:space="preserve"> </w:t>
      </w:r>
    </w:p>
  </w:footnote>
  <w:footnote w:id="3">
    <w:p w:rsidR="0098717D" w:rsidRPr="0098717D" w:rsidRDefault="0098717D" w:rsidP="0098717D">
      <w:pPr>
        <w:pStyle w:val="Textonotapie"/>
        <w:spacing w:after="0" w:line="240" w:lineRule="auto"/>
        <w:jc w:val="both"/>
        <w:rPr>
          <w:rFonts w:ascii="Adobe Caslon Pro" w:hAnsi="Adobe Caslon Pro"/>
          <w:sz w:val="16"/>
          <w:szCs w:val="16"/>
        </w:rPr>
      </w:pPr>
      <w:r w:rsidRPr="0098717D">
        <w:rPr>
          <w:rStyle w:val="Refdenotaalpie"/>
          <w:rFonts w:ascii="Adobe Caslon Pro" w:hAnsi="Adobe Caslon Pro"/>
          <w:sz w:val="16"/>
          <w:szCs w:val="16"/>
        </w:rPr>
        <w:footnoteRef/>
      </w:r>
      <w:r w:rsidRPr="0098717D">
        <w:rPr>
          <w:rFonts w:ascii="Adobe Caslon Pro" w:hAnsi="Adobe Caslon Pro"/>
          <w:sz w:val="16"/>
          <w:szCs w:val="16"/>
        </w:rPr>
        <w:t xml:space="preserve"> El término "</w:t>
      </w:r>
      <w:r w:rsidRPr="0098717D">
        <w:rPr>
          <w:rFonts w:ascii="Adobe Caslon Pro" w:hAnsi="Adobe Caslon Pro"/>
          <w:i/>
          <w:sz w:val="16"/>
          <w:szCs w:val="16"/>
        </w:rPr>
        <w:t>agencia social</w:t>
      </w:r>
      <w:r w:rsidRPr="0098717D">
        <w:rPr>
          <w:rFonts w:ascii="Adobe Caslon Pro" w:hAnsi="Adobe Caslon Pro"/>
          <w:sz w:val="16"/>
          <w:szCs w:val="16"/>
        </w:rPr>
        <w:t>" se refiere a la capacidad que tenemos todas las personas de construir nuestra propia realidad.</w:t>
      </w:r>
    </w:p>
  </w:footnote>
  <w:footnote w:id="4">
    <w:p w:rsidR="0098717D" w:rsidRPr="0098717D" w:rsidRDefault="0098717D" w:rsidP="0098717D">
      <w:pPr>
        <w:pStyle w:val="Textonotapie"/>
        <w:spacing w:after="0" w:line="240" w:lineRule="auto"/>
        <w:jc w:val="both"/>
        <w:rPr>
          <w:rFonts w:ascii="Adobe Caslon Pro" w:hAnsi="Adobe Caslon Pro"/>
          <w:sz w:val="16"/>
          <w:szCs w:val="16"/>
        </w:rPr>
      </w:pPr>
      <w:r w:rsidRPr="0098717D">
        <w:rPr>
          <w:rStyle w:val="Refdenotaalpie"/>
          <w:rFonts w:ascii="Adobe Caslon Pro" w:hAnsi="Adobe Caslon Pro"/>
          <w:sz w:val="16"/>
          <w:szCs w:val="16"/>
        </w:rPr>
        <w:footnoteRef/>
      </w:r>
      <w:r w:rsidR="006128C7">
        <w:rPr>
          <w:rFonts w:ascii="Adobe Caslon Pro" w:hAnsi="Adobe Caslon Pro"/>
          <w:sz w:val="16"/>
          <w:szCs w:val="16"/>
        </w:rPr>
        <w:t xml:space="preserve">Cabe aclarar que </w:t>
      </w:r>
      <w:r w:rsidR="006128C7" w:rsidRPr="006128C7">
        <w:rPr>
          <w:rFonts w:ascii="Adobe Caslon Pro" w:hAnsi="Adobe Caslon Pro"/>
          <w:i/>
          <w:sz w:val="16"/>
          <w:szCs w:val="16"/>
        </w:rPr>
        <w:t>v</w:t>
      </w:r>
      <w:r w:rsidRPr="006128C7">
        <w:rPr>
          <w:rFonts w:ascii="Adobe Caslon Pro" w:hAnsi="Adobe Caslon Pro"/>
          <w:i/>
          <w:sz w:val="16"/>
          <w:szCs w:val="16"/>
        </w:rPr>
        <w:t>iolencia de género</w:t>
      </w:r>
      <w:r w:rsidR="006128C7">
        <w:rPr>
          <w:rFonts w:ascii="Adobe Caslon Pro" w:hAnsi="Adobe Caslon Pro"/>
          <w:sz w:val="16"/>
          <w:szCs w:val="16"/>
        </w:rPr>
        <w:t xml:space="preserve"> y </w:t>
      </w:r>
      <w:r w:rsidR="006128C7" w:rsidRPr="006128C7">
        <w:rPr>
          <w:rFonts w:ascii="Adobe Caslon Pro" w:hAnsi="Adobe Caslon Pro"/>
          <w:i/>
          <w:sz w:val="16"/>
          <w:szCs w:val="16"/>
        </w:rPr>
        <w:t>v</w:t>
      </w:r>
      <w:r w:rsidRPr="006128C7">
        <w:rPr>
          <w:rFonts w:ascii="Adobe Caslon Pro" w:hAnsi="Adobe Caslon Pro"/>
          <w:i/>
          <w:sz w:val="16"/>
          <w:szCs w:val="16"/>
        </w:rPr>
        <w:t>iolencia contra las mujeres</w:t>
      </w:r>
      <w:r w:rsidRPr="0098717D">
        <w:rPr>
          <w:rFonts w:ascii="Adobe Caslon Pro" w:hAnsi="Adobe Caslon Pro"/>
          <w:sz w:val="16"/>
          <w:szCs w:val="16"/>
        </w:rPr>
        <w:t>, se utilizarán de manera indistinta en este documento, de acuerdo con el INMUJERES, ya que ambos tér</w:t>
      </w:r>
      <w:r w:rsidR="006128C7">
        <w:rPr>
          <w:rFonts w:ascii="Adobe Caslon Pro" w:hAnsi="Adobe Caslon Pro"/>
          <w:sz w:val="16"/>
          <w:szCs w:val="16"/>
        </w:rPr>
        <w:t>minos se refieren a lo mismo: ‘v</w:t>
      </w:r>
      <w:r w:rsidRPr="0098717D">
        <w:rPr>
          <w:rFonts w:ascii="Adobe Caslon Pro" w:hAnsi="Adobe Caslon Pro"/>
          <w:sz w:val="16"/>
          <w:szCs w:val="16"/>
        </w:rPr>
        <w:t>iolencia contra las mujeres’ fue la denominación empleada por el movimiento de mujeres cuando e</w:t>
      </w:r>
      <w:r w:rsidR="006128C7">
        <w:rPr>
          <w:rFonts w:ascii="Adobe Caslon Pro" w:hAnsi="Adobe Caslon Pro"/>
          <w:sz w:val="16"/>
          <w:szCs w:val="16"/>
        </w:rPr>
        <w:t>mpezó a denunciar su vigencia ‘v</w:t>
      </w:r>
      <w:r w:rsidRPr="0098717D">
        <w:rPr>
          <w:rFonts w:ascii="Adobe Caslon Pro" w:hAnsi="Adobe Caslon Pro"/>
          <w:sz w:val="16"/>
          <w:szCs w:val="16"/>
        </w:rPr>
        <w:t xml:space="preserve">iolencia de género’ es un concepto más reciente y emerge con la intención de resaltar que es una expresión estructural de las relaciones de poder entre mujeres y hombres. De hecho, La LGAMVLV utiliza el concepto violencia de género para denominar los distintos tipos y modalidades de este fenómeno. </w:t>
      </w:r>
    </w:p>
  </w:footnote>
  <w:footnote w:id="5">
    <w:p w:rsidR="0098717D" w:rsidRPr="005065BD" w:rsidRDefault="0098717D" w:rsidP="001C50F8">
      <w:pPr>
        <w:pStyle w:val="Textonotapie"/>
        <w:contextualSpacing/>
      </w:pPr>
      <w:r w:rsidRPr="009F452A">
        <w:rPr>
          <w:rStyle w:val="Refdenotaalpie"/>
          <w:rFonts w:ascii="Adobe Caslon Pro" w:hAnsi="Adobe Caslon Pro"/>
          <w:sz w:val="16"/>
          <w:szCs w:val="16"/>
        </w:rPr>
        <w:footnoteRef/>
      </w:r>
      <w:r w:rsidRPr="009F452A">
        <w:rPr>
          <w:rFonts w:ascii="Adobe Caslon Pro" w:hAnsi="Adobe Caslon Pro"/>
          <w:sz w:val="16"/>
          <w:szCs w:val="16"/>
        </w:rPr>
        <w:t>Está en proceso de revisión, aún no ha sido aprobado.</w:t>
      </w:r>
    </w:p>
  </w:footnote>
  <w:footnote w:id="6">
    <w:p w:rsidR="0098717D" w:rsidRDefault="0098717D" w:rsidP="00757EBE">
      <w:pPr>
        <w:pStyle w:val="Textonotapie"/>
        <w:spacing w:after="0"/>
        <w:rPr>
          <w:rFonts w:ascii="Adobe Caslon Pro" w:hAnsi="Adobe Caslon Pro"/>
          <w:sz w:val="16"/>
          <w:szCs w:val="16"/>
        </w:rPr>
      </w:pPr>
      <w:r w:rsidRPr="001058C5">
        <w:rPr>
          <w:rStyle w:val="Refdenotaalpie"/>
          <w:rFonts w:ascii="Adobe Caslon Pro" w:hAnsi="Adobe Caslon Pro" w:cs="Arial"/>
          <w:sz w:val="16"/>
          <w:szCs w:val="16"/>
        </w:rPr>
        <w:footnoteRef/>
      </w:r>
      <w:r w:rsidRPr="001058C5">
        <w:rPr>
          <w:rFonts w:ascii="Adobe Caslon Pro" w:hAnsi="Adobe Caslon Pro"/>
          <w:sz w:val="16"/>
          <w:szCs w:val="16"/>
        </w:rPr>
        <w:t>El documento se puede consultar en la siguiente liga:</w:t>
      </w:r>
      <w:r>
        <w:rPr>
          <w:rFonts w:ascii="Adobe Caslon Pro" w:hAnsi="Adobe Caslon Pro"/>
          <w:sz w:val="16"/>
          <w:szCs w:val="16"/>
        </w:rPr>
        <w:t xml:space="preserve"> </w:t>
      </w:r>
    </w:p>
    <w:p w:rsidR="0098717D" w:rsidRPr="001058C5" w:rsidRDefault="0098717D" w:rsidP="001058C5">
      <w:pPr>
        <w:pStyle w:val="Textonotapie"/>
        <w:spacing w:after="0" w:line="240" w:lineRule="auto"/>
        <w:rPr>
          <w:rFonts w:ascii="Adobe Caslon Pro" w:hAnsi="Adobe Caslon Pro" w:cs="Arial"/>
          <w:sz w:val="16"/>
          <w:szCs w:val="16"/>
          <w:lang w:val="es-ES_tradnl"/>
        </w:rPr>
      </w:pPr>
      <w:r w:rsidRPr="00757EBE">
        <w:rPr>
          <w:rFonts w:ascii="Adobe Caslon Pro" w:hAnsi="Adobe Caslon Pro" w:cs="Arial"/>
          <w:sz w:val="16"/>
          <w:szCs w:val="16"/>
          <w:lang w:val="es-ES_tradnl"/>
        </w:rPr>
        <w:t>http://dof.gob.mx/nota_detalle.php?codigo=5092144&amp;fecha=01/06/2009</w:t>
      </w:r>
    </w:p>
  </w:footnote>
  <w:footnote w:id="7">
    <w:p w:rsidR="0098717D" w:rsidRPr="001058C5" w:rsidRDefault="0098717D" w:rsidP="001058C5">
      <w:pPr>
        <w:pStyle w:val="Textonotapie"/>
        <w:spacing w:after="0" w:line="240" w:lineRule="auto"/>
        <w:rPr>
          <w:rFonts w:cs="Arial"/>
          <w:sz w:val="16"/>
          <w:szCs w:val="16"/>
          <w:lang w:val="es-ES_tradnl"/>
        </w:rPr>
      </w:pPr>
      <w:r w:rsidRPr="001058C5">
        <w:rPr>
          <w:rStyle w:val="Refdenotaalpie"/>
          <w:rFonts w:ascii="Adobe Caslon Pro" w:hAnsi="Adobe Caslon Pro" w:cs="Arial"/>
          <w:sz w:val="16"/>
          <w:szCs w:val="16"/>
        </w:rPr>
        <w:footnoteRef/>
      </w:r>
      <w:r w:rsidRPr="001058C5">
        <w:rPr>
          <w:rFonts w:ascii="Adobe Caslon Pro" w:hAnsi="Adobe Caslon Pro" w:cs="Arial"/>
          <w:sz w:val="16"/>
          <w:szCs w:val="16"/>
          <w:lang w:val="es-ES_tradnl"/>
        </w:rPr>
        <w:t xml:space="preserve"> México, Gobierno. 2008. </w:t>
      </w:r>
      <w:r w:rsidRPr="001058C5">
        <w:rPr>
          <w:rFonts w:ascii="Adobe Caslon Pro" w:hAnsi="Adobe Caslon Pro" w:cs="Arial"/>
          <w:i/>
          <w:sz w:val="16"/>
          <w:szCs w:val="16"/>
          <w:lang w:val="es-ES_tradnl"/>
        </w:rPr>
        <w:t>Programa Nacional para la Igualdad entre Mujeres y Hombres 2008-2012</w:t>
      </w:r>
      <w:r w:rsidRPr="001058C5">
        <w:rPr>
          <w:rFonts w:ascii="Adobe Caslon Pro" w:hAnsi="Adobe Caslon Pro" w:cs="Arial"/>
          <w:sz w:val="16"/>
          <w:szCs w:val="16"/>
          <w:lang w:val="es-ES_tradnl"/>
        </w:rPr>
        <w:t>. México: INMUJERES, pág. 21.</w:t>
      </w:r>
    </w:p>
  </w:footnote>
  <w:footnote w:id="8">
    <w:p w:rsidR="0098717D" w:rsidRPr="003A54A8" w:rsidRDefault="0098717D" w:rsidP="003A54A8">
      <w:pPr>
        <w:pStyle w:val="Textonotapie"/>
        <w:spacing w:after="0" w:line="240" w:lineRule="auto"/>
        <w:rPr>
          <w:rFonts w:ascii="Adobe Caslon Pro" w:hAnsi="Adobe Caslon Pro"/>
          <w:sz w:val="16"/>
          <w:szCs w:val="16"/>
        </w:rPr>
      </w:pPr>
      <w:r w:rsidRPr="003A54A8">
        <w:rPr>
          <w:rStyle w:val="Refdenotaalpie"/>
          <w:rFonts w:ascii="Adobe Caslon Pro" w:hAnsi="Adobe Caslon Pro" w:cs="Arial"/>
          <w:sz w:val="16"/>
          <w:szCs w:val="16"/>
        </w:rPr>
        <w:footnoteRef/>
      </w:r>
      <w:r w:rsidRPr="003A54A8">
        <w:rPr>
          <w:rStyle w:val="Refdenotaalpie"/>
          <w:rFonts w:ascii="Adobe Caslon Pro" w:hAnsi="Adobe Caslon Pro" w:cs="Arial"/>
          <w:sz w:val="16"/>
          <w:szCs w:val="16"/>
        </w:rPr>
        <w:t xml:space="preserve"> </w:t>
      </w:r>
      <w:r w:rsidRPr="003A54A8">
        <w:rPr>
          <w:rFonts w:ascii="Adobe Caslon Pro" w:hAnsi="Adobe Caslon Pro"/>
          <w:sz w:val="16"/>
          <w:szCs w:val="16"/>
        </w:rPr>
        <w:t>México. Gobierno. 2008. Programa de Acción Específico 2007-2012. Prevención y Atención de la Violencia Familiar y de Género. México: Secretaría de Salud.</w:t>
      </w:r>
    </w:p>
  </w:footnote>
  <w:footnote w:id="9">
    <w:p w:rsidR="0098717D" w:rsidRPr="003A54A8" w:rsidRDefault="0098717D" w:rsidP="003A54A8">
      <w:pPr>
        <w:pStyle w:val="Textonotapie"/>
        <w:spacing w:after="0" w:line="240" w:lineRule="auto"/>
        <w:rPr>
          <w:rFonts w:ascii="Adobe Caslon Pro" w:hAnsi="Adobe Caslon Pro"/>
          <w:sz w:val="16"/>
          <w:szCs w:val="16"/>
        </w:rPr>
      </w:pPr>
      <w:r w:rsidRPr="003A54A8">
        <w:rPr>
          <w:rStyle w:val="Refdenotaalpie"/>
          <w:rFonts w:ascii="Adobe Caslon Pro" w:hAnsi="Adobe Caslon Pro" w:cs="Arial"/>
        </w:rPr>
        <w:footnoteRef/>
      </w:r>
      <w:r w:rsidRPr="003A54A8">
        <w:rPr>
          <w:rFonts w:ascii="Adobe Caslon Pro" w:hAnsi="Adobe Caslon Pro"/>
          <w:sz w:val="16"/>
          <w:szCs w:val="16"/>
        </w:rPr>
        <w:t>El documento se puede consultar en la siguiente liga:</w:t>
      </w:r>
      <w:r>
        <w:rPr>
          <w:rFonts w:ascii="Adobe Caslon Pro" w:hAnsi="Adobe Caslon Pro"/>
          <w:sz w:val="16"/>
          <w:szCs w:val="16"/>
        </w:rPr>
        <w:t xml:space="preserve"> </w:t>
      </w:r>
      <w:hyperlink r:id="rId3" w:history="1">
        <w:r w:rsidRPr="003A54A8">
          <w:rPr>
            <w:rFonts w:ascii="Adobe Caslon Pro" w:hAnsi="Adobe Caslon Pro"/>
            <w:sz w:val="16"/>
            <w:szCs w:val="16"/>
          </w:rPr>
          <w:t>http://dof.gob.mx/nota_detalle.php?codigo=2121266&amp;fecha=17/02/2006&amp;print=true</w:t>
        </w:r>
      </w:hyperlink>
    </w:p>
  </w:footnote>
  <w:footnote w:id="10">
    <w:p w:rsidR="0098717D" w:rsidRPr="00A26311" w:rsidRDefault="0098717D" w:rsidP="00A26311">
      <w:pPr>
        <w:pStyle w:val="Textonotapie"/>
        <w:spacing w:line="240" w:lineRule="auto"/>
        <w:contextualSpacing/>
        <w:jc w:val="both"/>
        <w:rPr>
          <w:rFonts w:ascii="Adobe Caslon Pro" w:hAnsi="Adobe Caslon Pro"/>
          <w:sz w:val="16"/>
          <w:szCs w:val="16"/>
        </w:rPr>
      </w:pPr>
      <w:r w:rsidRPr="00A26311">
        <w:rPr>
          <w:rStyle w:val="Refdenotaalpie"/>
          <w:rFonts w:ascii="Adobe Caslon Pro" w:hAnsi="Adobe Caslon Pro"/>
          <w:sz w:val="16"/>
          <w:szCs w:val="16"/>
        </w:rPr>
        <w:footnoteRef/>
      </w:r>
      <w:r w:rsidRPr="00A26311">
        <w:rPr>
          <w:rFonts w:ascii="Adobe Caslon Pro" w:hAnsi="Adobe Caslon Pro"/>
          <w:sz w:val="16"/>
          <w:szCs w:val="16"/>
        </w:rPr>
        <w:t xml:space="preserve"> A lo largo del presente documento, el término </w:t>
      </w:r>
      <w:r w:rsidRPr="00A26311">
        <w:rPr>
          <w:rFonts w:ascii="Adobe Caslon Pro" w:hAnsi="Adobe Caslon Pro"/>
          <w:i/>
          <w:sz w:val="16"/>
          <w:szCs w:val="16"/>
        </w:rPr>
        <w:t>mujeres</w:t>
      </w:r>
      <w:r w:rsidRPr="00A26311">
        <w:rPr>
          <w:rFonts w:ascii="Adobe Caslon Pro" w:hAnsi="Adobe Caslon Pro"/>
          <w:sz w:val="16"/>
          <w:szCs w:val="16"/>
        </w:rPr>
        <w:t xml:space="preserve"> incluirá en su uso a todas éstas, sin importar sus edades.</w:t>
      </w:r>
    </w:p>
  </w:footnote>
  <w:footnote w:id="11">
    <w:p w:rsidR="0098717D" w:rsidRPr="00A26311" w:rsidRDefault="0098717D" w:rsidP="00A26311">
      <w:pPr>
        <w:pStyle w:val="Textonotapie"/>
        <w:spacing w:line="240" w:lineRule="auto"/>
        <w:contextualSpacing/>
        <w:jc w:val="both"/>
        <w:rPr>
          <w:rFonts w:ascii="Adobe Caslon Pro" w:hAnsi="Adobe Caslon Pro"/>
          <w:sz w:val="16"/>
          <w:szCs w:val="16"/>
        </w:rPr>
      </w:pPr>
      <w:r w:rsidRPr="00A26311">
        <w:rPr>
          <w:rStyle w:val="Refdenotaalpie"/>
          <w:rFonts w:ascii="Adobe Caslon Pro" w:hAnsi="Adobe Caslon Pro"/>
          <w:sz w:val="16"/>
          <w:szCs w:val="16"/>
        </w:rPr>
        <w:footnoteRef/>
      </w:r>
      <w:r w:rsidRPr="00A26311">
        <w:rPr>
          <w:rFonts w:ascii="Adobe Caslon Pro" w:hAnsi="Adobe Caslon Pro"/>
          <w:sz w:val="16"/>
          <w:szCs w:val="16"/>
        </w:rPr>
        <w:t xml:space="preserve"> Resolución de la Asamblea General, Resolución 48/104 Declaración sobre la eliminación de la violencia contra la mujer, 1993.</w:t>
      </w:r>
    </w:p>
  </w:footnote>
  <w:footnote w:id="12">
    <w:p w:rsidR="0098717D" w:rsidRPr="005314B0" w:rsidRDefault="0098717D" w:rsidP="00A26311">
      <w:pPr>
        <w:pStyle w:val="Textonotapie"/>
        <w:spacing w:line="240" w:lineRule="auto"/>
        <w:contextualSpacing/>
        <w:jc w:val="both"/>
        <w:rPr>
          <w:sz w:val="18"/>
          <w:szCs w:val="18"/>
        </w:rPr>
      </w:pPr>
      <w:r w:rsidRPr="00A26311">
        <w:rPr>
          <w:rStyle w:val="Refdenotaalpie"/>
          <w:rFonts w:ascii="Adobe Caslon Pro" w:hAnsi="Adobe Caslon Pro"/>
          <w:sz w:val="16"/>
          <w:szCs w:val="16"/>
        </w:rPr>
        <w:footnoteRef/>
      </w:r>
      <w:r>
        <w:rPr>
          <w:rFonts w:ascii="Adobe Caslon Pro" w:hAnsi="Adobe Caslon Pro"/>
          <w:sz w:val="16"/>
          <w:szCs w:val="16"/>
        </w:rPr>
        <w:t xml:space="preserve"> </w:t>
      </w:r>
      <w:r w:rsidRPr="00A26311">
        <w:rPr>
          <w:rFonts w:ascii="Adobe Caslon Pro" w:hAnsi="Adobe Caslon Pro"/>
          <w:sz w:val="16"/>
          <w:szCs w:val="16"/>
        </w:rPr>
        <w:t xml:space="preserve">Comúnmente, los términos </w:t>
      </w:r>
      <w:r w:rsidRPr="00A26311">
        <w:rPr>
          <w:rFonts w:ascii="Adobe Caslon Pro" w:hAnsi="Adobe Caslon Pro"/>
          <w:i/>
          <w:sz w:val="16"/>
          <w:szCs w:val="16"/>
        </w:rPr>
        <w:t>violencia basada en género</w:t>
      </w:r>
      <w:r w:rsidRPr="00A26311">
        <w:rPr>
          <w:rFonts w:ascii="Adobe Caslon Pro" w:hAnsi="Adobe Caslon Pro"/>
          <w:sz w:val="16"/>
          <w:szCs w:val="16"/>
        </w:rPr>
        <w:t xml:space="preserve"> y </w:t>
      </w:r>
      <w:r w:rsidRPr="00A26311">
        <w:rPr>
          <w:rFonts w:ascii="Adobe Caslon Pro" w:hAnsi="Adobe Caslon Pro"/>
          <w:i/>
          <w:sz w:val="16"/>
          <w:szCs w:val="16"/>
        </w:rPr>
        <w:t>violencia contra las mujeres</w:t>
      </w:r>
      <w:r w:rsidRPr="00A26311">
        <w:rPr>
          <w:rFonts w:ascii="Adobe Caslon Pro" w:hAnsi="Adobe Caslon Pro"/>
          <w:sz w:val="16"/>
          <w:szCs w:val="16"/>
        </w:rPr>
        <w:t xml:space="preserve"> son usados de modo indistinto, sin embargo, la primera alude a aquélla que se dirige contra una persona en razón de su género, así como de las expectativas sobre el rol que dicho individuo debe cumplir en una sociedad o cultura. Por ende, tanto hombres como niños también pueden ser víctimas de violencia basada en género, especialmente de violencia sexual. A lo largo del presente documento se hará únicamente referencia a la violencia ejercida contra las mujeres</w:t>
      </w:r>
      <w:r w:rsidRPr="005314B0">
        <w:rPr>
          <w:sz w:val="18"/>
          <w:szCs w:val="18"/>
        </w:rPr>
        <w:t>.</w:t>
      </w:r>
    </w:p>
    <w:p w:rsidR="0098717D" w:rsidRPr="00D15AC0" w:rsidRDefault="0098717D" w:rsidP="00A26311">
      <w:pPr>
        <w:pStyle w:val="Textonotapie"/>
        <w:jc w:val="both"/>
      </w:pPr>
      <w:r>
        <w:t xml:space="preserve"> </w:t>
      </w:r>
    </w:p>
  </w:footnote>
  <w:footnote w:id="13">
    <w:p w:rsidR="0098717D" w:rsidRPr="005314B0" w:rsidRDefault="0098717D" w:rsidP="003012EB">
      <w:pPr>
        <w:pStyle w:val="Textonotapie"/>
        <w:jc w:val="both"/>
        <w:rPr>
          <w:sz w:val="18"/>
          <w:szCs w:val="18"/>
        </w:rPr>
      </w:pPr>
      <w:r w:rsidRPr="005314B0">
        <w:rPr>
          <w:rStyle w:val="Refdenotaalpie"/>
          <w:sz w:val="18"/>
          <w:szCs w:val="18"/>
        </w:rPr>
        <w:footnoteRef/>
      </w:r>
      <w:r w:rsidRPr="005314B0">
        <w:rPr>
          <w:sz w:val="18"/>
          <w:szCs w:val="18"/>
        </w:rPr>
        <w:t xml:space="preserve"> </w:t>
      </w:r>
      <w:r w:rsidRPr="00792418">
        <w:rPr>
          <w:rFonts w:ascii="Adobe Caslon Pro" w:hAnsi="Adobe Caslon Pro"/>
          <w:sz w:val="16"/>
          <w:szCs w:val="18"/>
        </w:rPr>
        <w:t xml:space="preserve">UNIFEM (2004) en Perfil de Género de la Economía del Istmo Centroamericano. </w:t>
      </w:r>
      <w:proofErr w:type="spellStart"/>
      <w:r w:rsidRPr="00792418">
        <w:rPr>
          <w:rFonts w:ascii="Adobe Caslon Pro" w:hAnsi="Adobe Caslon Pro"/>
          <w:sz w:val="16"/>
          <w:szCs w:val="18"/>
        </w:rPr>
        <w:t>Manuagua</w:t>
      </w:r>
      <w:proofErr w:type="spellEnd"/>
      <w:r w:rsidRPr="00792418">
        <w:rPr>
          <w:rFonts w:ascii="Adobe Caslon Pro" w:hAnsi="Adobe Caslon Pro"/>
          <w:sz w:val="16"/>
          <w:szCs w:val="18"/>
        </w:rPr>
        <w:t>: PNUD, UNIFEM.</w:t>
      </w:r>
    </w:p>
  </w:footnote>
  <w:footnote w:id="14">
    <w:p w:rsidR="0098717D" w:rsidRPr="009F452A" w:rsidRDefault="0098717D" w:rsidP="003012EB">
      <w:pPr>
        <w:rPr>
          <w:rFonts w:ascii="Adobe Caslon Pro" w:hAnsi="Adobe Caslon Pro"/>
          <w:sz w:val="16"/>
          <w:szCs w:val="16"/>
        </w:rPr>
      </w:pPr>
      <w:r w:rsidRPr="009F452A">
        <w:rPr>
          <w:rStyle w:val="Caracteresdenotaalpie"/>
          <w:rFonts w:ascii="Adobe Caslon Pro" w:hAnsi="Adobe Caslon Pro"/>
          <w:sz w:val="16"/>
          <w:szCs w:val="16"/>
        </w:rPr>
        <w:footnoteRef/>
      </w:r>
      <w:r>
        <w:rPr>
          <w:rFonts w:ascii="Adobe Caslon Pro" w:hAnsi="Adobe Caslon Pro"/>
          <w:sz w:val="16"/>
          <w:szCs w:val="16"/>
        </w:rPr>
        <w:t xml:space="preserve"> </w:t>
      </w:r>
      <w:r w:rsidRPr="009F452A">
        <w:rPr>
          <w:rFonts w:ascii="Adobe Caslon Pro" w:hAnsi="Adobe Caslon Pro"/>
          <w:sz w:val="16"/>
          <w:szCs w:val="16"/>
        </w:rPr>
        <w:t>Estudio del Secretario General Naciones Unidas. “Poner fin a la violencia contra la mujer. De las palabras a los hechos”,</w:t>
      </w:r>
      <w:r>
        <w:rPr>
          <w:rFonts w:ascii="Adobe Caslon Pro" w:hAnsi="Adobe Caslon Pro"/>
          <w:sz w:val="16"/>
          <w:szCs w:val="16"/>
        </w:rPr>
        <w:t xml:space="preserve"> </w:t>
      </w:r>
      <w:r w:rsidRPr="009F452A">
        <w:rPr>
          <w:rFonts w:ascii="Adobe Caslon Pro" w:hAnsi="Adobe Caslon Pro"/>
          <w:sz w:val="16"/>
          <w:szCs w:val="16"/>
        </w:rPr>
        <w:t>Naciones Unidas, 2006.</w:t>
      </w:r>
      <w:r w:rsidRPr="009F452A">
        <w:rPr>
          <w:rFonts w:ascii="Adobe Caslon Pro" w:hAnsi="Adobe Caslon Pro"/>
          <w:sz w:val="16"/>
          <w:szCs w:val="16"/>
        </w:rPr>
        <w:br w:type="page"/>
      </w:r>
    </w:p>
  </w:footnote>
  <w:footnote w:id="15">
    <w:p w:rsidR="0098717D" w:rsidRPr="0014504B" w:rsidRDefault="0098717D" w:rsidP="0014504B">
      <w:pPr>
        <w:pStyle w:val="Textonotapie"/>
        <w:spacing w:after="0"/>
        <w:rPr>
          <w:rFonts w:ascii="Adobe Caslon Pro" w:hAnsi="Adobe Caslon Pro"/>
          <w:sz w:val="16"/>
          <w:szCs w:val="16"/>
        </w:rPr>
      </w:pPr>
      <w:r w:rsidRPr="0014504B">
        <w:rPr>
          <w:rStyle w:val="Refdenotaalpie"/>
          <w:rFonts w:ascii="Adobe Caslon Pro" w:hAnsi="Adobe Caslon Pro"/>
          <w:sz w:val="16"/>
          <w:szCs w:val="16"/>
        </w:rPr>
        <w:footnoteRef/>
      </w:r>
      <w:r w:rsidRPr="0014504B">
        <w:rPr>
          <w:rFonts w:ascii="Adobe Caslon Pro" w:hAnsi="Adobe Caslon Pro"/>
          <w:sz w:val="16"/>
          <w:szCs w:val="16"/>
        </w:rPr>
        <w:t xml:space="preserve"> </w:t>
      </w:r>
      <w:r w:rsidRPr="0014504B">
        <w:rPr>
          <w:rFonts w:ascii="Adobe Caslon Pro" w:eastAsia="Calibri" w:hAnsi="Adobe Caslon Pro"/>
          <w:sz w:val="16"/>
          <w:szCs w:val="16"/>
        </w:rPr>
        <w:t>No todas las líneas telefónicas se encuentran enlazadas al C4 o alguna dependencia de seguridad pública, en cuyos casos puede quedar comprometida la seguridad de las usuarias de estos servicios sino se cuenta con alternativas de intervención inmediata.</w:t>
      </w:r>
    </w:p>
  </w:footnote>
  <w:footnote w:id="16">
    <w:p w:rsidR="0098717D" w:rsidRPr="009F452A" w:rsidRDefault="0098717D" w:rsidP="0014504B">
      <w:pPr>
        <w:spacing w:after="0"/>
        <w:rPr>
          <w:rFonts w:ascii="Adobe Caslon Pro" w:hAnsi="Adobe Caslon Pro"/>
          <w:sz w:val="16"/>
          <w:szCs w:val="16"/>
        </w:rPr>
      </w:pPr>
      <w:r w:rsidRPr="0014504B">
        <w:rPr>
          <w:rStyle w:val="Caracteresdenotaalpie"/>
          <w:rFonts w:ascii="Adobe Caslon Pro" w:hAnsi="Adobe Caslon Pro"/>
          <w:sz w:val="16"/>
          <w:szCs w:val="16"/>
        </w:rPr>
        <w:footnoteRef/>
      </w:r>
      <w:r w:rsidRPr="0014504B">
        <w:rPr>
          <w:rFonts w:ascii="Adobe Caslon Pro" w:hAnsi="Adobe Caslon Pro"/>
          <w:sz w:val="16"/>
          <w:szCs w:val="16"/>
        </w:rPr>
        <w:t xml:space="preserve"> Datos de la página electrónica de INMUJERES </w:t>
      </w:r>
      <w:hyperlink r:id="rId4" w:history="1">
        <w:r w:rsidRPr="0014504B">
          <w:rPr>
            <w:rStyle w:val="Hipervnculo"/>
            <w:rFonts w:ascii="Adobe Caslon Pro" w:hAnsi="Adobe Caslon Pro"/>
            <w:color w:val="00000A"/>
            <w:sz w:val="16"/>
            <w:szCs w:val="16"/>
          </w:rPr>
          <w:t>http://www.inmujeres.gob.mx/index.php/ique-es-el-inmujeres/organigrama5</w:t>
        </w:r>
      </w:hyperlink>
      <w:r w:rsidRPr="0014504B">
        <w:rPr>
          <w:rFonts w:ascii="Adobe Caslon Pro" w:hAnsi="Adobe Caslon Pro"/>
          <w:sz w:val="16"/>
          <w:szCs w:val="16"/>
        </w:rPr>
        <w:br w:type="page"/>
      </w:r>
    </w:p>
  </w:footnote>
  <w:footnote w:id="17">
    <w:p w:rsidR="0098717D" w:rsidRDefault="0098717D" w:rsidP="003012EB">
      <w:pPr>
        <w:pStyle w:val="Textonotapie"/>
      </w:pPr>
      <w:r>
        <w:rPr>
          <w:rStyle w:val="Refdenotaalpie"/>
        </w:rPr>
        <w:footnoteRef/>
      </w:r>
      <w:r>
        <w:t xml:space="preserve"> </w:t>
      </w:r>
      <w:r w:rsidRPr="00A277FE">
        <w:rPr>
          <w:rFonts w:ascii="Adobe Caslon Pro" w:hAnsi="Adobe Caslon Pro"/>
          <w:sz w:val="18"/>
          <w:szCs w:val="18"/>
          <w:lang w:val="es-ES_tradnl"/>
        </w:rPr>
        <w:t>Los informantes del Censo de Gobierno son 2,461 gobiernos Municipales y Delegacionales de las Entidades Federativas.</w:t>
      </w:r>
    </w:p>
  </w:footnote>
  <w:footnote w:id="18">
    <w:p w:rsidR="0098717D" w:rsidRDefault="0098717D" w:rsidP="003012EB">
      <w:pPr>
        <w:pStyle w:val="Textonotapie"/>
        <w:contextualSpacing/>
        <w:jc w:val="both"/>
        <w:rPr>
          <w:rFonts w:ascii="Adobe Caslon Pro" w:hAnsi="Adobe Caslon Pro"/>
          <w:sz w:val="18"/>
          <w:szCs w:val="18"/>
          <w:lang w:val="es-ES_tradnl"/>
        </w:rPr>
      </w:pPr>
      <w:r>
        <w:rPr>
          <w:rStyle w:val="Refdenotaalpie"/>
        </w:rPr>
        <w:footnoteRef/>
      </w:r>
      <w:r>
        <w:t xml:space="preserve"> </w:t>
      </w:r>
      <w:r w:rsidRPr="001745AE">
        <w:rPr>
          <w:rFonts w:ascii="Adobe Caslon Pro" w:hAnsi="Adobe Caslon Pro"/>
          <w:sz w:val="18"/>
          <w:szCs w:val="18"/>
          <w:lang w:val="es-ES_tradnl"/>
        </w:rPr>
        <w:t xml:space="preserve">El documento se puede consultar en la siguiente dirección electrónica: </w:t>
      </w:r>
    </w:p>
    <w:p w:rsidR="0098717D" w:rsidRPr="001D08CF" w:rsidRDefault="0098717D" w:rsidP="003012EB">
      <w:pPr>
        <w:pStyle w:val="Textonotapie"/>
        <w:contextualSpacing/>
        <w:jc w:val="both"/>
        <w:rPr>
          <w:rFonts w:ascii="Adobe Caslon Pro" w:hAnsi="Adobe Caslon Pro"/>
          <w:sz w:val="18"/>
          <w:szCs w:val="18"/>
          <w:lang w:val="es-ES_tradnl"/>
        </w:rPr>
      </w:pPr>
      <w:r w:rsidRPr="001D08CF">
        <w:rPr>
          <w:rFonts w:ascii="Adobe Caslon Pro" w:hAnsi="Adobe Caslon Pro"/>
          <w:sz w:val="18"/>
          <w:szCs w:val="18"/>
          <w:lang w:val="es-ES_tradnl"/>
        </w:rPr>
        <w:t>http://www.dof.gob.mx/nota_detalle.php?codigo=5343063&amp;fecha=30/04/2014</w:t>
      </w:r>
    </w:p>
  </w:footnote>
  <w:footnote w:id="19">
    <w:p w:rsidR="0098717D" w:rsidRPr="00CA61A9" w:rsidRDefault="0098717D" w:rsidP="00F958F2">
      <w:pPr>
        <w:pStyle w:val="Textonotapie"/>
        <w:contextualSpacing/>
        <w:rPr>
          <w:rFonts w:ascii="Adobe Caslon Pro" w:hAnsi="Adobe Caslon Pro"/>
          <w:sz w:val="16"/>
          <w:szCs w:val="16"/>
        </w:rPr>
      </w:pPr>
      <w:r w:rsidRPr="008E413D">
        <w:rPr>
          <w:rStyle w:val="Refdenotaalpie"/>
          <w:rFonts w:ascii="Adobe Caslon Pro" w:hAnsi="Adobe Caslon Pro"/>
          <w:szCs w:val="16"/>
        </w:rPr>
        <w:footnoteRef/>
      </w:r>
      <w:r w:rsidRPr="008E413D">
        <w:rPr>
          <w:rStyle w:val="Refdenotaalpie"/>
          <w:rFonts w:ascii="Adobe Caslon Pro" w:hAnsi="Adobe Caslon Pro"/>
          <w:szCs w:val="16"/>
        </w:rPr>
        <w:t xml:space="preserve"> </w:t>
      </w:r>
      <w:r>
        <w:rPr>
          <w:rStyle w:val="Refdenotaalpie"/>
          <w:rFonts w:ascii="Adobe Caslon Pro" w:hAnsi="Adobe Caslon Pro"/>
          <w:szCs w:val="16"/>
        </w:rPr>
        <w:t>En adelante solo se hará referencia a la población objetivo</w:t>
      </w:r>
      <w:r w:rsidRPr="008E413D">
        <w:rPr>
          <w:rStyle w:val="Refdenotaalpie"/>
          <w:rFonts w:ascii="Adobe Caslon Pro" w:hAnsi="Adobe Caslon Pro"/>
          <w:szCs w:val="16"/>
        </w:rPr>
        <w:t>.</w:t>
      </w:r>
    </w:p>
  </w:footnote>
  <w:footnote w:id="20">
    <w:p w:rsidR="0098717D" w:rsidRPr="009F452A" w:rsidRDefault="0098717D" w:rsidP="00F958F2">
      <w:pPr>
        <w:pStyle w:val="Textonotapie"/>
        <w:contextualSpacing/>
        <w:rPr>
          <w:rFonts w:ascii="Adobe Caslon Pro" w:hAnsi="Adobe Caslon Pro"/>
          <w:sz w:val="16"/>
          <w:szCs w:val="18"/>
        </w:rPr>
      </w:pPr>
      <w:r w:rsidRPr="009F452A">
        <w:rPr>
          <w:rStyle w:val="Refdenotaalpie"/>
          <w:rFonts w:ascii="Adobe Caslon Pro" w:hAnsi="Adobe Caslon Pro"/>
          <w:sz w:val="16"/>
          <w:szCs w:val="18"/>
        </w:rPr>
        <w:footnoteRef/>
      </w:r>
      <w:r w:rsidRPr="009F452A">
        <w:rPr>
          <w:rFonts w:ascii="Adobe Caslon Pro" w:hAnsi="Adobe Caslon Pro"/>
          <w:sz w:val="16"/>
          <w:szCs w:val="18"/>
        </w:rPr>
        <w:t xml:space="preserve"> Entre los 9 estados con mayor población.</w:t>
      </w:r>
    </w:p>
  </w:footnote>
  <w:footnote w:id="21">
    <w:p w:rsidR="0098717D" w:rsidRPr="009F452A" w:rsidRDefault="0098717D" w:rsidP="00F958F2">
      <w:pPr>
        <w:pStyle w:val="Textonotapie"/>
        <w:contextualSpacing/>
        <w:rPr>
          <w:rFonts w:ascii="Adobe Caslon Pro" w:hAnsi="Adobe Caslon Pro"/>
          <w:sz w:val="16"/>
          <w:szCs w:val="18"/>
        </w:rPr>
      </w:pPr>
      <w:r w:rsidRPr="009F452A">
        <w:rPr>
          <w:rStyle w:val="Refdenotaalpie"/>
          <w:rFonts w:ascii="Adobe Caslon Pro" w:hAnsi="Adobe Caslon Pro"/>
          <w:sz w:val="16"/>
          <w:szCs w:val="18"/>
        </w:rPr>
        <w:footnoteRef/>
      </w:r>
      <w:r w:rsidRPr="009F452A">
        <w:rPr>
          <w:rFonts w:ascii="Adobe Caslon Pro" w:hAnsi="Adobe Caslon Pro"/>
          <w:sz w:val="16"/>
          <w:szCs w:val="18"/>
        </w:rPr>
        <w:t xml:space="preserve"> Entre los 10 estados con mayor población.</w:t>
      </w:r>
    </w:p>
  </w:footnote>
  <w:footnote w:id="22">
    <w:p w:rsidR="0098717D" w:rsidRPr="009F452A" w:rsidRDefault="0098717D" w:rsidP="00F958F2">
      <w:pPr>
        <w:pStyle w:val="Textonotapie"/>
        <w:contextualSpacing/>
        <w:rPr>
          <w:rFonts w:ascii="Adobe Caslon Pro" w:hAnsi="Adobe Caslon Pro"/>
          <w:sz w:val="16"/>
          <w:szCs w:val="18"/>
        </w:rPr>
      </w:pPr>
      <w:r w:rsidRPr="009F452A">
        <w:rPr>
          <w:rStyle w:val="Refdenotaalpie"/>
          <w:rFonts w:ascii="Adobe Caslon Pro" w:hAnsi="Adobe Caslon Pro"/>
          <w:sz w:val="16"/>
          <w:szCs w:val="18"/>
        </w:rPr>
        <w:footnoteRef/>
      </w:r>
      <w:r w:rsidRPr="009F452A">
        <w:rPr>
          <w:rFonts w:ascii="Adobe Caslon Pro" w:hAnsi="Adobe Caslon Pro"/>
          <w:sz w:val="16"/>
          <w:szCs w:val="18"/>
        </w:rPr>
        <w:t xml:space="preserve"> Entre los 10 estados con menor población.</w:t>
      </w:r>
    </w:p>
  </w:footnote>
  <w:footnote w:id="23">
    <w:p w:rsidR="0098717D" w:rsidRPr="009F452A" w:rsidRDefault="0098717D" w:rsidP="00F958F2">
      <w:pPr>
        <w:pStyle w:val="Textonotapie"/>
        <w:contextualSpacing/>
        <w:rPr>
          <w:rFonts w:ascii="Adobe Caslon Pro" w:hAnsi="Adobe Caslon Pro"/>
          <w:sz w:val="16"/>
          <w:szCs w:val="18"/>
        </w:rPr>
      </w:pPr>
      <w:r w:rsidRPr="009F452A">
        <w:rPr>
          <w:rStyle w:val="Refdenotaalpie"/>
          <w:rFonts w:ascii="Adobe Caslon Pro" w:hAnsi="Adobe Caslon Pro"/>
          <w:sz w:val="16"/>
          <w:szCs w:val="18"/>
        </w:rPr>
        <w:footnoteRef/>
      </w:r>
      <w:r w:rsidRPr="009F452A">
        <w:rPr>
          <w:rFonts w:ascii="Adobe Caslon Pro" w:hAnsi="Adobe Caslon Pro"/>
          <w:sz w:val="16"/>
          <w:szCs w:val="18"/>
        </w:rPr>
        <w:t xml:space="preserve"> Entre los 12 estados con mayor población.</w:t>
      </w:r>
    </w:p>
  </w:footnote>
  <w:footnote w:id="24">
    <w:p w:rsidR="0098717D" w:rsidRPr="009F452A" w:rsidRDefault="0098717D" w:rsidP="00F958F2">
      <w:pPr>
        <w:pStyle w:val="Textonotapie"/>
        <w:contextualSpacing/>
        <w:rPr>
          <w:rFonts w:ascii="Adobe Caslon Pro" w:hAnsi="Adobe Caslon Pro"/>
          <w:sz w:val="16"/>
          <w:szCs w:val="18"/>
        </w:rPr>
      </w:pPr>
      <w:r w:rsidRPr="009F452A">
        <w:rPr>
          <w:rStyle w:val="Refdenotaalpie"/>
          <w:rFonts w:ascii="Adobe Caslon Pro" w:hAnsi="Adobe Caslon Pro"/>
          <w:sz w:val="16"/>
          <w:szCs w:val="18"/>
        </w:rPr>
        <w:footnoteRef/>
      </w:r>
      <w:r w:rsidRPr="009F452A">
        <w:rPr>
          <w:rFonts w:ascii="Adobe Caslon Pro" w:hAnsi="Adobe Caslon Pro"/>
          <w:sz w:val="16"/>
          <w:szCs w:val="18"/>
        </w:rPr>
        <w:t xml:space="preserve"> Entre los 5 estados con menor población.</w:t>
      </w:r>
    </w:p>
  </w:footnote>
  <w:footnote w:id="25">
    <w:p w:rsidR="0098717D" w:rsidRPr="00B3611F" w:rsidRDefault="0098717D" w:rsidP="00F958F2">
      <w:pPr>
        <w:pStyle w:val="Textonotapie"/>
        <w:contextualSpacing/>
        <w:rPr>
          <w:sz w:val="18"/>
          <w:szCs w:val="18"/>
        </w:rPr>
      </w:pPr>
      <w:r w:rsidRPr="009F452A">
        <w:rPr>
          <w:rStyle w:val="Refdenotaalpie"/>
          <w:rFonts w:ascii="Adobe Caslon Pro" w:hAnsi="Adobe Caslon Pro"/>
          <w:sz w:val="16"/>
          <w:szCs w:val="18"/>
        </w:rPr>
        <w:footnoteRef/>
      </w:r>
      <w:r w:rsidRPr="009F452A">
        <w:rPr>
          <w:rFonts w:ascii="Adobe Caslon Pro" w:hAnsi="Adobe Caslon Pro"/>
          <w:sz w:val="16"/>
          <w:szCs w:val="18"/>
        </w:rPr>
        <w:t xml:space="preserve"> Entre los 3 estados con menor población.</w:t>
      </w:r>
    </w:p>
  </w:footnote>
  <w:footnote w:id="26">
    <w:p w:rsidR="0098717D" w:rsidRPr="00FE2757" w:rsidRDefault="0098717D" w:rsidP="00136568">
      <w:pPr>
        <w:jc w:val="both"/>
        <w:rPr>
          <w:rFonts w:ascii="Adobe Caslon Pro" w:hAnsi="Adobe Caslon Pro" w:cs="Arial"/>
          <w:sz w:val="16"/>
          <w:szCs w:val="16"/>
        </w:rPr>
      </w:pPr>
      <w:r w:rsidRPr="0005232E">
        <w:rPr>
          <w:rStyle w:val="Refdenotaalpie"/>
          <w:rFonts w:ascii="Adobe Caslon Pro" w:hAnsi="Adobe Caslon Pro" w:cs="Arial"/>
          <w:sz w:val="18"/>
          <w:szCs w:val="18"/>
        </w:rPr>
        <w:footnoteRef/>
      </w:r>
      <w:r w:rsidRPr="0005232E">
        <w:rPr>
          <w:rFonts w:ascii="Adobe Caslon Pro" w:hAnsi="Adobe Caslon Pro" w:cs="Arial"/>
          <w:sz w:val="18"/>
          <w:szCs w:val="18"/>
        </w:rPr>
        <w:t xml:space="preserve"> </w:t>
      </w:r>
      <w:r w:rsidRPr="0005232E">
        <w:rPr>
          <w:rFonts w:ascii="Adobe Caslon Pro" w:hAnsi="Adobe Caslon Pro" w:cs="Arial"/>
          <w:sz w:val="16"/>
          <w:szCs w:val="16"/>
        </w:rPr>
        <w:t>La Escala GEM – Escala de Equidad de Género para Hombres (</w:t>
      </w:r>
      <w:proofErr w:type="spellStart"/>
      <w:r w:rsidRPr="0005232E">
        <w:rPr>
          <w:rFonts w:ascii="Adobe Caslon Pro" w:hAnsi="Adobe Caslon Pro" w:cs="Arial"/>
          <w:sz w:val="16"/>
          <w:szCs w:val="16"/>
        </w:rPr>
        <w:t>Gender-Equitable</w:t>
      </w:r>
      <w:proofErr w:type="spellEnd"/>
      <w:r w:rsidRPr="0005232E">
        <w:rPr>
          <w:rFonts w:ascii="Adobe Caslon Pro" w:hAnsi="Adobe Caslon Pro" w:cs="Arial"/>
          <w:sz w:val="16"/>
          <w:szCs w:val="16"/>
        </w:rPr>
        <w:t xml:space="preserve"> </w:t>
      </w:r>
      <w:proofErr w:type="spellStart"/>
      <w:r w:rsidRPr="0005232E">
        <w:rPr>
          <w:rFonts w:ascii="Adobe Caslon Pro" w:hAnsi="Adobe Caslon Pro" w:cs="Arial"/>
          <w:sz w:val="16"/>
          <w:szCs w:val="16"/>
        </w:rPr>
        <w:t>Men</w:t>
      </w:r>
      <w:proofErr w:type="spellEnd"/>
      <w:r w:rsidRPr="0005232E">
        <w:rPr>
          <w:rFonts w:ascii="Adobe Caslon Pro" w:hAnsi="Adobe Caslon Pro" w:cs="Arial"/>
          <w:sz w:val="16"/>
          <w:szCs w:val="16"/>
        </w:rPr>
        <w:t xml:space="preserve"> </w:t>
      </w:r>
      <w:proofErr w:type="spellStart"/>
      <w:r w:rsidRPr="0005232E">
        <w:rPr>
          <w:rFonts w:ascii="Adobe Caslon Pro" w:hAnsi="Adobe Caslon Pro" w:cs="Arial"/>
          <w:sz w:val="16"/>
          <w:szCs w:val="16"/>
        </w:rPr>
        <w:t>Scale</w:t>
      </w:r>
      <w:proofErr w:type="spellEnd"/>
      <w:r w:rsidRPr="0005232E">
        <w:rPr>
          <w:rFonts w:ascii="Adobe Caslon Pro" w:hAnsi="Adobe Caslon Pro" w:cs="Arial"/>
          <w:sz w:val="16"/>
          <w:szCs w:val="16"/>
        </w:rPr>
        <w:t xml:space="preserve"> por sus siglas en ingl</w:t>
      </w:r>
      <w:r>
        <w:rPr>
          <w:rFonts w:ascii="Adobe Caslon Pro" w:hAnsi="Adobe Caslon Pro" w:cs="Arial"/>
          <w:sz w:val="16"/>
          <w:szCs w:val="16"/>
        </w:rPr>
        <w:t>é</w:t>
      </w:r>
      <w:r w:rsidRPr="0005232E">
        <w:rPr>
          <w:rFonts w:ascii="Adobe Caslon Pro" w:hAnsi="Adobe Caslon Pro" w:cs="Arial"/>
          <w:sz w:val="16"/>
          <w:szCs w:val="16"/>
        </w:rPr>
        <w:t>s) – es una herramienta que consta de alrededor de 35 preguntas relacionadas con la actitud de los roles de género en el hogar, incluyendo cuidado de los niños, los roles de género en las relaciones sexuales, la responsabilidad compartida para la salud</w:t>
      </w:r>
      <w:r w:rsidRPr="00FE2757">
        <w:rPr>
          <w:rFonts w:ascii="Adobe Caslon Pro" w:hAnsi="Adobe Caslon Pro" w:cs="Arial"/>
          <w:sz w:val="16"/>
          <w:szCs w:val="16"/>
        </w:rPr>
        <w:t xml:space="preserve"> reproductiva y prevención de enfermedades; violencia en las relaciones íntimas y la homosexualidad y las relaciones estrechas con otros hombres</w:t>
      </w:r>
      <w:r>
        <w:rPr>
          <w:rFonts w:ascii="Adobe Caslon Pro" w:hAnsi="Adobe Caslon Pro" w:cs="Arial"/>
          <w:sz w:val="16"/>
          <w:szCs w:val="16"/>
        </w:rPr>
        <w:t>.</w:t>
      </w:r>
    </w:p>
  </w:footnote>
  <w:footnote w:id="27">
    <w:p w:rsidR="0098717D" w:rsidRPr="0005232E" w:rsidRDefault="0098717D" w:rsidP="00136568">
      <w:pPr>
        <w:pStyle w:val="Textonotapie"/>
        <w:jc w:val="both"/>
        <w:rPr>
          <w:rFonts w:ascii="Adobe Caslon Pro" w:hAnsi="Adobe Caslon Pro"/>
          <w:sz w:val="14"/>
          <w:szCs w:val="14"/>
        </w:rPr>
      </w:pPr>
      <w:r w:rsidRPr="0005232E">
        <w:rPr>
          <w:rStyle w:val="Refdenotaalpie"/>
          <w:rFonts w:ascii="Adobe Caslon Pro" w:hAnsi="Adobe Caslon Pro"/>
          <w:sz w:val="14"/>
          <w:szCs w:val="14"/>
        </w:rPr>
        <w:footnoteRef/>
      </w:r>
      <w:r w:rsidRPr="0005232E">
        <w:rPr>
          <w:rFonts w:ascii="Adobe Caslon Pro" w:hAnsi="Adobe Caslon Pro"/>
          <w:sz w:val="14"/>
          <w:szCs w:val="14"/>
        </w:rPr>
        <w:t xml:space="preserve"> Es la resolución de un juez,</w:t>
      </w:r>
      <w:r>
        <w:rPr>
          <w:rFonts w:ascii="Adobe Caslon Pro" w:hAnsi="Adobe Caslon Pro"/>
          <w:sz w:val="14"/>
          <w:szCs w:val="14"/>
        </w:rPr>
        <w:t xml:space="preserve"> </w:t>
      </w:r>
      <w:r w:rsidRPr="0005232E">
        <w:rPr>
          <w:rFonts w:ascii="Adobe Caslon Pro" w:hAnsi="Adobe Caslon Pro"/>
          <w:sz w:val="14"/>
          <w:szCs w:val="14"/>
        </w:rPr>
        <w:t>en la que no permite al acusado acercarse a la víctima, en este caso el esposo o pareja no puede acercarse a su esposa.</w:t>
      </w:r>
    </w:p>
  </w:footnote>
  <w:footnote w:id="28">
    <w:p w:rsidR="0098717D" w:rsidRPr="00020E7C" w:rsidRDefault="0098717D" w:rsidP="005901E8">
      <w:pPr>
        <w:pStyle w:val="Textonotapie"/>
        <w:rPr>
          <w:rFonts w:ascii="Adobe Caslon Pro" w:hAnsi="Adobe Caslon Pro"/>
          <w:sz w:val="14"/>
          <w:szCs w:val="14"/>
        </w:rPr>
      </w:pPr>
      <w:r w:rsidRPr="00020E7C">
        <w:rPr>
          <w:rStyle w:val="Refdenotaalpie"/>
          <w:rFonts w:ascii="Adobe Caslon Pro" w:hAnsi="Adobe Caslon Pro"/>
          <w:sz w:val="14"/>
          <w:szCs w:val="14"/>
        </w:rPr>
        <w:footnoteRef/>
      </w:r>
      <w:r w:rsidRPr="00020E7C">
        <w:rPr>
          <w:rFonts w:ascii="Adobe Caslon Pro" w:hAnsi="Adobe Caslon Pro"/>
          <w:sz w:val="14"/>
          <w:szCs w:val="14"/>
        </w:rPr>
        <w:t xml:space="preserve"> Para desarrollar este punto se consultó la versión electrónica de Modelos de Atención y Prevención que diversas instancias públicas y sociales han desarrollado para la puesta en marcha de servicios especializados para mujeres en situación de violencia. Ver </w:t>
      </w:r>
      <w:hyperlink r:id="rId5" w:history="1">
        <w:r w:rsidRPr="00020E7C">
          <w:rPr>
            <w:rStyle w:val="Hipervnculo"/>
            <w:rFonts w:ascii="Adobe Caslon Pro" w:hAnsi="Adobe Caslon Pro"/>
            <w:sz w:val="14"/>
            <w:szCs w:val="14"/>
          </w:rPr>
          <w:t>http://cedoc.inmujeres.gob.mx/Pag_cat_libre_art482.php?criterio=modelo&amp;tipo=PAIMEF&amp;search=Busqueda</w:t>
        </w:r>
      </w:hyperlink>
      <w:r w:rsidRPr="00020E7C">
        <w:rPr>
          <w:rFonts w:ascii="Adobe Caslon Pro" w:hAnsi="Adobe Caslon Pro"/>
          <w:sz w:val="14"/>
          <w:szCs w:val="14"/>
        </w:rPr>
        <w:t xml:space="preserve">, consultado el 08/05/2014. </w:t>
      </w:r>
    </w:p>
  </w:footnote>
  <w:footnote w:id="29">
    <w:p w:rsidR="0098717D" w:rsidRPr="00020E7C" w:rsidRDefault="0098717D" w:rsidP="005901E8">
      <w:pPr>
        <w:pStyle w:val="texto0"/>
        <w:spacing w:after="0" w:line="240" w:lineRule="auto"/>
        <w:ind w:firstLine="0"/>
        <w:rPr>
          <w:rFonts w:ascii="Adobe Caslon Pro" w:hAnsi="Adobe Caslon Pro"/>
          <w:sz w:val="14"/>
          <w:szCs w:val="14"/>
        </w:rPr>
      </w:pPr>
      <w:r w:rsidRPr="00020E7C">
        <w:rPr>
          <w:rFonts w:ascii="Adobe Caslon Pro" w:hAnsi="Adobe Caslon Pro"/>
          <w:position w:val="6"/>
          <w:sz w:val="14"/>
          <w:szCs w:val="14"/>
        </w:rPr>
        <w:footnoteRef/>
      </w:r>
      <w:r w:rsidRPr="00020E7C">
        <w:rPr>
          <w:rFonts w:ascii="Adobe Caslon Pro" w:hAnsi="Adobe Caslon Pro"/>
          <w:sz w:val="14"/>
          <w:szCs w:val="14"/>
        </w:rPr>
        <w:t xml:space="preserve"> Los ejemplos de las acciones que se presentan no son excluyentes de otras propuestas que presente la IMEF.</w:t>
      </w:r>
    </w:p>
    <w:p w:rsidR="0098717D" w:rsidRPr="00D40130" w:rsidRDefault="0098717D" w:rsidP="005901E8">
      <w:pPr>
        <w:pStyle w:val="texto0"/>
        <w:spacing w:after="0" w:line="240" w:lineRule="auto"/>
        <w:ind w:firstLine="0"/>
        <w:rPr>
          <w:sz w:val="14"/>
          <w:szCs w:val="14"/>
        </w:rPr>
      </w:pPr>
    </w:p>
  </w:footnote>
  <w:footnote w:id="30">
    <w:p w:rsidR="0098717D" w:rsidRPr="00020E7C" w:rsidRDefault="0098717D" w:rsidP="005901E8">
      <w:pPr>
        <w:pStyle w:val="texto0"/>
        <w:spacing w:after="0" w:line="240" w:lineRule="auto"/>
        <w:ind w:firstLine="0"/>
        <w:rPr>
          <w:rFonts w:ascii="Adobe Caslon Pro" w:hAnsi="Adobe Caslon Pro"/>
          <w:sz w:val="14"/>
          <w:szCs w:val="14"/>
        </w:rPr>
      </w:pPr>
      <w:r w:rsidRPr="00020E7C">
        <w:rPr>
          <w:rFonts w:ascii="Adobe Caslon Pro" w:hAnsi="Adobe Caslon Pro"/>
          <w:position w:val="9"/>
          <w:sz w:val="14"/>
          <w:szCs w:val="14"/>
        </w:rPr>
        <w:footnoteRef/>
      </w:r>
      <w:r w:rsidRPr="00020E7C">
        <w:rPr>
          <w:rFonts w:ascii="Adobe Caslon Pro" w:hAnsi="Adobe Caslon Pro"/>
          <w:sz w:val="14"/>
          <w:szCs w:val="14"/>
        </w:rPr>
        <w:t xml:space="preserve">Para la elaboración de esta línea de acción se considera a los grupos de mujeres que se encuentran en diversas situaciones de vulnerabilidad, tales como: las mujeres indígenas, </w:t>
      </w:r>
      <w:proofErr w:type="spellStart"/>
      <w:r w:rsidRPr="00020E7C">
        <w:rPr>
          <w:rFonts w:ascii="Adobe Caslon Pro" w:hAnsi="Adobe Caslon Pro"/>
          <w:sz w:val="14"/>
          <w:szCs w:val="14"/>
        </w:rPr>
        <w:t>afrodescendientes</w:t>
      </w:r>
      <w:proofErr w:type="spellEnd"/>
      <w:r w:rsidRPr="00020E7C">
        <w:rPr>
          <w:rFonts w:ascii="Adobe Caslon Pro" w:hAnsi="Adobe Caslon Pro"/>
          <w:sz w:val="14"/>
          <w:szCs w:val="14"/>
        </w:rPr>
        <w:t>, niñas, adolescentes y adultas mayores, discriminadas por su orientación sexual, aquellas que viven en situación de pobreza, analfabetas funcionales, mujeres refugiadas y desplazadas, víctimas de conflictos armados o situaciones de violaciones sistemáticas de derechos humanos, las mujeres que se encuentran privadas de su libertad, mujeres con discapacidad, las mujeres trabajadoras del hogar y las mujeres en situación de prostitución/trabajo sexual.</w:t>
      </w:r>
    </w:p>
  </w:footnote>
  <w:footnote w:id="31">
    <w:p w:rsidR="0098717D" w:rsidRPr="00157A60" w:rsidRDefault="0098717D" w:rsidP="005901E8">
      <w:pPr>
        <w:pStyle w:val="Textonotapie"/>
        <w:jc w:val="both"/>
        <w:rPr>
          <w:sz w:val="14"/>
          <w:szCs w:val="14"/>
        </w:rPr>
      </w:pPr>
      <w:r w:rsidRPr="007C5336">
        <w:rPr>
          <w:rStyle w:val="Refdenotaalpie"/>
          <w:sz w:val="18"/>
          <w:szCs w:val="18"/>
        </w:rPr>
        <w:footnoteRef/>
      </w:r>
      <w:r w:rsidRPr="007C5336">
        <w:rPr>
          <w:sz w:val="18"/>
          <w:szCs w:val="18"/>
        </w:rPr>
        <w:t xml:space="preserve"> </w:t>
      </w:r>
      <w:r w:rsidRPr="00157A60">
        <w:rPr>
          <w:sz w:val="14"/>
          <w:szCs w:val="14"/>
        </w:rPr>
        <w:t xml:space="preserve">Inflación 2013 y 2014 prevista en el Informe sobre la Inflación julio-septiembre de 2013 del Banco de México, publicado en </w:t>
      </w:r>
      <w:hyperlink r:id="rId6" w:history="1">
        <w:r w:rsidRPr="00157A60">
          <w:rPr>
            <w:rStyle w:val="Hipervnculo"/>
            <w:rFonts w:eastAsiaTheme="majorEastAsia"/>
            <w:sz w:val="14"/>
            <w:szCs w:val="14"/>
          </w:rPr>
          <w:t>http://www.banxico.org.mx/publicaciones-y-discursos/publicaciones/informes-periodicos/trimestral-inflacion/%7B41515DDF-DC0D-28B4-D82D-6B7D3BFDFF21%7D.pdf</w:t>
        </w:r>
      </w:hyperlink>
      <w:r w:rsidRPr="00157A60">
        <w:rPr>
          <w:sz w:val="14"/>
          <w:szCs w:val="14"/>
        </w:rPr>
        <w:t>, p.29.</w:t>
      </w:r>
    </w:p>
  </w:footnote>
  <w:footnote w:id="32">
    <w:p w:rsidR="0098717D" w:rsidRDefault="0098717D" w:rsidP="005901E8">
      <w:pPr>
        <w:pStyle w:val="Textonotapie"/>
        <w:tabs>
          <w:tab w:val="left" w:pos="3828"/>
        </w:tabs>
        <w:contextualSpacing/>
        <w:jc w:val="both"/>
        <w:rPr>
          <w:rFonts w:ascii="Adobe Caslon Pro" w:hAnsi="Adobe Caslon Pro"/>
          <w:sz w:val="18"/>
          <w:szCs w:val="18"/>
          <w:lang w:val="es-ES_tradnl"/>
        </w:rPr>
      </w:pPr>
      <w:r>
        <w:rPr>
          <w:rStyle w:val="Refdenotaalpie"/>
        </w:rPr>
        <w:footnoteRef/>
      </w:r>
      <w:r>
        <w:t xml:space="preserve"> </w:t>
      </w:r>
      <w:r w:rsidRPr="001745AE">
        <w:rPr>
          <w:rFonts w:ascii="Adobe Caslon Pro" w:hAnsi="Adobe Caslon Pro"/>
          <w:sz w:val="18"/>
          <w:szCs w:val="18"/>
          <w:lang w:val="es-ES_tradnl"/>
        </w:rPr>
        <w:t xml:space="preserve">El documento se puede consultar en la siguiente dirección electrónica: </w:t>
      </w:r>
    </w:p>
    <w:p w:rsidR="0098717D" w:rsidRPr="008F4A9B" w:rsidRDefault="0098717D" w:rsidP="005901E8">
      <w:pPr>
        <w:pStyle w:val="Textonotapie"/>
        <w:tabs>
          <w:tab w:val="left" w:pos="3828"/>
        </w:tabs>
        <w:rPr>
          <w:lang w:val="es-ES_tradnl"/>
        </w:rPr>
      </w:pPr>
      <w:r w:rsidRPr="008F4A9B">
        <w:rPr>
          <w:rFonts w:ascii="Adobe Caslon Pro" w:hAnsi="Adobe Caslon Pro"/>
          <w:sz w:val="18"/>
          <w:szCs w:val="18"/>
          <w:lang w:val="es-ES_tradnl"/>
        </w:rPr>
        <w:t>http://www.normateca.SEDESOL.gob.mx/work/models/NORMATECA/Normateca/1_Menu_Principal/2_Normas/2_Sustantivas/Lineamientos_PUB.pdf</w:t>
      </w:r>
    </w:p>
  </w:footnote>
  <w:footnote w:id="33">
    <w:p w:rsidR="0098717D" w:rsidRPr="008F4A9B" w:rsidRDefault="0098717D" w:rsidP="005901E8">
      <w:pPr>
        <w:pStyle w:val="Textonotapie"/>
        <w:tabs>
          <w:tab w:val="left" w:pos="3828"/>
        </w:tabs>
        <w:jc w:val="both"/>
        <w:rPr>
          <w:rFonts w:ascii="Adobe Caslon Pro" w:hAnsi="Adobe Caslon Pro"/>
          <w:sz w:val="18"/>
          <w:szCs w:val="18"/>
          <w:lang w:val="es-ES_tradnl"/>
        </w:rPr>
      </w:pPr>
      <w:r w:rsidRPr="008F4A9B">
        <w:rPr>
          <w:rFonts w:ascii="Adobe Caslon Pro" w:hAnsi="Adobe Caslon Pro"/>
          <w:sz w:val="18"/>
          <w:szCs w:val="18"/>
          <w:lang w:val="es-ES_tradnl"/>
        </w:rPr>
        <w:footnoteRef/>
      </w:r>
      <w:r w:rsidRPr="008F4A9B">
        <w:rPr>
          <w:rFonts w:ascii="Adobe Caslon Pro" w:hAnsi="Adobe Caslon Pro"/>
          <w:sz w:val="18"/>
          <w:szCs w:val="18"/>
          <w:lang w:val="es-ES_tradnl"/>
        </w:rPr>
        <w:t xml:space="preserve"> Se considera un “actor social” a una agrupación de personas con un fin determinado, como: asociación civil, instituciones de educación o centros de investigación.</w:t>
      </w:r>
    </w:p>
  </w:footnote>
  <w:footnote w:id="34">
    <w:p w:rsidR="0098717D" w:rsidRPr="008F4A9B" w:rsidRDefault="0098717D" w:rsidP="0097641E">
      <w:pPr>
        <w:pStyle w:val="Textonotapie"/>
        <w:tabs>
          <w:tab w:val="left" w:pos="3828"/>
        </w:tabs>
        <w:spacing w:after="0" w:line="240" w:lineRule="auto"/>
        <w:jc w:val="both"/>
        <w:rPr>
          <w:rFonts w:ascii="Adobe Caslon Pro" w:hAnsi="Adobe Caslon Pro"/>
          <w:sz w:val="18"/>
          <w:szCs w:val="18"/>
          <w:lang w:val="es-ES_tradnl"/>
        </w:rPr>
      </w:pPr>
      <w:r w:rsidRPr="008F4A9B">
        <w:rPr>
          <w:rFonts w:ascii="Adobe Caslon Pro" w:hAnsi="Adobe Caslon Pro"/>
          <w:sz w:val="18"/>
          <w:szCs w:val="18"/>
          <w:lang w:val="es-ES_tradnl"/>
        </w:rPr>
        <w:footnoteRef/>
      </w:r>
      <w:r w:rsidRPr="008F4A9B">
        <w:rPr>
          <w:rFonts w:ascii="Adobe Caslon Pro" w:hAnsi="Adobe Caslon Pro"/>
          <w:sz w:val="18"/>
          <w:szCs w:val="18"/>
          <w:lang w:val="es-ES_tradnl"/>
        </w:rPr>
        <w:t xml:space="preserve"> Este tipo de obras incluyen sistemas de agua potable, sistemas de drenaje y alcantarillado, plantas de tratamiento de aguas residuales, plantas purificadoras de agua, rellenos sanitarios, caminos, carreteras, pavimentación de calles, mejoramiento del entorno urbano, entre otras.</w:t>
      </w:r>
    </w:p>
  </w:footnote>
  <w:footnote w:id="35">
    <w:p w:rsidR="0098717D" w:rsidRDefault="0098717D" w:rsidP="0097641E">
      <w:pPr>
        <w:pStyle w:val="Textonotapie"/>
        <w:tabs>
          <w:tab w:val="left" w:pos="3828"/>
        </w:tabs>
        <w:spacing w:after="0" w:line="240" w:lineRule="auto"/>
        <w:contextualSpacing/>
        <w:jc w:val="both"/>
        <w:rPr>
          <w:rFonts w:ascii="Adobe Caslon Pro" w:hAnsi="Adobe Caslon Pro"/>
          <w:sz w:val="18"/>
          <w:szCs w:val="18"/>
          <w:lang w:val="es-ES_tradnl"/>
        </w:rPr>
      </w:pPr>
      <w:r w:rsidRPr="008F4A9B">
        <w:rPr>
          <w:rFonts w:ascii="Adobe Caslon Pro" w:hAnsi="Adobe Caslon Pro"/>
          <w:sz w:val="18"/>
          <w:szCs w:val="18"/>
          <w:lang w:val="es-ES_tradnl"/>
        </w:rPr>
        <w:footnoteRef/>
      </w:r>
      <w:r w:rsidRPr="008F4A9B">
        <w:rPr>
          <w:rFonts w:ascii="Adobe Caslon Pro" w:hAnsi="Adobe Caslon Pro"/>
          <w:sz w:val="18"/>
          <w:szCs w:val="18"/>
          <w:lang w:val="es-ES_tradnl"/>
        </w:rPr>
        <w:t xml:space="preserve"> </w:t>
      </w:r>
      <w:r w:rsidRPr="001745AE">
        <w:rPr>
          <w:rFonts w:ascii="Adobe Caslon Pro" w:hAnsi="Adobe Caslon Pro"/>
          <w:sz w:val="18"/>
          <w:szCs w:val="18"/>
          <w:lang w:val="es-ES_tradnl"/>
        </w:rPr>
        <w:t xml:space="preserve">El documento se puede consultar en la siguiente dirección electrónica: </w:t>
      </w:r>
      <w:r w:rsidRPr="008F4A9B">
        <w:rPr>
          <w:rFonts w:ascii="Adobe Caslon Pro" w:hAnsi="Adobe Caslon Pro"/>
          <w:sz w:val="18"/>
          <w:szCs w:val="18"/>
          <w:lang w:val="es-ES_tradnl"/>
        </w:rPr>
        <w:t>http://www.normateca.SEDESOL.gob.mx/work/models/NORMATECA/Normateca/1_Menu_Principal/2_Normas/2_Sustantivas/Norma_recoleccion_y_captura_2011.pdf.</w:t>
      </w:r>
    </w:p>
    <w:p w:rsidR="0098717D" w:rsidRPr="008F4A9B" w:rsidRDefault="0098717D" w:rsidP="005901E8">
      <w:pPr>
        <w:pStyle w:val="Textonotapie"/>
        <w:rPr>
          <w:lang w:val="es-ES_tradnl"/>
        </w:rPr>
      </w:pPr>
    </w:p>
  </w:footnote>
  <w:footnote w:id="36">
    <w:p w:rsidR="0098717D" w:rsidRPr="00857BEE" w:rsidRDefault="0098717D" w:rsidP="00304556">
      <w:pPr>
        <w:pStyle w:val="Textonotapie"/>
        <w:jc w:val="both"/>
        <w:rPr>
          <w:rFonts w:ascii="Adobe Caslon Pro" w:hAnsi="Adobe Caslon Pro"/>
          <w:sz w:val="18"/>
          <w:szCs w:val="18"/>
        </w:rPr>
      </w:pPr>
      <w:r w:rsidRPr="00857BEE">
        <w:rPr>
          <w:rStyle w:val="Refdenotaalpie"/>
          <w:rFonts w:ascii="Adobe Caslon Pro" w:hAnsi="Adobe Caslon Pro"/>
          <w:sz w:val="18"/>
          <w:szCs w:val="18"/>
        </w:rPr>
        <w:footnoteRef/>
      </w:r>
      <w:r w:rsidRPr="00857BEE">
        <w:rPr>
          <w:rFonts w:ascii="Adobe Caslon Pro" w:hAnsi="Adobe Caslon Pro"/>
          <w:sz w:val="18"/>
          <w:szCs w:val="18"/>
        </w:rPr>
        <w:t xml:space="preserve"> Es la resolución de un juez,</w:t>
      </w:r>
      <w:r>
        <w:rPr>
          <w:rFonts w:ascii="Adobe Caslon Pro" w:hAnsi="Adobe Caslon Pro"/>
          <w:sz w:val="18"/>
          <w:szCs w:val="18"/>
        </w:rPr>
        <w:t xml:space="preserve"> </w:t>
      </w:r>
      <w:r w:rsidRPr="00857BEE">
        <w:rPr>
          <w:rFonts w:ascii="Adobe Caslon Pro" w:hAnsi="Adobe Caslon Pro"/>
          <w:sz w:val="18"/>
          <w:szCs w:val="18"/>
        </w:rPr>
        <w:t>en la que no permite al acusado acercarse a la víctima en este caso, el esposo o pareja no puede acercarse a su esposa.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17D" w:rsidRDefault="009871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17D" w:rsidRDefault="009871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C"/>
    <w:multiLevelType w:val="multilevel"/>
    <w:tmpl w:val="0000000C"/>
    <w:name w:val="WWNum30"/>
    <w:lvl w:ilvl="0">
      <w:start w:val="1"/>
      <w:numFmt w:val="bullet"/>
      <w:lvlText w:val=""/>
      <w:lvlJc w:val="left"/>
      <w:pPr>
        <w:tabs>
          <w:tab w:val="num" w:pos="0"/>
        </w:tabs>
        <w:ind w:left="720" w:hanging="360"/>
      </w:pPr>
      <w:rPr>
        <w:rFonts w:ascii="Symbol" w:hAnsi="Symbol"/>
        <w:sz w:val="1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69C47E9"/>
    <w:multiLevelType w:val="hybridMultilevel"/>
    <w:tmpl w:val="F44C9478"/>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3">
    <w:nsid w:val="07C54120"/>
    <w:multiLevelType w:val="hybridMultilevel"/>
    <w:tmpl w:val="5AC6ECB4"/>
    <w:lvl w:ilvl="0" w:tplc="0E0058F4">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A11969"/>
    <w:multiLevelType w:val="hybridMultilevel"/>
    <w:tmpl w:val="26F04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CC535D"/>
    <w:multiLevelType w:val="hybridMultilevel"/>
    <w:tmpl w:val="B980E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0C04FE"/>
    <w:multiLevelType w:val="hybridMultilevel"/>
    <w:tmpl w:val="6B842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8F2463"/>
    <w:multiLevelType w:val="hybridMultilevel"/>
    <w:tmpl w:val="F5F6784A"/>
    <w:lvl w:ilvl="0" w:tplc="607AAE4A">
      <w:start w:val="2"/>
      <w:numFmt w:val="decimal"/>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AC70F4"/>
    <w:multiLevelType w:val="hybridMultilevel"/>
    <w:tmpl w:val="1B445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CA724B"/>
    <w:multiLevelType w:val="multilevel"/>
    <w:tmpl w:val="F77255C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46C33DA"/>
    <w:multiLevelType w:val="hybridMultilevel"/>
    <w:tmpl w:val="EFE860A0"/>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11">
    <w:nsid w:val="15371668"/>
    <w:multiLevelType w:val="hybridMultilevel"/>
    <w:tmpl w:val="7F28A2C4"/>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12">
    <w:nsid w:val="230F3159"/>
    <w:multiLevelType w:val="hybridMultilevel"/>
    <w:tmpl w:val="DB8C2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9658F4"/>
    <w:multiLevelType w:val="hybridMultilevel"/>
    <w:tmpl w:val="9A44C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2E5F34"/>
    <w:multiLevelType w:val="hybridMultilevel"/>
    <w:tmpl w:val="D7741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7F10ABC"/>
    <w:multiLevelType w:val="hybridMultilevel"/>
    <w:tmpl w:val="81226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272F63"/>
    <w:multiLevelType w:val="hybridMultilevel"/>
    <w:tmpl w:val="544E9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83111C"/>
    <w:multiLevelType w:val="hybridMultilevel"/>
    <w:tmpl w:val="2BD02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53A3532"/>
    <w:multiLevelType w:val="hybridMultilevel"/>
    <w:tmpl w:val="FE84D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1E1394"/>
    <w:multiLevelType w:val="hybridMultilevel"/>
    <w:tmpl w:val="8EEC5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A4B8C"/>
    <w:multiLevelType w:val="hybridMultilevel"/>
    <w:tmpl w:val="95124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2C36D66"/>
    <w:multiLevelType w:val="hybridMultilevel"/>
    <w:tmpl w:val="C19AD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22380F"/>
    <w:multiLevelType w:val="hybridMultilevel"/>
    <w:tmpl w:val="ADA2C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5E47402"/>
    <w:multiLevelType w:val="hybridMultilevel"/>
    <w:tmpl w:val="8CF2C72A"/>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24">
    <w:nsid w:val="4915672A"/>
    <w:multiLevelType w:val="hybridMultilevel"/>
    <w:tmpl w:val="09BA6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B400AA9"/>
    <w:multiLevelType w:val="hybridMultilevel"/>
    <w:tmpl w:val="6574689C"/>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26">
    <w:nsid w:val="4C260BF0"/>
    <w:multiLevelType w:val="hybridMultilevel"/>
    <w:tmpl w:val="35325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0F3E2B"/>
    <w:multiLevelType w:val="hybridMultilevel"/>
    <w:tmpl w:val="5FE8A6C6"/>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28">
    <w:nsid w:val="4FD31C72"/>
    <w:multiLevelType w:val="hybridMultilevel"/>
    <w:tmpl w:val="D10652A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9">
    <w:nsid w:val="51FC662F"/>
    <w:multiLevelType w:val="hybridMultilevel"/>
    <w:tmpl w:val="521C7B86"/>
    <w:lvl w:ilvl="0" w:tplc="080A0019">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7862EF"/>
    <w:multiLevelType w:val="hybridMultilevel"/>
    <w:tmpl w:val="521C7B86"/>
    <w:lvl w:ilvl="0" w:tplc="080A0019">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50279C6"/>
    <w:multiLevelType w:val="hybridMultilevel"/>
    <w:tmpl w:val="DCEE2742"/>
    <w:lvl w:ilvl="0" w:tplc="080A000D">
      <w:start w:val="1"/>
      <w:numFmt w:val="bullet"/>
      <w:lvlText w:val=""/>
      <w:lvlJc w:val="left"/>
      <w:pPr>
        <w:ind w:left="1115" w:hanging="360"/>
      </w:pPr>
      <w:rPr>
        <w:rFonts w:ascii="Wingdings" w:hAnsi="Wingdings" w:hint="default"/>
      </w:rPr>
    </w:lvl>
    <w:lvl w:ilvl="1" w:tplc="080A0003" w:tentative="1">
      <w:start w:val="1"/>
      <w:numFmt w:val="bullet"/>
      <w:lvlText w:val="o"/>
      <w:lvlJc w:val="left"/>
      <w:pPr>
        <w:ind w:left="1835" w:hanging="360"/>
      </w:pPr>
      <w:rPr>
        <w:rFonts w:ascii="Courier New" w:hAnsi="Courier New" w:cs="Courier New" w:hint="default"/>
      </w:rPr>
    </w:lvl>
    <w:lvl w:ilvl="2" w:tplc="080A0005" w:tentative="1">
      <w:start w:val="1"/>
      <w:numFmt w:val="bullet"/>
      <w:lvlText w:val=""/>
      <w:lvlJc w:val="left"/>
      <w:pPr>
        <w:ind w:left="2555" w:hanging="360"/>
      </w:pPr>
      <w:rPr>
        <w:rFonts w:ascii="Wingdings" w:hAnsi="Wingdings" w:hint="default"/>
      </w:rPr>
    </w:lvl>
    <w:lvl w:ilvl="3" w:tplc="080A0001" w:tentative="1">
      <w:start w:val="1"/>
      <w:numFmt w:val="bullet"/>
      <w:lvlText w:val=""/>
      <w:lvlJc w:val="left"/>
      <w:pPr>
        <w:ind w:left="3275" w:hanging="360"/>
      </w:pPr>
      <w:rPr>
        <w:rFonts w:ascii="Symbol" w:hAnsi="Symbol" w:hint="default"/>
      </w:rPr>
    </w:lvl>
    <w:lvl w:ilvl="4" w:tplc="080A0003" w:tentative="1">
      <w:start w:val="1"/>
      <w:numFmt w:val="bullet"/>
      <w:lvlText w:val="o"/>
      <w:lvlJc w:val="left"/>
      <w:pPr>
        <w:ind w:left="3995" w:hanging="360"/>
      </w:pPr>
      <w:rPr>
        <w:rFonts w:ascii="Courier New" w:hAnsi="Courier New" w:cs="Courier New" w:hint="default"/>
      </w:rPr>
    </w:lvl>
    <w:lvl w:ilvl="5" w:tplc="080A0005" w:tentative="1">
      <w:start w:val="1"/>
      <w:numFmt w:val="bullet"/>
      <w:lvlText w:val=""/>
      <w:lvlJc w:val="left"/>
      <w:pPr>
        <w:ind w:left="4715" w:hanging="360"/>
      </w:pPr>
      <w:rPr>
        <w:rFonts w:ascii="Wingdings" w:hAnsi="Wingdings" w:hint="default"/>
      </w:rPr>
    </w:lvl>
    <w:lvl w:ilvl="6" w:tplc="080A0001" w:tentative="1">
      <w:start w:val="1"/>
      <w:numFmt w:val="bullet"/>
      <w:lvlText w:val=""/>
      <w:lvlJc w:val="left"/>
      <w:pPr>
        <w:ind w:left="5435" w:hanging="360"/>
      </w:pPr>
      <w:rPr>
        <w:rFonts w:ascii="Symbol" w:hAnsi="Symbol" w:hint="default"/>
      </w:rPr>
    </w:lvl>
    <w:lvl w:ilvl="7" w:tplc="080A0003" w:tentative="1">
      <w:start w:val="1"/>
      <w:numFmt w:val="bullet"/>
      <w:lvlText w:val="o"/>
      <w:lvlJc w:val="left"/>
      <w:pPr>
        <w:ind w:left="6155" w:hanging="360"/>
      </w:pPr>
      <w:rPr>
        <w:rFonts w:ascii="Courier New" w:hAnsi="Courier New" w:cs="Courier New" w:hint="default"/>
      </w:rPr>
    </w:lvl>
    <w:lvl w:ilvl="8" w:tplc="080A0005" w:tentative="1">
      <w:start w:val="1"/>
      <w:numFmt w:val="bullet"/>
      <w:lvlText w:val=""/>
      <w:lvlJc w:val="left"/>
      <w:pPr>
        <w:ind w:left="6875" w:hanging="360"/>
      </w:pPr>
      <w:rPr>
        <w:rFonts w:ascii="Wingdings" w:hAnsi="Wingdings" w:hint="default"/>
      </w:rPr>
    </w:lvl>
  </w:abstractNum>
  <w:abstractNum w:abstractNumId="32">
    <w:nsid w:val="59B40D0E"/>
    <w:multiLevelType w:val="hybridMultilevel"/>
    <w:tmpl w:val="E9DAE17E"/>
    <w:lvl w:ilvl="0" w:tplc="97B6C9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1F6C01"/>
    <w:multiLevelType w:val="hybridMultilevel"/>
    <w:tmpl w:val="4972163A"/>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34">
    <w:nsid w:val="5BF62DFC"/>
    <w:multiLevelType w:val="hybridMultilevel"/>
    <w:tmpl w:val="0C8EEE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D0432B7"/>
    <w:multiLevelType w:val="hybridMultilevel"/>
    <w:tmpl w:val="A8206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04D3A1C"/>
    <w:multiLevelType w:val="hybridMultilevel"/>
    <w:tmpl w:val="23503C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6246654B"/>
    <w:multiLevelType w:val="hybridMultilevel"/>
    <w:tmpl w:val="6DF85DB4"/>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38">
    <w:nsid w:val="69204663"/>
    <w:multiLevelType w:val="hybridMultilevel"/>
    <w:tmpl w:val="781E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9CD2436"/>
    <w:multiLevelType w:val="hybridMultilevel"/>
    <w:tmpl w:val="E1A4CE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BE90F8E"/>
    <w:multiLevelType w:val="hybridMultilevel"/>
    <w:tmpl w:val="E160CAFE"/>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41">
    <w:nsid w:val="6DEE1152"/>
    <w:multiLevelType w:val="hybridMultilevel"/>
    <w:tmpl w:val="3822C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E4E6D8F"/>
    <w:multiLevelType w:val="hybridMultilevel"/>
    <w:tmpl w:val="7B5E39F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F4D3DC5"/>
    <w:multiLevelType w:val="hybridMultilevel"/>
    <w:tmpl w:val="0E9277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nsid w:val="6FC103D4"/>
    <w:multiLevelType w:val="hybridMultilevel"/>
    <w:tmpl w:val="F0A69072"/>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45">
    <w:nsid w:val="703B5E9D"/>
    <w:multiLevelType w:val="hybridMultilevel"/>
    <w:tmpl w:val="0FFC7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1F75A38"/>
    <w:multiLevelType w:val="hybridMultilevel"/>
    <w:tmpl w:val="98E6203C"/>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47">
    <w:nsid w:val="779720F3"/>
    <w:multiLevelType w:val="hybridMultilevel"/>
    <w:tmpl w:val="67F6A9E8"/>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48">
    <w:nsid w:val="7A654FCB"/>
    <w:multiLevelType w:val="hybridMultilevel"/>
    <w:tmpl w:val="E9A29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B5C3F36"/>
    <w:multiLevelType w:val="hybridMultilevel"/>
    <w:tmpl w:val="6DCA7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7C5947D8"/>
    <w:multiLevelType w:val="hybridMultilevel"/>
    <w:tmpl w:val="ED52EA3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D6C6814"/>
    <w:multiLevelType w:val="hybridMultilevel"/>
    <w:tmpl w:val="1B1C649E"/>
    <w:lvl w:ilvl="0" w:tplc="080A000D">
      <w:start w:val="1"/>
      <w:numFmt w:val="bullet"/>
      <w:lvlText w:val=""/>
      <w:lvlJc w:val="left"/>
      <w:pPr>
        <w:ind w:left="1152" w:hanging="360"/>
      </w:pPr>
      <w:rPr>
        <w:rFonts w:ascii="Wingdings" w:hAnsi="Wingdings"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num w:numId="1">
    <w:abstractNumId w:val="21"/>
  </w:num>
  <w:num w:numId="2">
    <w:abstractNumId w:val="1"/>
  </w:num>
  <w:num w:numId="3">
    <w:abstractNumId w:val="41"/>
  </w:num>
  <w:num w:numId="4">
    <w:abstractNumId w:val="3"/>
  </w:num>
  <w:num w:numId="5">
    <w:abstractNumId w:val="9"/>
  </w:num>
  <w:num w:numId="6">
    <w:abstractNumId w:val="45"/>
  </w:num>
  <w:num w:numId="7">
    <w:abstractNumId w:val="18"/>
  </w:num>
  <w:num w:numId="8">
    <w:abstractNumId w:val="48"/>
  </w:num>
  <w:num w:numId="9">
    <w:abstractNumId w:val="8"/>
  </w:num>
  <w:num w:numId="10">
    <w:abstractNumId w:val="35"/>
  </w:num>
  <w:num w:numId="11">
    <w:abstractNumId w:val="13"/>
  </w:num>
  <w:num w:numId="12">
    <w:abstractNumId w:val="32"/>
  </w:num>
  <w:num w:numId="13">
    <w:abstractNumId w:val="12"/>
  </w:num>
  <w:num w:numId="14">
    <w:abstractNumId w:val="15"/>
  </w:num>
  <w:num w:numId="15">
    <w:abstractNumId w:val="43"/>
  </w:num>
  <w:num w:numId="16">
    <w:abstractNumId w:val="29"/>
  </w:num>
  <w:num w:numId="17">
    <w:abstractNumId w:val="30"/>
  </w:num>
  <w:num w:numId="18">
    <w:abstractNumId w:val="34"/>
  </w:num>
  <w:num w:numId="19">
    <w:abstractNumId w:val="22"/>
  </w:num>
  <w:num w:numId="20">
    <w:abstractNumId w:val="28"/>
  </w:num>
  <w:num w:numId="21">
    <w:abstractNumId w:val="19"/>
  </w:num>
  <w:num w:numId="22">
    <w:abstractNumId w:val="36"/>
  </w:num>
  <w:num w:numId="23">
    <w:abstractNumId w:val="16"/>
  </w:num>
  <w:num w:numId="24">
    <w:abstractNumId w:val="6"/>
  </w:num>
  <w:num w:numId="25">
    <w:abstractNumId w:val="5"/>
  </w:num>
  <w:num w:numId="26">
    <w:abstractNumId w:val="4"/>
  </w:num>
  <w:num w:numId="27">
    <w:abstractNumId w:val="49"/>
  </w:num>
  <w:num w:numId="28">
    <w:abstractNumId w:val="24"/>
  </w:num>
  <w:num w:numId="29">
    <w:abstractNumId w:val="17"/>
  </w:num>
  <w:num w:numId="30">
    <w:abstractNumId w:val="20"/>
  </w:num>
  <w:num w:numId="31">
    <w:abstractNumId w:val="38"/>
  </w:num>
  <w:num w:numId="32">
    <w:abstractNumId w:val="14"/>
  </w:num>
  <w:num w:numId="33">
    <w:abstractNumId w:val="50"/>
  </w:num>
  <w:num w:numId="34">
    <w:abstractNumId w:val="42"/>
  </w:num>
  <w:num w:numId="35">
    <w:abstractNumId w:val="51"/>
  </w:num>
  <w:num w:numId="36">
    <w:abstractNumId w:val="27"/>
  </w:num>
  <w:num w:numId="37">
    <w:abstractNumId w:val="31"/>
  </w:num>
  <w:num w:numId="38">
    <w:abstractNumId w:val="40"/>
  </w:num>
  <w:num w:numId="39">
    <w:abstractNumId w:val="46"/>
  </w:num>
  <w:num w:numId="40">
    <w:abstractNumId w:val="47"/>
  </w:num>
  <w:num w:numId="41">
    <w:abstractNumId w:val="23"/>
  </w:num>
  <w:num w:numId="42">
    <w:abstractNumId w:val="37"/>
  </w:num>
  <w:num w:numId="43">
    <w:abstractNumId w:val="33"/>
  </w:num>
  <w:num w:numId="44">
    <w:abstractNumId w:val="10"/>
  </w:num>
  <w:num w:numId="45">
    <w:abstractNumId w:val="2"/>
  </w:num>
  <w:num w:numId="46">
    <w:abstractNumId w:val="11"/>
  </w:num>
  <w:num w:numId="47">
    <w:abstractNumId w:val="44"/>
  </w:num>
  <w:num w:numId="48">
    <w:abstractNumId w:val="25"/>
  </w:num>
  <w:num w:numId="49">
    <w:abstractNumId w:val="39"/>
  </w:num>
  <w:num w:numId="50">
    <w:abstractNumId w:val="7"/>
  </w:num>
  <w:num w:numId="51">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A26"/>
    <w:rsid w:val="00006AB7"/>
    <w:rsid w:val="00007532"/>
    <w:rsid w:val="00010CD2"/>
    <w:rsid w:val="00022747"/>
    <w:rsid w:val="00025742"/>
    <w:rsid w:val="00042C92"/>
    <w:rsid w:val="000509DD"/>
    <w:rsid w:val="00051A7C"/>
    <w:rsid w:val="000567A0"/>
    <w:rsid w:val="00056F5B"/>
    <w:rsid w:val="00060189"/>
    <w:rsid w:val="000647BB"/>
    <w:rsid w:val="000653D6"/>
    <w:rsid w:val="0008344B"/>
    <w:rsid w:val="00096746"/>
    <w:rsid w:val="000B5483"/>
    <w:rsid w:val="000B7D0B"/>
    <w:rsid w:val="000C53E5"/>
    <w:rsid w:val="000D4F08"/>
    <w:rsid w:val="000D6427"/>
    <w:rsid w:val="000D6861"/>
    <w:rsid w:val="000E3EEB"/>
    <w:rsid w:val="000E693F"/>
    <w:rsid w:val="000F0D42"/>
    <w:rsid w:val="001058C5"/>
    <w:rsid w:val="00106B96"/>
    <w:rsid w:val="00106E97"/>
    <w:rsid w:val="00115631"/>
    <w:rsid w:val="00136568"/>
    <w:rsid w:val="0014504B"/>
    <w:rsid w:val="0015249D"/>
    <w:rsid w:val="001546C0"/>
    <w:rsid w:val="0016694D"/>
    <w:rsid w:val="0017172A"/>
    <w:rsid w:val="001720BF"/>
    <w:rsid w:val="00172563"/>
    <w:rsid w:val="00181626"/>
    <w:rsid w:val="00182A99"/>
    <w:rsid w:val="00190324"/>
    <w:rsid w:val="00191E12"/>
    <w:rsid w:val="001B1AB4"/>
    <w:rsid w:val="001B4965"/>
    <w:rsid w:val="001B5B74"/>
    <w:rsid w:val="001C1715"/>
    <w:rsid w:val="001C3722"/>
    <w:rsid w:val="001C418C"/>
    <w:rsid w:val="001C50F8"/>
    <w:rsid w:val="001C641E"/>
    <w:rsid w:val="001D08CF"/>
    <w:rsid w:val="001D27AD"/>
    <w:rsid w:val="001D3AA5"/>
    <w:rsid w:val="001D5278"/>
    <w:rsid w:val="001D5AB8"/>
    <w:rsid w:val="001E4BD5"/>
    <w:rsid w:val="001F328B"/>
    <w:rsid w:val="001F3D07"/>
    <w:rsid w:val="001F55B2"/>
    <w:rsid w:val="00207FB6"/>
    <w:rsid w:val="0023409D"/>
    <w:rsid w:val="00243B4A"/>
    <w:rsid w:val="00244DCC"/>
    <w:rsid w:val="002528BC"/>
    <w:rsid w:val="00265AFB"/>
    <w:rsid w:val="00272D9E"/>
    <w:rsid w:val="00276AE9"/>
    <w:rsid w:val="00281196"/>
    <w:rsid w:val="00281C17"/>
    <w:rsid w:val="002850AB"/>
    <w:rsid w:val="0028589A"/>
    <w:rsid w:val="00285DD3"/>
    <w:rsid w:val="00286B0B"/>
    <w:rsid w:val="0029094A"/>
    <w:rsid w:val="00295C96"/>
    <w:rsid w:val="002960FD"/>
    <w:rsid w:val="002A07B6"/>
    <w:rsid w:val="002C04F4"/>
    <w:rsid w:val="002C172E"/>
    <w:rsid w:val="002C2256"/>
    <w:rsid w:val="002C252F"/>
    <w:rsid w:val="002C29A2"/>
    <w:rsid w:val="002D3BE3"/>
    <w:rsid w:val="002D5303"/>
    <w:rsid w:val="002E022E"/>
    <w:rsid w:val="002E27E4"/>
    <w:rsid w:val="002E4517"/>
    <w:rsid w:val="002E6610"/>
    <w:rsid w:val="002E678D"/>
    <w:rsid w:val="002F459F"/>
    <w:rsid w:val="003012EB"/>
    <w:rsid w:val="00303ACC"/>
    <w:rsid w:val="00304556"/>
    <w:rsid w:val="00304F85"/>
    <w:rsid w:val="00310CED"/>
    <w:rsid w:val="003135F9"/>
    <w:rsid w:val="003259C8"/>
    <w:rsid w:val="0033267B"/>
    <w:rsid w:val="00342921"/>
    <w:rsid w:val="003474D2"/>
    <w:rsid w:val="00347B2F"/>
    <w:rsid w:val="003522D5"/>
    <w:rsid w:val="00362C4C"/>
    <w:rsid w:val="00365B11"/>
    <w:rsid w:val="0036637F"/>
    <w:rsid w:val="00366CAA"/>
    <w:rsid w:val="00367044"/>
    <w:rsid w:val="0037462C"/>
    <w:rsid w:val="0037763E"/>
    <w:rsid w:val="00384900"/>
    <w:rsid w:val="00393D04"/>
    <w:rsid w:val="003A4F15"/>
    <w:rsid w:val="003A54A8"/>
    <w:rsid w:val="003A6F2B"/>
    <w:rsid w:val="003C06CE"/>
    <w:rsid w:val="003C18D2"/>
    <w:rsid w:val="003C203E"/>
    <w:rsid w:val="003C496F"/>
    <w:rsid w:val="003D0624"/>
    <w:rsid w:val="00403443"/>
    <w:rsid w:val="004125CA"/>
    <w:rsid w:val="00417EF3"/>
    <w:rsid w:val="00424C47"/>
    <w:rsid w:val="00427E6D"/>
    <w:rsid w:val="004300BA"/>
    <w:rsid w:val="004313DC"/>
    <w:rsid w:val="00441A99"/>
    <w:rsid w:val="00441AC3"/>
    <w:rsid w:val="00451FC6"/>
    <w:rsid w:val="004618CE"/>
    <w:rsid w:val="00466C54"/>
    <w:rsid w:val="004703E0"/>
    <w:rsid w:val="00471596"/>
    <w:rsid w:val="00476B16"/>
    <w:rsid w:val="004930AC"/>
    <w:rsid w:val="004A1E5A"/>
    <w:rsid w:val="004A2937"/>
    <w:rsid w:val="004B266F"/>
    <w:rsid w:val="004B3C96"/>
    <w:rsid w:val="004C1828"/>
    <w:rsid w:val="004C1CDE"/>
    <w:rsid w:val="004C63DD"/>
    <w:rsid w:val="004D3A0A"/>
    <w:rsid w:val="004D3A7C"/>
    <w:rsid w:val="004E0F4F"/>
    <w:rsid w:val="0050190E"/>
    <w:rsid w:val="00507EC7"/>
    <w:rsid w:val="00525BF1"/>
    <w:rsid w:val="005272D7"/>
    <w:rsid w:val="0053181F"/>
    <w:rsid w:val="005321F1"/>
    <w:rsid w:val="005349DA"/>
    <w:rsid w:val="005410D8"/>
    <w:rsid w:val="0054295A"/>
    <w:rsid w:val="0054417A"/>
    <w:rsid w:val="0054445E"/>
    <w:rsid w:val="00551A7B"/>
    <w:rsid w:val="00555805"/>
    <w:rsid w:val="00580981"/>
    <w:rsid w:val="005843FC"/>
    <w:rsid w:val="005901E8"/>
    <w:rsid w:val="00596955"/>
    <w:rsid w:val="005A627D"/>
    <w:rsid w:val="005C3A36"/>
    <w:rsid w:val="005D27BC"/>
    <w:rsid w:val="005D4B53"/>
    <w:rsid w:val="005F318D"/>
    <w:rsid w:val="006128C7"/>
    <w:rsid w:val="00614846"/>
    <w:rsid w:val="006148CA"/>
    <w:rsid w:val="00626786"/>
    <w:rsid w:val="00636F5F"/>
    <w:rsid w:val="0064173E"/>
    <w:rsid w:val="0064400F"/>
    <w:rsid w:val="0064479B"/>
    <w:rsid w:val="006454CE"/>
    <w:rsid w:val="00646A9A"/>
    <w:rsid w:val="00664A26"/>
    <w:rsid w:val="00681888"/>
    <w:rsid w:val="006946EC"/>
    <w:rsid w:val="006973AF"/>
    <w:rsid w:val="006B47C9"/>
    <w:rsid w:val="006D0DD3"/>
    <w:rsid w:val="006D794C"/>
    <w:rsid w:val="006E380D"/>
    <w:rsid w:val="006E5628"/>
    <w:rsid w:val="006F0B4B"/>
    <w:rsid w:val="006F5984"/>
    <w:rsid w:val="0070328A"/>
    <w:rsid w:val="00703D05"/>
    <w:rsid w:val="00705995"/>
    <w:rsid w:val="00714DE0"/>
    <w:rsid w:val="00722122"/>
    <w:rsid w:val="00727027"/>
    <w:rsid w:val="00727E87"/>
    <w:rsid w:val="00732600"/>
    <w:rsid w:val="0073352D"/>
    <w:rsid w:val="00736D20"/>
    <w:rsid w:val="007430F5"/>
    <w:rsid w:val="00751C3B"/>
    <w:rsid w:val="00752A92"/>
    <w:rsid w:val="00752AAF"/>
    <w:rsid w:val="00757EBE"/>
    <w:rsid w:val="007609AD"/>
    <w:rsid w:val="007634F1"/>
    <w:rsid w:val="00763C8C"/>
    <w:rsid w:val="007704CD"/>
    <w:rsid w:val="007716F4"/>
    <w:rsid w:val="00771C51"/>
    <w:rsid w:val="007807CB"/>
    <w:rsid w:val="007812BC"/>
    <w:rsid w:val="00792418"/>
    <w:rsid w:val="00797054"/>
    <w:rsid w:val="007B4482"/>
    <w:rsid w:val="007B7250"/>
    <w:rsid w:val="007F4DC0"/>
    <w:rsid w:val="007F6FB5"/>
    <w:rsid w:val="0081740C"/>
    <w:rsid w:val="0082753F"/>
    <w:rsid w:val="00832A62"/>
    <w:rsid w:val="00833157"/>
    <w:rsid w:val="00840766"/>
    <w:rsid w:val="00843950"/>
    <w:rsid w:val="00854176"/>
    <w:rsid w:val="00854937"/>
    <w:rsid w:val="00857C60"/>
    <w:rsid w:val="008610DB"/>
    <w:rsid w:val="00863D06"/>
    <w:rsid w:val="00864727"/>
    <w:rsid w:val="00867C1B"/>
    <w:rsid w:val="00870FA4"/>
    <w:rsid w:val="00873187"/>
    <w:rsid w:val="00873FDD"/>
    <w:rsid w:val="00874A9F"/>
    <w:rsid w:val="008A46E4"/>
    <w:rsid w:val="008A6162"/>
    <w:rsid w:val="008B0C01"/>
    <w:rsid w:val="008B40D0"/>
    <w:rsid w:val="008E378C"/>
    <w:rsid w:val="008E413D"/>
    <w:rsid w:val="008E6F83"/>
    <w:rsid w:val="008F6C32"/>
    <w:rsid w:val="0090168F"/>
    <w:rsid w:val="009044A8"/>
    <w:rsid w:val="009051CC"/>
    <w:rsid w:val="009070F2"/>
    <w:rsid w:val="00907E1A"/>
    <w:rsid w:val="00934B91"/>
    <w:rsid w:val="00957973"/>
    <w:rsid w:val="00966915"/>
    <w:rsid w:val="00970BC5"/>
    <w:rsid w:val="00971137"/>
    <w:rsid w:val="00972086"/>
    <w:rsid w:val="00975006"/>
    <w:rsid w:val="00975704"/>
    <w:rsid w:val="0097641E"/>
    <w:rsid w:val="00982E2D"/>
    <w:rsid w:val="0098566E"/>
    <w:rsid w:val="0098717D"/>
    <w:rsid w:val="00987377"/>
    <w:rsid w:val="009A5DB7"/>
    <w:rsid w:val="009A6DCF"/>
    <w:rsid w:val="009B24D3"/>
    <w:rsid w:val="009C0E9A"/>
    <w:rsid w:val="009C25DB"/>
    <w:rsid w:val="009C4CC9"/>
    <w:rsid w:val="009D4F3D"/>
    <w:rsid w:val="009D66CE"/>
    <w:rsid w:val="009E03D9"/>
    <w:rsid w:val="009E30D1"/>
    <w:rsid w:val="009F452A"/>
    <w:rsid w:val="00A17323"/>
    <w:rsid w:val="00A2041D"/>
    <w:rsid w:val="00A21C8C"/>
    <w:rsid w:val="00A24802"/>
    <w:rsid w:val="00A255CB"/>
    <w:rsid w:val="00A25869"/>
    <w:rsid w:val="00A26311"/>
    <w:rsid w:val="00A30756"/>
    <w:rsid w:val="00A323D1"/>
    <w:rsid w:val="00A36924"/>
    <w:rsid w:val="00A37368"/>
    <w:rsid w:val="00A37517"/>
    <w:rsid w:val="00A43D30"/>
    <w:rsid w:val="00A5159D"/>
    <w:rsid w:val="00A55AC4"/>
    <w:rsid w:val="00A64CEC"/>
    <w:rsid w:val="00A663F1"/>
    <w:rsid w:val="00A862B5"/>
    <w:rsid w:val="00A87653"/>
    <w:rsid w:val="00AB3C8B"/>
    <w:rsid w:val="00AB479F"/>
    <w:rsid w:val="00AB79FC"/>
    <w:rsid w:val="00AC10A4"/>
    <w:rsid w:val="00AC21FE"/>
    <w:rsid w:val="00AC3842"/>
    <w:rsid w:val="00AD1AAF"/>
    <w:rsid w:val="00AE1941"/>
    <w:rsid w:val="00B04238"/>
    <w:rsid w:val="00B0460E"/>
    <w:rsid w:val="00B05E24"/>
    <w:rsid w:val="00B06CBA"/>
    <w:rsid w:val="00B12830"/>
    <w:rsid w:val="00B14074"/>
    <w:rsid w:val="00B1408F"/>
    <w:rsid w:val="00B14E70"/>
    <w:rsid w:val="00B170AC"/>
    <w:rsid w:val="00B222A5"/>
    <w:rsid w:val="00B25C0F"/>
    <w:rsid w:val="00B268EC"/>
    <w:rsid w:val="00B308EB"/>
    <w:rsid w:val="00B30D79"/>
    <w:rsid w:val="00B35BAE"/>
    <w:rsid w:val="00B41860"/>
    <w:rsid w:val="00B52185"/>
    <w:rsid w:val="00B55202"/>
    <w:rsid w:val="00B62DAE"/>
    <w:rsid w:val="00B67949"/>
    <w:rsid w:val="00B70988"/>
    <w:rsid w:val="00B70C57"/>
    <w:rsid w:val="00B8205B"/>
    <w:rsid w:val="00B83BBD"/>
    <w:rsid w:val="00B85C0B"/>
    <w:rsid w:val="00B871A0"/>
    <w:rsid w:val="00B87FAA"/>
    <w:rsid w:val="00B9236A"/>
    <w:rsid w:val="00B97889"/>
    <w:rsid w:val="00BB03AB"/>
    <w:rsid w:val="00BC3967"/>
    <w:rsid w:val="00BC6522"/>
    <w:rsid w:val="00BD18A1"/>
    <w:rsid w:val="00BF150A"/>
    <w:rsid w:val="00C318B9"/>
    <w:rsid w:val="00C34F66"/>
    <w:rsid w:val="00C61708"/>
    <w:rsid w:val="00C71214"/>
    <w:rsid w:val="00C73D3C"/>
    <w:rsid w:val="00C758C9"/>
    <w:rsid w:val="00C822FA"/>
    <w:rsid w:val="00C92E2B"/>
    <w:rsid w:val="00C97B20"/>
    <w:rsid w:val="00CA20AB"/>
    <w:rsid w:val="00CB20F0"/>
    <w:rsid w:val="00CB529D"/>
    <w:rsid w:val="00CC69AE"/>
    <w:rsid w:val="00CD2E2A"/>
    <w:rsid w:val="00CE6A79"/>
    <w:rsid w:val="00CE7BE6"/>
    <w:rsid w:val="00CF0E78"/>
    <w:rsid w:val="00CF5E50"/>
    <w:rsid w:val="00D06029"/>
    <w:rsid w:val="00D12115"/>
    <w:rsid w:val="00D1740C"/>
    <w:rsid w:val="00D229AE"/>
    <w:rsid w:val="00D32DB2"/>
    <w:rsid w:val="00D33241"/>
    <w:rsid w:val="00D37911"/>
    <w:rsid w:val="00D44757"/>
    <w:rsid w:val="00D47429"/>
    <w:rsid w:val="00D47662"/>
    <w:rsid w:val="00D56138"/>
    <w:rsid w:val="00D57015"/>
    <w:rsid w:val="00D63818"/>
    <w:rsid w:val="00D64B2D"/>
    <w:rsid w:val="00D70AA5"/>
    <w:rsid w:val="00D811BB"/>
    <w:rsid w:val="00D835B6"/>
    <w:rsid w:val="00D84EB0"/>
    <w:rsid w:val="00DA6768"/>
    <w:rsid w:val="00DC3F30"/>
    <w:rsid w:val="00DD5431"/>
    <w:rsid w:val="00DD6F8A"/>
    <w:rsid w:val="00DE29B6"/>
    <w:rsid w:val="00DF2C05"/>
    <w:rsid w:val="00DF3E6F"/>
    <w:rsid w:val="00DF5800"/>
    <w:rsid w:val="00DF7B0C"/>
    <w:rsid w:val="00E04944"/>
    <w:rsid w:val="00E42105"/>
    <w:rsid w:val="00E463CC"/>
    <w:rsid w:val="00E51FA9"/>
    <w:rsid w:val="00E53C1E"/>
    <w:rsid w:val="00E54649"/>
    <w:rsid w:val="00E67685"/>
    <w:rsid w:val="00E7783F"/>
    <w:rsid w:val="00E8069D"/>
    <w:rsid w:val="00E845CB"/>
    <w:rsid w:val="00E87F3E"/>
    <w:rsid w:val="00E908AD"/>
    <w:rsid w:val="00E92D6F"/>
    <w:rsid w:val="00E96BD7"/>
    <w:rsid w:val="00E97EDF"/>
    <w:rsid w:val="00EA7ACB"/>
    <w:rsid w:val="00EB0963"/>
    <w:rsid w:val="00EB634D"/>
    <w:rsid w:val="00EC5AB5"/>
    <w:rsid w:val="00ED4D4A"/>
    <w:rsid w:val="00ED5711"/>
    <w:rsid w:val="00ED7FDE"/>
    <w:rsid w:val="00EE0143"/>
    <w:rsid w:val="00EE6534"/>
    <w:rsid w:val="00EF326D"/>
    <w:rsid w:val="00F0002B"/>
    <w:rsid w:val="00F012F4"/>
    <w:rsid w:val="00F11260"/>
    <w:rsid w:val="00F4489E"/>
    <w:rsid w:val="00F47935"/>
    <w:rsid w:val="00F47C9C"/>
    <w:rsid w:val="00F47FC0"/>
    <w:rsid w:val="00F50956"/>
    <w:rsid w:val="00F52152"/>
    <w:rsid w:val="00F52701"/>
    <w:rsid w:val="00F54126"/>
    <w:rsid w:val="00F602CB"/>
    <w:rsid w:val="00F623A6"/>
    <w:rsid w:val="00F704F8"/>
    <w:rsid w:val="00F918A9"/>
    <w:rsid w:val="00F92FE6"/>
    <w:rsid w:val="00F958F2"/>
    <w:rsid w:val="00FC430B"/>
    <w:rsid w:val="00FC4365"/>
    <w:rsid w:val="00FD44C7"/>
    <w:rsid w:val="00FE2757"/>
    <w:rsid w:val="00FE37E0"/>
    <w:rsid w:val="00FE3C08"/>
    <w:rsid w:val="00FF0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A26"/>
    <w:rPr>
      <w:rFonts w:ascii="Calibri" w:eastAsia="Calibri" w:hAnsi="Calibri" w:cs="Times New Roman"/>
    </w:rPr>
  </w:style>
  <w:style w:type="paragraph" w:styleId="Ttulo1">
    <w:name w:val="heading 1"/>
    <w:aliases w:val="Título 1(Diagnóstico),Título 1 (Diagnostico)"/>
    <w:basedOn w:val="Normal"/>
    <w:next w:val="Normal"/>
    <w:link w:val="Ttulo1Car"/>
    <w:uiPriority w:val="9"/>
    <w:qFormat/>
    <w:rsid w:val="00D84EB0"/>
    <w:pPr>
      <w:keepNext/>
      <w:keepLines/>
      <w:spacing w:before="480" w:after="0"/>
      <w:outlineLvl w:val="0"/>
    </w:pPr>
    <w:rPr>
      <w:rFonts w:ascii="Adobe Caslon Pro" w:eastAsiaTheme="majorEastAsia" w:hAnsi="Adobe Caslon Pro" w:cstheme="majorBidi"/>
      <w:b/>
      <w:bCs/>
      <w:color w:val="C00000"/>
      <w:sz w:val="28"/>
      <w:szCs w:val="28"/>
    </w:rPr>
  </w:style>
  <w:style w:type="paragraph" w:styleId="Ttulo2">
    <w:name w:val="heading 2"/>
    <w:aliases w:val="Título 2 (D)"/>
    <w:basedOn w:val="Normal"/>
    <w:next w:val="Normal"/>
    <w:link w:val="Ttulo2Car"/>
    <w:uiPriority w:val="9"/>
    <w:unhideWhenUsed/>
    <w:qFormat/>
    <w:rsid w:val="00AB79FC"/>
    <w:pPr>
      <w:keepNext/>
      <w:keepLines/>
      <w:spacing w:before="200" w:after="0"/>
      <w:outlineLvl w:val="1"/>
    </w:pPr>
    <w:rPr>
      <w:rFonts w:ascii="Adobe Caslon Pro" w:eastAsiaTheme="majorEastAsia" w:hAnsi="Adobe Caslon Pro" w:cstheme="majorBidi"/>
      <w:b/>
      <w:bCs/>
      <w:color w:val="C00000"/>
      <w:sz w:val="28"/>
      <w:szCs w:val="26"/>
    </w:rPr>
  </w:style>
  <w:style w:type="paragraph" w:styleId="Ttulo3">
    <w:name w:val="heading 3"/>
    <w:basedOn w:val="Normal"/>
    <w:next w:val="Normal"/>
    <w:link w:val="Ttulo3Car"/>
    <w:uiPriority w:val="9"/>
    <w:unhideWhenUsed/>
    <w:qFormat/>
    <w:rsid w:val="00393D04"/>
    <w:pPr>
      <w:keepNext/>
      <w:keepLines/>
      <w:spacing w:before="200" w:after="0"/>
      <w:outlineLvl w:val="2"/>
    </w:pPr>
    <w:rPr>
      <w:rFonts w:ascii="Adobe Caslon Pro" w:eastAsiaTheme="majorEastAsia" w:hAnsi="Adobe Caslon Pro" w:cstheme="majorBidi"/>
      <w:b/>
      <w:bCs/>
      <w:color w:val="808080" w:themeColor="background1" w:themeShade="8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64A26"/>
    <w:rPr>
      <w:color w:val="0000FF"/>
      <w:u w:val="single"/>
    </w:rPr>
  </w:style>
  <w:style w:type="paragraph" w:styleId="TDC1">
    <w:name w:val="toc 1"/>
    <w:basedOn w:val="Normal"/>
    <w:next w:val="Normal"/>
    <w:autoRedefine/>
    <w:uiPriority w:val="39"/>
    <w:unhideWhenUsed/>
    <w:rsid w:val="00664A26"/>
    <w:pPr>
      <w:spacing w:before="120" w:after="0"/>
    </w:pPr>
    <w:rPr>
      <w:rFonts w:ascii="Cambria" w:eastAsia="Cambria" w:hAnsi="Cambria"/>
      <w:b/>
      <w:sz w:val="24"/>
      <w:szCs w:val="24"/>
    </w:rPr>
  </w:style>
  <w:style w:type="paragraph" w:styleId="TDC2">
    <w:name w:val="toc 2"/>
    <w:basedOn w:val="Normal"/>
    <w:next w:val="Normal"/>
    <w:autoRedefine/>
    <w:uiPriority w:val="39"/>
    <w:unhideWhenUsed/>
    <w:rsid w:val="00664A26"/>
    <w:pPr>
      <w:spacing w:after="0"/>
      <w:ind w:left="220"/>
    </w:pPr>
    <w:rPr>
      <w:rFonts w:ascii="Cambria" w:eastAsia="Cambria" w:hAnsi="Cambria"/>
      <w:b/>
    </w:rPr>
  </w:style>
  <w:style w:type="paragraph" w:styleId="TDC3">
    <w:name w:val="toc 3"/>
    <w:basedOn w:val="Normal"/>
    <w:next w:val="Normal"/>
    <w:autoRedefine/>
    <w:uiPriority w:val="39"/>
    <w:unhideWhenUsed/>
    <w:rsid w:val="00664A26"/>
    <w:pPr>
      <w:spacing w:after="0"/>
      <w:ind w:left="440"/>
    </w:pPr>
    <w:rPr>
      <w:rFonts w:ascii="Cambria" w:eastAsia="Cambria" w:hAnsi="Cambria"/>
    </w:rPr>
  </w:style>
  <w:style w:type="paragraph" w:styleId="Prrafodelista">
    <w:name w:val="List Paragraph"/>
    <w:aliases w:val="Párrafo Título 3,4 Párrafo de lista,Figuras,Dot pt,No Spacing1,List Paragraph Char Char Char,Indicator Text,List Paragraph1,Numbered Para 1,DH1,Despues de viñeta 1"/>
    <w:basedOn w:val="Normal"/>
    <w:link w:val="PrrafodelistaCar"/>
    <w:uiPriority w:val="34"/>
    <w:qFormat/>
    <w:rsid w:val="001C50F8"/>
    <w:pPr>
      <w:ind w:left="720"/>
      <w:contextualSpacing/>
    </w:pPr>
    <w:rPr>
      <w:rFonts w:asciiTheme="minorHAnsi" w:eastAsiaTheme="minorHAnsi" w:hAnsiTheme="minorHAnsi" w:cstheme="minorBidi"/>
    </w:r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Despues de viñeta 1 Car"/>
    <w:basedOn w:val="Fuentedeprrafopredeter"/>
    <w:link w:val="Prrafodelista"/>
    <w:uiPriority w:val="34"/>
    <w:qFormat/>
    <w:locked/>
    <w:rsid w:val="001C50F8"/>
  </w:style>
  <w:style w:type="paragraph" w:styleId="Textonotapie">
    <w:name w:val="footnote text"/>
    <w:aliases w:val="Texto nota pie Car Car C Car,Texto nota pie Car Car Car Car Car Car,Texto nota pie Car Car Car Car Car,Footnote Text Char Char Char Char Char,Footnote Text Char Char Char Char,Footnote reference,FA Fu,Footnote Text Char Char Char,Ca"/>
    <w:basedOn w:val="Normal"/>
    <w:link w:val="TextonotapieCar"/>
    <w:uiPriority w:val="99"/>
    <w:rsid w:val="001C50F8"/>
    <w:rPr>
      <w:rFonts w:eastAsia="Times New Roman"/>
      <w:sz w:val="20"/>
      <w:szCs w:val="20"/>
    </w:rPr>
  </w:style>
  <w:style w:type="character" w:customStyle="1" w:styleId="TextonotapieCar">
    <w:name w:val="Texto nota pie Car"/>
    <w:aliases w:val="Texto nota pie Car Car C Car Car,Texto nota pie Car Car Car Car Car Car Car,Texto nota pie Car Car Car Car Car Car1,Footnote Text Char Char Char Char Char Car,Footnote Text Char Char Char Char Car,Footnote reference Car,FA Fu Car"/>
    <w:basedOn w:val="Fuentedeprrafopredeter"/>
    <w:link w:val="Textonotapie"/>
    <w:uiPriority w:val="99"/>
    <w:rsid w:val="001C50F8"/>
    <w:rPr>
      <w:rFonts w:ascii="Calibri" w:eastAsia="Times New Roman" w:hAnsi="Calibri" w:cs="Times New Roman"/>
      <w:sz w:val="20"/>
      <w:szCs w:val="20"/>
    </w:rPr>
  </w:style>
  <w:style w:type="character" w:styleId="Refdenotaalpie">
    <w:name w:val="footnote reference"/>
    <w:aliases w:val="Texto de nota al pie,Appel note de bas de page,Footnotes refss,f"/>
    <w:uiPriority w:val="99"/>
    <w:rsid w:val="001C50F8"/>
    <w:rPr>
      <w:rFonts w:cs="Times New Roman"/>
      <w:vertAlign w:val="superscript"/>
    </w:rPr>
  </w:style>
  <w:style w:type="paragraph" w:styleId="Textodeglobo">
    <w:name w:val="Balloon Text"/>
    <w:basedOn w:val="Normal"/>
    <w:link w:val="TextodegloboCar"/>
    <w:uiPriority w:val="99"/>
    <w:semiHidden/>
    <w:unhideWhenUsed/>
    <w:rsid w:val="001C50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0F8"/>
    <w:rPr>
      <w:rFonts w:ascii="Tahoma" w:eastAsia="Calibri" w:hAnsi="Tahoma" w:cs="Tahoma"/>
      <w:sz w:val="16"/>
      <w:szCs w:val="16"/>
    </w:rPr>
  </w:style>
  <w:style w:type="character" w:styleId="nfasis">
    <w:name w:val="Emphasis"/>
    <w:qFormat/>
    <w:rsid w:val="00A26311"/>
    <w:rPr>
      <w:i/>
      <w:iCs/>
    </w:rPr>
  </w:style>
  <w:style w:type="character" w:customStyle="1" w:styleId="Caracteresdenotaalpie">
    <w:name w:val="Caracteres de nota al pie"/>
    <w:rsid w:val="00A26311"/>
  </w:style>
  <w:style w:type="paragraph" w:styleId="Piedepgina">
    <w:name w:val="footer"/>
    <w:basedOn w:val="Normal"/>
    <w:link w:val="PiedepginaCar"/>
    <w:uiPriority w:val="99"/>
    <w:rsid w:val="00A26311"/>
    <w:pPr>
      <w:suppressLineNumbers/>
      <w:tabs>
        <w:tab w:val="center" w:pos="4252"/>
        <w:tab w:val="right" w:pos="8504"/>
      </w:tabs>
      <w:suppressAutoHyphens/>
      <w:spacing w:after="0" w:line="240" w:lineRule="auto"/>
    </w:pPr>
    <w:rPr>
      <w:rFonts w:ascii="Times New Roman" w:eastAsia="Times New Roman" w:hAnsi="Times New Roman"/>
      <w:kern w:val="1"/>
      <w:sz w:val="24"/>
      <w:szCs w:val="24"/>
      <w:lang w:eastAsia="ar-SA"/>
    </w:rPr>
  </w:style>
  <w:style w:type="character" w:customStyle="1" w:styleId="PiedepginaCar">
    <w:name w:val="Pie de página Car"/>
    <w:basedOn w:val="Fuentedeprrafopredeter"/>
    <w:link w:val="Piedepgina"/>
    <w:uiPriority w:val="99"/>
    <w:rsid w:val="00A26311"/>
    <w:rPr>
      <w:rFonts w:ascii="Times New Roman" w:eastAsia="Times New Roman" w:hAnsi="Times New Roman" w:cs="Times New Roman"/>
      <w:kern w:val="1"/>
      <w:sz w:val="24"/>
      <w:szCs w:val="24"/>
      <w:lang w:eastAsia="ar-SA"/>
    </w:rPr>
  </w:style>
  <w:style w:type="paragraph" w:customStyle="1" w:styleId="Prrafodelista1">
    <w:name w:val="Párrafo de lista1"/>
    <w:basedOn w:val="Normal"/>
    <w:rsid w:val="00A26311"/>
    <w:pPr>
      <w:suppressAutoHyphens/>
      <w:spacing w:after="0" w:line="240" w:lineRule="auto"/>
      <w:ind w:left="708"/>
    </w:pPr>
    <w:rPr>
      <w:rFonts w:ascii="Arial" w:eastAsia="Times New Roman" w:hAnsi="Arial" w:cs="Arial"/>
      <w:kern w:val="1"/>
      <w:lang w:eastAsia="ar-SA"/>
    </w:rPr>
  </w:style>
  <w:style w:type="paragraph" w:customStyle="1" w:styleId="Texto">
    <w:name w:val="Texto"/>
    <w:basedOn w:val="Normal"/>
    <w:link w:val="TextoCar"/>
    <w:rsid w:val="00A2631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A26311"/>
    <w:rPr>
      <w:rFonts w:ascii="Arial" w:eastAsia="Times New Roman" w:hAnsi="Arial" w:cs="Arial"/>
      <w:sz w:val="18"/>
      <w:szCs w:val="20"/>
      <w:lang w:val="es-ES" w:eastAsia="es-ES"/>
    </w:rPr>
  </w:style>
  <w:style w:type="paragraph" w:styleId="NormalWeb">
    <w:name w:val="Normal (Web)"/>
    <w:basedOn w:val="Normal"/>
    <w:uiPriority w:val="99"/>
    <w:semiHidden/>
    <w:unhideWhenUsed/>
    <w:rsid w:val="00A26311"/>
    <w:rPr>
      <w:rFonts w:ascii="Times New Roman" w:eastAsiaTheme="minorHAnsi" w:hAnsi="Times New Roman"/>
      <w:sz w:val="24"/>
      <w:szCs w:val="24"/>
    </w:rPr>
  </w:style>
  <w:style w:type="character" w:customStyle="1" w:styleId="Ttulo2Car">
    <w:name w:val="Título 2 Car"/>
    <w:aliases w:val="Título 2 (D) Car"/>
    <w:basedOn w:val="Fuentedeprrafopredeter"/>
    <w:link w:val="Ttulo2"/>
    <w:uiPriority w:val="9"/>
    <w:rsid w:val="00AB79FC"/>
    <w:rPr>
      <w:rFonts w:ascii="Adobe Caslon Pro" w:eastAsiaTheme="majorEastAsia" w:hAnsi="Adobe Caslon Pro" w:cstheme="majorBidi"/>
      <w:b/>
      <w:bCs/>
      <w:color w:val="C00000"/>
      <w:sz w:val="28"/>
      <w:szCs w:val="26"/>
    </w:rPr>
  </w:style>
  <w:style w:type="character" w:styleId="Refdecomentario">
    <w:name w:val="annotation reference"/>
    <w:uiPriority w:val="99"/>
    <w:rsid w:val="00A26311"/>
    <w:rPr>
      <w:sz w:val="16"/>
      <w:szCs w:val="16"/>
    </w:rPr>
  </w:style>
  <w:style w:type="paragraph" w:styleId="Textocomentario">
    <w:name w:val="annotation text"/>
    <w:basedOn w:val="Normal"/>
    <w:link w:val="TextocomentarioCar"/>
    <w:uiPriority w:val="99"/>
    <w:rsid w:val="00A26311"/>
    <w:pPr>
      <w:spacing w:after="0" w:line="240" w:lineRule="auto"/>
    </w:pPr>
    <w:rPr>
      <w:rFonts w:ascii="Times New Roman" w:eastAsia="Times New Roman" w:hAnsi="Times New Roman"/>
      <w:sz w:val="20"/>
      <w:szCs w:val="20"/>
      <w:lang w:eastAsia="es-MX"/>
    </w:rPr>
  </w:style>
  <w:style w:type="character" w:customStyle="1" w:styleId="TextocomentarioCar">
    <w:name w:val="Texto comentario Car"/>
    <w:basedOn w:val="Fuentedeprrafopredeter"/>
    <w:link w:val="Textocomentario"/>
    <w:uiPriority w:val="99"/>
    <w:rsid w:val="00A26311"/>
    <w:rPr>
      <w:rFonts w:ascii="Times New Roman" w:eastAsia="Times New Roman" w:hAnsi="Times New Roman" w:cs="Times New Roman"/>
      <w:sz w:val="20"/>
      <w:szCs w:val="20"/>
      <w:lang w:eastAsia="es-MX"/>
    </w:rPr>
  </w:style>
  <w:style w:type="character" w:customStyle="1" w:styleId="Ttulo1Car">
    <w:name w:val="Título 1 Car"/>
    <w:aliases w:val="Título 1(Diagnóstico) Car,Título 1 (Diagnostico) Car"/>
    <w:basedOn w:val="Fuentedeprrafopredeter"/>
    <w:link w:val="Ttulo1"/>
    <w:uiPriority w:val="9"/>
    <w:rsid w:val="00D84EB0"/>
    <w:rPr>
      <w:rFonts w:ascii="Adobe Caslon Pro" w:eastAsiaTheme="majorEastAsia" w:hAnsi="Adobe Caslon Pro" w:cstheme="majorBidi"/>
      <w:b/>
      <w:bCs/>
      <w:color w:val="C00000"/>
      <w:sz w:val="28"/>
      <w:szCs w:val="28"/>
    </w:rPr>
  </w:style>
  <w:style w:type="paragraph" w:styleId="Asuntodelcomentario">
    <w:name w:val="annotation subject"/>
    <w:basedOn w:val="Textocomentario"/>
    <w:next w:val="Textocomentario"/>
    <w:link w:val="AsuntodelcomentarioCar"/>
    <w:uiPriority w:val="99"/>
    <w:semiHidden/>
    <w:unhideWhenUsed/>
    <w:rsid w:val="00E7783F"/>
    <w:pPr>
      <w:spacing w:after="200"/>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semiHidden/>
    <w:rsid w:val="00E7783F"/>
    <w:rPr>
      <w:rFonts w:ascii="Calibri" w:eastAsia="Calibri" w:hAnsi="Calibri" w:cs="Times New Roman"/>
      <w:b/>
      <w:bCs/>
      <w:sz w:val="20"/>
      <w:szCs w:val="20"/>
      <w:lang w:eastAsia="es-MX"/>
    </w:rPr>
  </w:style>
  <w:style w:type="paragraph" w:customStyle="1" w:styleId="ecxmsonormal">
    <w:name w:val="ecxmsonormal"/>
    <w:basedOn w:val="Normal"/>
    <w:rsid w:val="00CC69AE"/>
    <w:pPr>
      <w:spacing w:after="324" w:line="240" w:lineRule="auto"/>
    </w:pPr>
    <w:rPr>
      <w:rFonts w:ascii="Times New Roman" w:eastAsia="Times New Roman" w:hAnsi="Times New Roman"/>
      <w:sz w:val="24"/>
      <w:szCs w:val="24"/>
      <w:lang w:eastAsia="es-MX"/>
    </w:rPr>
  </w:style>
  <w:style w:type="paragraph" w:styleId="TtulodeTDC">
    <w:name w:val="TOC Heading"/>
    <w:basedOn w:val="Ttulo1"/>
    <w:next w:val="Normal"/>
    <w:uiPriority w:val="39"/>
    <w:unhideWhenUsed/>
    <w:qFormat/>
    <w:rsid w:val="006D794C"/>
    <w:pPr>
      <w:outlineLvl w:val="9"/>
    </w:pPr>
    <w:rPr>
      <w:rFonts w:asciiTheme="majorHAnsi" w:hAnsiTheme="majorHAnsi"/>
      <w:color w:val="365F91" w:themeColor="accent1" w:themeShade="BF"/>
      <w:lang w:eastAsia="es-MX"/>
    </w:rPr>
  </w:style>
  <w:style w:type="character" w:customStyle="1" w:styleId="Ttulo3Car">
    <w:name w:val="Título 3 Car"/>
    <w:basedOn w:val="Fuentedeprrafopredeter"/>
    <w:link w:val="Ttulo3"/>
    <w:uiPriority w:val="9"/>
    <w:rsid w:val="00393D04"/>
    <w:rPr>
      <w:rFonts w:ascii="Adobe Caslon Pro" w:eastAsiaTheme="majorEastAsia" w:hAnsi="Adobe Caslon Pro" w:cstheme="majorBidi"/>
      <w:b/>
      <w:bCs/>
      <w:color w:val="808080" w:themeColor="background1" w:themeShade="80"/>
      <w:sz w:val="24"/>
    </w:rPr>
  </w:style>
  <w:style w:type="paragraph" w:styleId="Ttulo">
    <w:name w:val="Title"/>
    <w:basedOn w:val="Normal"/>
    <w:next w:val="Normal"/>
    <w:link w:val="TtuloCar"/>
    <w:uiPriority w:val="10"/>
    <w:qFormat/>
    <w:rsid w:val="00FE27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E2757"/>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E27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E2757"/>
    <w:rPr>
      <w:rFonts w:asciiTheme="majorHAnsi" w:eastAsiaTheme="majorEastAsia" w:hAnsiTheme="majorHAnsi" w:cstheme="majorBidi"/>
      <w:i/>
      <w:iCs/>
      <w:color w:val="4F81BD" w:themeColor="accent1"/>
      <w:spacing w:val="15"/>
      <w:sz w:val="24"/>
      <w:szCs w:val="24"/>
    </w:rPr>
  </w:style>
  <w:style w:type="paragraph" w:styleId="Epgrafe">
    <w:name w:val="caption"/>
    <w:basedOn w:val="Normal"/>
    <w:next w:val="Normal"/>
    <w:uiPriority w:val="35"/>
    <w:unhideWhenUsed/>
    <w:qFormat/>
    <w:rsid w:val="00FE2757"/>
    <w:pPr>
      <w:spacing w:line="240" w:lineRule="auto"/>
    </w:pPr>
    <w:rPr>
      <w:rFonts w:asciiTheme="minorHAnsi" w:eastAsiaTheme="minorHAnsi" w:hAnsiTheme="minorHAnsi" w:cstheme="minorBidi"/>
      <w:b/>
      <w:bCs/>
      <w:color w:val="4F81BD" w:themeColor="accent1"/>
      <w:sz w:val="18"/>
      <w:szCs w:val="18"/>
    </w:rPr>
  </w:style>
  <w:style w:type="table" w:styleId="Tablaconcuadrcula">
    <w:name w:val="Table Grid"/>
    <w:basedOn w:val="Tablanormal"/>
    <w:uiPriority w:val="59"/>
    <w:rsid w:val="00FE2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FE275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FE275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E2757"/>
    <w:rPr>
      <w:rFonts w:eastAsiaTheme="minorEastAsia"/>
      <w:lang w:eastAsia="es-MX"/>
    </w:rPr>
  </w:style>
  <w:style w:type="paragraph" w:customStyle="1" w:styleId="Default">
    <w:name w:val="Default"/>
    <w:rsid w:val="00FE2757"/>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FE275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FE2757"/>
  </w:style>
  <w:style w:type="paragraph" w:styleId="Revisin">
    <w:name w:val="Revision"/>
    <w:hidden/>
    <w:uiPriority w:val="99"/>
    <w:semiHidden/>
    <w:rsid w:val="00FE2757"/>
    <w:pPr>
      <w:spacing w:after="0" w:line="240" w:lineRule="auto"/>
    </w:pPr>
  </w:style>
  <w:style w:type="paragraph" w:customStyle="1" w:styleId="texto0">
    <w:name w:val="texto"/>
    <w:basedOn w:val="Normal"/>
    <w:rsid w:val="00FE2757"/>
    <w:pPr>
      <w:snapToGrid w:val="0"/>
      <w:spacing w:after="101" w:line="216" w:lineRule="exact"/>
      <w:ind w:firstLine="288"/>
      <w:jc w:val="both"/>
    </w:pPr>
    <w:rPr>
      <w:rFonts w:ascii="Arial" w:eastAsia="Times New Roman" w:hAnsi="Arial" w:cs="Arial"/>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A26"/>
    <w:rPr>
      <w:rFonts w:ascii="Calibri" w:eastAsia="Calibri" w:hAnsi="Calibri" w:cs="Times New Roman"/>
    </w:rPr>
  </w:style>
  <w:style w:type="paragraph" w:styleId="Ttulo1">
    <w:name w:val="heading 1"/>
    <w:aliases w:val="Título 1(Diagnóstico),Título 1 (Diagnostico)"/>
    <w:basedOn w:val="Normal"/>
    <w:next w:val="Normal"/>
    <w:link w:val="Ttulo1Car"/>
    <w:uiPriority w:val="9"/>
    <w:qFormat/>
    <w:rsid w:val="00D84EB0"/>
    <w:pPr>
      <w:keepNext/>
      <w:keepLines/>
      <w:spacing w:before="480" w:after="0"/>
      <w:outlineLvl w:val="0"/>
    </w:pPr>
    <w:rPr>
      <w:rFonts w:ascii="Adobe Caslon Pro" w:eastAsiaTheme="majorEastAsia" w:hAnsi="Adobe Caslon Pro" w:cstheme="majorBidi"/>
      <w:b/>
      <w:bCs/>
      <w:color w:val="C00000"/>
      <w:sz w:val="28"/>
      <w:szCs w:val="28"/>
    </w:rPr>
  </w:style>
  <w:style w:type="paragraph" w:styleId="Ttulo2">
    <w:name w:val="heading 2"/>
    <w:aliases w:val="Título 2 (D)"/>
    <w:basedOn w:val="Normal"/>
    <w:next w:val="Normal"/>
    <w:link w:val="Ttulo2Car"/>
    <w:uiPriority w:val="9"/>
    <w:unhideWhenUsed/>
    <w:qFormat/>
    <w:rsid w:val="00AB79FC"/>
    <w:pPr>
      <w:keepNext/>
      <w:keepLines/>
      <w:spacing w:before="200" w:after="0"/>
      <w:outlineLvl w:val="1"/>
    </w:pPr>
    <w:rPr>
      <w:rFonts w:ascii="Adobe Caslon Pro" w:eastAsiaTheme="majorEastAsia" w:hAnsi="Adobe Caslon Pro" w:cstheme="majorBidi"/>
      <w:b/>
      <w:bCs/>
      <w:color w:val="C00000"/>
      <w:sz w:val="28"/>
      <w:szCs w:val="26"/>
    </w:rPr>
  </w:style>
  <w:style w:type="paragraph" w:styleId="Ttulo3">
    <w:name w:val="heading 3"/>
    <w:basedOn w:val="Normal"/>
    <w:next w:val="Normal"/>
    <w:link w:val="Ttulo3Car"/>
    <w:uiPriority w:val="9"/>
    <w:unhideWhenUsed/>
    <w:qFormat/>
    <w:rsid w:val="00393D04"/>
    <w:pPr>
      <w:keepNext/>
      <w:keepLines/>
      <w:spacing w:before="200" w:after="0"/>
      <w:outlineLvl w:val="2"/>
    </w:pPr>
    <w:rPr>
      <w:rFonts w:ascii="Adobe Caslon Pro" w:eastAsiaTheme="majorEastAsia" w:hAnsi="Adobe Caslon Pro" w:cstheme="majorBidi"/>
      <w:b/>
      <w:bCs/>
      <w:color w:val="808080" w:themeColor="background1" w:themeShade="8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64A26"/>
    <w:rPr>
      <w:color w:val="0000FF"/>
      <w:u w:val="single"/>
    </w:rPr>
  </w:style>
  <w:style w:type="paragraph" w:styleId="TDC1">
    <w:name w:val="toc 1"/>
    <w:basedOn w:val="Normal"/>
    <w:next w:val="Normal"/>
    <w:autoRedefine/>
    <w:uiPriority w:val="39"/>
    <w:unhideWhenUsed/>
    <w:rsid w:val="00664A26"/>
    <w:pPr>
      <w:spacing w:before="120" w:after="0"/>
    </w:pPr>
    <w:rPr>
      <w:rFonts w:ascii="Cambria" w:eastAsia="Cambria" w:hAnsi="Cambria"/>
      <w:b/>
      <w:sz w:val="24"/>
      <w:szCs w:val="24"/>
    </w:rPr>
  </w:style>
  <w:style w:type="paragraph" w:styleId="TDC2">
    <w:name w:val="toc 2"/>
    <w:basedOn w:val="Normal"/>
    <w:next w:val="Normal"/>
    <w:autoRedefine/>
    <w:uiPriority w:val="39"/>
    <w:unhideWhenUsed/>
    <w:rsid w:val="00664A26"/>
    <w:pPr>
      <w:spacing w:after="0"/>
      <w:ind w:left="220"/>
    </w:pPr>
    <w:rPr>
      <w:rFonts w:ascii="Cambria" w:eastAsia="Cambria" w:hAnsi="Cambria"/>
      <w:b/>
    </w:rPr>
  </w:style>
  <w:style w:type="paragraph" w:styleId="TDC3">
    <w:name w:val="toc 3"/>
    <w:basedOn w:val="Normal"/>
    <w:next w:val="Normal"/>
    <w:autoRedefine/>
    <w:uiPriority w:val="39"/>
    <w:unhideWhenUsed/>
    <w:rsid w:val="00664A26"/>
    <w:pPr>
      <w:spacing w:after="0"/>
      <w:ind w:left="440"/>
    </w:pPr>
    <w:rPr>
      <w:rFonts w:ascii="Cambria" w:eastAsia="Cambria" w:hAnsi="Cambria"/>
    </w:rPr>
  </w:style>
  <w:style w:type="paragraph" w:styleId="Prrafodelista">
    <w:name w:val="List Paragraph"/>
    <w:aliases w:val="Párrafo Título 3,4 Párrafo de lista,Figuras,Dot pt,No Spacing1,List Paragraph Char Char Char,Indicator Text,List Paragraph1,Numbered Para 1,DH1,Despues de viñeta 1"/>
    <w:basedOn w:val="Normal"/>
    <w:link w:val="PrrafodelistaCar"/>
    <w:uiPriority w:val="34"/>
    <w:qFormat/>
    <w:rsid w:val="001C50F8"/>
    <w:pPr>
      <w:ind w:left="720"/>
      <w:contextualSpacing/>
    </w:pPr>
    <w:rPr>
      <w:rFonts w:asciiTheme="minorHAnsi" w:eastAsiaTheme="minorHAnsi" w:hAnsiTheme="minorHAnsi" w:cstheme="minorBidi"/>
    </w:r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Despues de viñeta 1 Car"/>
    <w:basedOn w:val="Fuentedeprrafopredeter"/>
    <w:link w:val="Prrafodelista"/>
    <w:uiPriority w:val="34"/>
    <w:qFormat/>
    <w:locked/>
    <w:rsid w:val="001C50F8"/>
  </w:style>
  <w:style w:type="paragraph" w:styleId="Textonotapie">
    <w:name w:val="footnote text"/>
    <w:aliases w:val="Texto nota pie Car Car C Car,Texto nota pie Car Car Car Car Car Car,Texto nota pie Car Car Car Car Car,Footnote Text Char Char Char Char Char,Footnote Text Char Char Char Char,Footnote reference,FA Fu,Footnote Text Char Char Char,Ca"/>
    <w:basedOn w:val="Normal"/>
    <w:link w:val="TextonotapieCar"/>
    <w:uiPriority w:val="99"/>
    <w:rsid w:val="001C50F8"/>
    <w:rPr>
      <w:rFonts w:eastAsia="Times New Roman"/>
      <w:sz w:val="20"/>
      <w:szCs w:val="20"/>
    </w:rPr>
  </w:style>
  <w:style w:type="character" w:customStyle="1" w:styleId="TextonotapieCar">
    <w:name w:val="Texto nota pie Car"/>
    <w:aliases w:val="Texto nota pie Car Car C Car Car,Texto nota pie Car Car Car Car Car Car Car,Texto nota pie Car Car Car Car Car Car1,Footnote Text Char Char Char Char Char Car,Footnote Text Char Char Char Char Car,Footnote reference Car,FA Fu Car"/>
    <w:basedOn w:val="Fuentedeprrafopredeter"/>
    <w:link w:val="Textonotapie"/>
    <w:uiPriority w:val="99"/>
    <w:rsid w:val="001C50F8"/>
    <w:rPr>
      <w:rFonts w:ascii="Calibri" w:eastAsia="Times New Roman" w:hAnsi="Calibri" w:cs="Times New Roman"/>
      <w:sz w:val="20"/>
      <w:szCs w:val="20"/>
    </w:rPr>
  </w:style>
  <w:style w:type="character" w:styleId="Refdenotaalpie">
    <w:name w:val="footnote reference"/>
    <w:aliases w:val="Texto de nota al pie,Appel note de bas de page,Footnotes refss,f"/>
    <w:uiPriority w:val="99"/>
    <w:rsid w:val="001C50F8"/>
    <w:rPr>
      <w:rFonts w:cs="Times New Roman"/>
      <w:vertAlign w:val="superscript"/>
    </w:rPr>
  </w:style>
  <w:style w:type="paragraph" w:styleId="Textodeglobo">
    <w:name w:val="Balloon Text"/>
    <w:basedOn w:val="Normal"/>
    <w:link w:val="TextodegloboCar"/>
    <w:uiPriority w:val="99"/>
    <w:semiHidden/>
    <w:unhideWhenUsed/>
    <w:rsid w:val="001C50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0F8"/>
    <w:rPr>
      <w:rFonts w:ascii="Tahoma" w:eastAsia="Calibri" w:hAnsi="Tahoma" w:cs="Tahoma"/>
      <w:sz w:val="16"/>
      <w:szCs w:val="16"/>
    </w:rPr>
  </w:style>
  <w:style w:type="character" w:styleId="nfasis">
    <w:name w:val="Emphasis"/>
    <w:qFormat/>
    <w:rsid w:val="00A26311"/>
    <w:rPr>
      <w:i/>
      <w:iCs/>
    </w:rPr>
  </w:style>
  <w:style w:type="character" w:customStyle="1" w:styleId="Caracteresdenotaalpie">
    <w:name w:val="Caracteres de nota al pie"/>
    <w:rsid w:val="00A26311"/>
  </w:style>
  <w:style w:type="paragraph" w:styleId="Piedepgina">
    <w:name w:val="footer"/>
    <w:basedOn w:val="Normal"/>
    <w:link w:val="PiedepginaCar"/>
    <w:uiPriority w:val="99"/>
    <w:rsid w:val="00A26311"/>
    <w:pPr>
      <w:suppressLineNumbers/>
      <w:tabs>
        <w:tab w:val="center" w:pos="4252"/>
        <w:tab w:val="right" w:pos="8504"/>
      </w:tabs>
      <w:suppressAutoHyphens/>
      <w:spacing w:after="0" w:line="240" w:lineRule="auto"/>
    </w:pPr>
    <w:rPr>
      <w:rFonts w:ascii="Times New Roman" w:eastAsia="Times New Roman" w:hAnsi="Times New Roman"/>
      <w:kern w:val="1"/>
      <w:sz w:val="24"/>
      <w:szCs w:val="24"/>
      <w:lang w:eastAsia="ar-SA"/>
    </w:rPr>
  </w:style>
  <w:style w:type="character" w:customStyle="1" w:styleId="PiedepginaCar">
    <w:name w:val="Pie de página Car"/>
    <w:basedOn w:val="Fuentedeprrafopredeter"/>
    <w:link w:val="Piedepgina"/>
    <w:uiPriority w:val="99"/>
    <w:rsid w:val="00A26311"/>
    <w:rPr>
      <w:rFonts w:ascii="Times New Roman" w:eastAsia="Times New Roman" w:hAnsi="Times New Roman" w:cs="Times New Roman"/>
      <w:kern w:val="1"/>
      <w:sz w:val="24"/>
      <w:szCs w:val="24"/>
      <w:lang w:eastAsia="ar-SA"/>
    </w:rPr>
  </w:style>
  <w:style w:type="paragraph" w:customStyle="1" w:styleId="Prrafodelista1">
    <w:name w:val="Párrafo de lista1"/>
    <w:basedOn w:val="Normal"/>
    <w:rsid w:val="00A26311"/>
    <w:pPr>
      <w:suppressAutoHyphens/>
      <w:spacing w:after="0" w:line="240" w:lineRule="auto"/>
      <w:ind w:left="708"/>
    </w:pPr>
    <w:rPr>
      <w:rFonts w:ascii="Arial" w:eastAsia="Times New Roman" w:hAnsi="Arial" w:cs="Arial"/>
      <w:kern w:val="1"/>
      <w:lang w:eastAsia="ar-SA"/>
    </w:rPr>
  </w:style>
  <w:style w:type="paragraph" w:customStyle="1" w:styleId="Texto">
    <w:name w:val="Texto"/>
    <w:basedOn w:val="Normal"/>
    <w:link w:val="TextoCar"/>
    <w:rsid w:val="00A2631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A26311"/>
    <w:rPr>
      <w:rFonts w:ascii="Arial" w:eastAsia="Times New Roman" w:hAnsi="Arial" w:cs="Arial"/>
      <w:sz w:val="18"/>
      <w:szCs w:val="20"/>
      <w:lang w:val="es-ES" w:eastAsia="es-ES"/>
    </w:rPr>
  </w:style>
  <w:style w:type="paragraph" w:styleId="NormalWeb">
    <w:name w:val="Normal (Web)"/>
    <w:basedOn w:val="Normal"/>
    <w:uiPriority w:val="99"/>
    <w:semiHidden/>
    <w:unhideWhenUsed/>
    <w:rsid w:val="00A26311"/>
    <w:rPr>
      <w:rFonts w:ascii="Times New Roman" w:eastAsiaTheme="minorHAnsi" w:hAnsi="Times New Roman"/>
      <w:sz w:val="24"/>
      <w:szCs w:val="24"/>
    </w:rPr>
  </w:style>
  <w:style w:type="character" w:customStyle="1" w:styleId="Ttulo2Car">
    <w:name w:val="Título 2 Car"/>
    <w:aliases w:val="Título 2 (D) Car"/>
    <w:basedOn w:val="Fuentedeprrafopredeter"/>
    <w:link w:val="Ttulo2"/>
    <w:uiPriority w:val="9"/>
    <w:rsid w:val="00AB79FC"/>
    <w:rPr>
      <w:rFonts w:ascii="Adobe Caslon Pro" w:eastAsiaTheme="majorEastAsia" w:hAnsi="Adobe Caslon Pro" w:cstheme="majorBidi"/>
      <w:b/>
      <w:bCs/>
      <w:color w:val="C00000"/>
      <w:sz w:val="28"/>
      <w:szCs w:val="26"/>
    </w:rPr>
  </w:style>
  <w:style w:type="character" w:styleId="Refdecomentario">
    <w:name w:val="annotation reference"/>
    <w:uiPriority w:val="99"/>
    <w:rsid w:val="00A26311"/>
    <w:rPr>
      <w:sz w:val="16"/>
      <w:szCs w:val="16"/>
    </w:rPr>
  </w:style>
  <w:style w:type="paragraph" w:styleId="Textocomentario">
    <w:name w:val="annotation text"/>
    <w:basedOn w:val="Normal"/>
    <w:link w:val="TextocomentarioCar"/>
    <w:uiPriority w:val="99"/>
    <w:rsid w:val="00A26311"/>
    <w:pPr>
      <w:spacing w:after="0" w:line="240" w:lineRule="auto"/>
    </w:pPr>
    <w:rPr>
      <w:rFonts w:ascii="Times New Roman" w:eastAsia="Times New Roman" w:hAnsi="Times New Roman"/>
      <w:sz w:val="20"/>
      <w:szCs w:val="20"/>
      <w:lang w:eastAsia="es-MX"/>
    </w:rPr>
  </w:style>
  <w:style w:type="character" w:customStyle="1" w:styleId="TextocomentarioCar">
    <w:name w:val="Texto comentario Car"/>
    <w:basedOn w:val="Fuentedeprrafopredeter"/>
    <w:link w:val="Textocomentario"/>
    <w:uiPriority w:val="99"/>
    <w:rsid w:val="00A26311"/>
    <w:rPr>
      <w:rFonts w:ascii="Times New Roman" w:eastAsia="Times New Roman" w:hAnsi="Times New Roman" w:cs="Times New Roman"/>
      <w:sz w:val="20"/>
      <w:szCs w:val="20"/>
      <w:lang w:eastAsia="es-MX"/>
    </w:rPr>
  </w:style>
  <w:style w:type="character" w:customStyle="1" w:styleId="Ttulo1Car">
    <w:name w:val="Título 1 Car"/>
    <w:aliases w:val="Título 1(Diagnóstico) Car,Título 1 (Diagnostico) Car"/>
    <w:basedOn w:val="Fuentedeprrafopredeter"/>
    <w:link w:val="Ttulo1"/>
    <w:uiPriority w:val="9"/>
    <w:rsid w:val="00D84EB0"/>
    <w:rPr>
      <w:rFonts w:ascii="Adobe Caslon Pro" w:eastAsiaTheme="majorEastAsia" w:hAnsi="Adobe Caslon Pro" w:cstheme="majorBidi"/>
      <w:b/>
      <w:bCs/>
      <w:color w:val="C00000"/>
      <w:sz w:val="28"/>
      <w:szCs w:val="28"/>
    </w:rPr>
  </w:style>
  <w:style w:type="paragraph" w:styleId="Asuntodelcomentario">
    <w:name w:val="annotation subject"/>
    <w:basedOn w:val="Textocomentario"/>
    <w:next w:val="Textocomentario"/>
    <w:link w:val="AsuntodelcomentarioCar"/>
    <w:uiPriority w:val="99"/>
    <w:semiHidden/>
    <w:unhideWhenUsed/>
    <w:rsid w:val="00E7783F"/>
    <w:pPr>
      <w:spacing w:after="200"/>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semiHidden/>
    <w:rsid w:val="00E7783F"/>
    <w:rPr>
      <w:rFonts w:ascii="Calibri" w:eastAsia="Calibri" w:hAnsi="Calibri" w:cs="Times New Roman"/>
      <w:b/>
      <w:bCs/>
      <w:sz w:val="20"/>
      <w:szCs w:val="20"/>
      <w:lang w:eastAsia="es-MX"/>
    </w:rPr>
  </w:style>
  <w:style w:type="paragraph" w:customStyle="1" w:styleId="ecxmsonormal">
    <w:name w:val="ecxmsonormal"/>
    <w:basedOn w:val="Normal"/>
    <w:rsid w:val="00CC69AE"/>
    <w:pPr>
      <w:spacing w:after="324" w:line="240" w:lineRule="auto"/>
    </w:pPr>
    <w:rPr>
      <w:rFonts w:ascii="Times New Roman" w:eastAsia="Times New Roman" w:hAnsi="Times New Roman"/>
      <w:sz w:val="24"/>
      <w:szCs w:val="24"/>
      <w:lang w:eastAsia="es-MX"/>
    </w:rPr>
  </w:style>
  <w:style w:type="paragraph" w:styleId="TtulodeTDC">
    <w:name w:val="TOC Heading"/>
    <w:basedOn w:val="Ttulo1"/>
    <w:next w:val="Normal"/>
    <w:uiPriority w:val="39"/>
    <w:unhideWhenUsed/>
    <w:qFormat/>
    <w:rsid w:val="006D794C"/>
    <w:pPr>
      <w:outlineLvl w:val="9"/>
    </w:pPr>
    <w:rPr>
      <w:rFonts w:asciiTheme="majorHAnsi" w:hAnsiTheme="majorHAnsi"/>
      <w:color w:val="365F91" w:themeColor="accent1" w:themeShade="BF"/>
      <w:lang w:eastAsia="es-MX"/>
    </w:rPr>
  </w:style>
  <w:style w:type="character" w:customStyle="1" w:styleId="Ttulo3Car">
    <w:name w:val="Título 3 Car"/>
    <w:basedOn w:val="Fuentedeprrafopredeter"/>
    <w:link w:val="Ttulo3"/>
    <w:uiPriority w:val="9"/>
    <w:rsid w:val="00393D04"/>
    <w:rPr>
      <w:rFonts w:ascii="Adobe Caslon Pro" w:eastAsiaTheme="majorEastAsia" w:hAnsi="Adobe Caslon Pro" w:cstheme="majorBidi"/>
      <w:b/>
      <w:bCs/>
      <w:color w:val="808080" w:themeColor="background1" w:themeShade="80"/>
      <w:sz w:val="24"/>
    </w:rPr>
  </w:style>
  <w:style w:type="paragraph" w:styleId="Ttulo">
    <w:name w:val="Title"/>
    <w:basedOn w:val="Normal"/>
    <w:next w:val="Normal"/>
    <w:link w:val="TtuloCar"/>
    <w:uiPriority w:val="10"/>
    <w:qFormat/>
    <w:rsid w:val="00FE27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E2757"/>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E27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E2757"/>
    <w:rPr>
      <w:rFonts w:asciiTheme="majorHAnsi" w:eastAsiaTheme="majorEastAsia" w:hAnsiTheme="majorHAnsi" w:cstheme="majorBidi"/>
      <w:i/>
      <w:iCs/>
      <w:color w:val="4F81BD" w:themeColor="accent1"/>
      <w:spacing w:val="15"/>
      <w:sz w:val="24"/>
      <w:szCs w:val="24"/>
    </w:rPr>
  </w:style>
  <w:style w:type="paragraph" w:styleId="Epgrafe">
    <w:name w:val="caption"/>
    <w:basedOn w:val="Normal"/>
    <w:next w:val="Normal"/>
    <w:uiPriority w:val="35"/>
    <w:unhideWhenUsed/>
    <w:qFormat/>
    <w:rsid w:val="00FE2757"/>
    <w:pPr>
      <w:spacing w:line="240" w:lineRule="auto"/>
    </w:pPr>
    <w:rPr>
      <w:rFonts w:asciiTheme="minorHAnsi" w:eastAsiaTheme="minorHAnsi" w:hAnsiTheme="minorHAnsi" w:cstheme="minorBidi"/>
      <w:b/>
      <w:bCs/>
      <w:color w:val="4F81BD" w:themeColor="accent1"/>
      <w:sz w:val="18"/>
      <w:szCs w:val="18"/>
    </w:rPr>
  </w:style>
  <w:style w:type="table" w:styleId="Tablaconcuadrcula">
    <w:name w:val="Table Grid"/>
    <w:basedOn w:val="Tablanormal"/>
    <w:uiPriority w:val="59"/>
    <w:rsid w:val="00FE2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FE275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FE275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E2757"/>
    <w:rPr>
      <w:rFonts w:eastAsiaTheme="minorEastAsia"/>
      <w:lang w:eastAsia="es-MX"/>
    </w:rPr>
  </w:style>
  <w:style w:type="paragraph" w:customStyle="1" w:styleId="Default">
    <w:name w:val="Default"/>
    <w:rsid w:val="00FE2757"/>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FE275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FE2757"/>
  </w:style>
  <w:style w:type="paragraph" w:styleId="Revisin">
    <w:name w:val="Revision"/>
    <w:hidden/>
    <w:uiPriority w:val="99"/>
    <w:semiHidden/>
    <w:rsid w:val="00FE2757"/>
    <w:pPr>
      <w:spacing w:after="0" w:line="240" w:lineRule="auto"/>
    </w:pPr>
  </w:style>
  <w:style w:type="paragraph" w:customStyle="1" w:styleId="texto0">
    <w:name w:val="texto"/>
    <w:basedOn w:val="Normal"/>
    <w:rsid w:val="00FE2757"/>
    <w:pPr>
      <w:snapToGrid w:val="0"/>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image" Target="media/image5.emf"/><Relationship Id="rId34" Type="http://schemas.openxmlformats.org/officeDocument/2006/relationships/chart" Target="charts/chart17.xml"/><Relationship Id="rId42" Type="http://schemas.openxmlformats.org/officeDocument/2006/relationships/image" Target="media/image8.png"/><Relationship Id="rId47" Type="http://schemas.openxmlformats.org/officeDocument/2006/relationships/diagramQuickStyle" Target="diagrams/quickStyle1.xml"/><Relationship Id="rId50" Type="http://schemas.openxmlformats.org/officeDocument/2006/relationships/chart" Target="charts/chart23.xml"/><Relationship Id="rId55" Type="http://schemas.openxmlformats.org/officeDocument/2006/relationships/hyperlink" Target="http://www.theduluthmodel.org/about.html" TargetMode="External"/><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2.xml"/><Relationship Id="rId11" Type="http://schemas.openxmlformats.org/officeDocument/2006/relationships/hyperlink" Target="file:///E:/PAIMEF_CONEVAL(final_27062014).docx"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6.png"/><Relationship Id="rId45" Type="http://schemas.openxmlformats.org/officeDocument/2006/relationships/diagramData" Target="diagrams/data1.xml"/><Relationship Id="rId53" Type="http://schemas.openxmlformats.org/officeDocument/2006/relationships/hyperlink" Target="http://www.promundo.org.br/wp-content/uploads/2011/01/OPAS_ESPANHOLweb.pdf" TargetMode="External"/><Relationship Id="rId58" Type="http://schemas.openxmlformats.org/officeDocument/2006/relationships/hyperlink" Target="http://www.cnegsr.gob.mx/programas/prevencion-atencion-violencia/objetivos.html"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2.xml"/><Relationship Id="rId48" Type="http://schemas.openxmlformats.org/officeDocument/2006/relationships/diagramColors" Target="diagrams/colors1.xml"/><Relationship Id="rId56" Type="http://schemas.openxmlformats.org/officeDocument/2006/relationships/hyperlink" Target="http://www.pgjdf.gob.mx/index.php/servicios/atencionvictimas/cavi" TargetMode="External"/><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diagramLayout" Target="diagrams/layout1.xml"/><Relationship Id="rId59" Type="http://schemas.openxmlformats.org/officeDocument/2006/relationships/hyperlink" Target="http://sgdatabase.unwomen.org/searchDetail.action?measureId=21027&amp;baseHREF=country&amp;baseHREFId=143" TargetMode="External"/><Relationship Id="rId20" Type="http://schemas.openxmlformats.org/officeDocument/2006/relationships/chart" Target="charts/chart5.xml"/><Relationship Id="rId41" Type="http://schemas.openxmlformats.org/officeDocument/2006/relationships/image" Target="media/image7.emf"/><Relationship Id="rId54" Type="http://schemas.openxmlformats.org/officeDocument/2006/relationships/hyperlink" Target="http://www.emergedv.com/"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microsoft.com/office/2007/relationships/diagramDrawing" Target="diagrams/drawing1.xml"/><Relationship Id="rId57" Type="http://schemas.openxmlformats.org/officeDocument/2006/relationships/hyperlink" Target="http://www.sideso.df.gob.mx/documentos/2013/sds/Gaceta%201533%20ter%2030%20ene%202013.pdf" TargetMode="External"/><Relationship Id="rId10" Type="http://schemas.openxmlformats.org/officeDocument/2006/relationships/hyperlink" Target="file:///E:/PAIMEF_CONEVAL(final_27062014).docx" TargetMode="External"/><Relationship Id="rId31" Type="http://schemas.openxmlformats.org/officeDocument/2006/relationships/chart" Target="charts/chart14.xml"/><Relationship Id="rId44" Type="http://schemas.openxmlformats.org/officeDocument/2006/relationships/header" Target="header1.xml"/><Relationship Id="rId52" Type="http://schemas.openxmlformats.org/officeDocument/2006/relationships/hyperlink" Target="http://www.steppingstonesfeedback.org/index.php/page/About/gb" TargetMode="External"/><Relationship Id="rId60" Type="http://schemas.openxmlformats.org/officeDocument/2006/relationships/fontTable" Target="fontTable.xml"/><Relationship Id="rId65"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dof.gob.mx/nota_detalle.php?codigo=2121266&amp;fecha=17/02/2006&amp;print=true" TargetMode="External"/><Relationship Id="rId2" Type="http://schemas.openxmlformats.org/officeDocument/2006/relationships/hyperlink" Target="http://www.coneval.org.mx/Informes/Evaluacion/Impacto/Diagnostico_Programas_Nuevos.pdf" TargetMode="External"/><Relationship Id="rId1" Type="http://schemas.openxmlformats.org/officeDocument/2006/relationships/hyperlink" Target="http://dof.gob.mx/nota_detalle.php?codigo=5089652&amp;fecha=07/05/2009" TargetMode="External"/><Relationship Id="rId6" Type="http://schemas.openxmlformats.org/officeDocument/2006/relationships/hyperlink" Target="http://www.banxico.org.mx/publicaciones-y-discursos/publicaciones/informes-periodicos/trimestral-inflacion/%7B41515DDF-DC0D-28B4-D82D-6B7D3BFDFF21%7D.pdf" TargetMode="External"/><Relationship Id="rId5" Type="http://schemas.openxmlformats.org/officeDocument/2006/relationships/hyperlink" Target="http://cedoc.inmujeres.gob.mx/Pag_cat_libre_art482.php?criterio=modelo&amp;tipo=PAIMEF&amp;search=Busqueda" TargetMode="External"/><Relationship Id="rId4" Type="http://schemas.openxmlformats.org/officeDocument/2006/relationships/hyperlink" Target="http://www.inmujeres.gob.mx/index.php/ique-es-el-inmujeres/organigrama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ikis\Downloads\CARACTERIZACION%20POBLACION%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oman\Downloads\CARACTERIZACION%20POBLACION%2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oman\Downloads\CARACTERIZACION%20POBLACION%20(3).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ikis\Documents\CARACTERIZACION%20POBLACION%20(3).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Pikis\Documents\CARACTERIZACION%20POBLACION%20(3).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Pikis\Documents\CARACTERIZACION%20POBLACION%20(3).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Pikis\Downloads\CARACTERIZACION%20POBLACION%20(3).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4.bin"/></Relationships>
</file>

<file path=word/charts/_rels/chart18.xml.rels><?xml version="1.0" encoding="UTF-8" standalone="yes"?>
<Relationships xmlns="http://schemas.openxmlformats.org/package/2006/relationships"><Relationship Id="rId1" Type="http://schemas.openxmlformats.org/officeDocument/2006/relationships/oleObject" Target="file:///C:\Users\Pikis\Downloads\CARACTERIZACION%20POBLACION%20(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Pikis\AppData\Roaming\Microsoft\Excel\CARACTERIZACION%20POBLACION%20(2)%20(version%203).xlsb"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Family\Downloads\CARACTERIZACION%20POBLACION%2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Roman\Downloads\CARACTERIZACION%20POBLACION%20(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comparte\Karen\Libro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ikis\Downloads\fiannzas%20pauimef_rea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ikis\Documents\Trabajo\CARACTERIZACION%20POBLAC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ikis\Downloads\CARACTERIZACION%20POBLACION%20(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ikis\Downloads\CARACTERIZACION%20POBLACION%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ikis\Downloads\CARACTERIZACION%20POBLACION%2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3.0555555555555582E-2"/>
          <c:y val="3.7420895304753635E-2"/>
          <c:w val="0.93888888888888999"/>
          <c:h val="0.76789552347623347"/>
        </c:manualLayout>
      </c:layout>
      <c:barChart>
        <c:barDir val="col"/>
        <c:grouping val="clustered"/>
        <c:varyColors val="0"/>
        <c:ser>
          <c:idx val="0"/>
          <c:order val="0"/>
          <c:tx>
            <c:strRef>
              <c:f>'[CARACTERIZACION POBLACION (2).xlsx]Hoja13'!$G$5</c:f>
              <c:strCache>
                <c:ptCount val="1"/>
                <c:pt idx="0">
                  <c:v>Total violentadas</c:v>
                </c:pt>
              </c:strCache>
            </c:strRef>
          </c:tx>
          <c:invertIfNegative val="0"/>
          <c:dLbls>
            <c:dLbl>
              <c:idx val="0"/>
              <c:layout>
                <c:manualLayout>
                  <c:x val="5.5555555555555558E-3"/>
                  <c:y val="2.16396185633850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046E-3"/>
                  <c:y val="1.62297139225386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2.1639618563385025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'[CARACTERIZACION POBLACION (2).xlsx]Hoja13'!$H$4:$J$4</c:f>
              <c:numCache>
                <c:formatCode>General</c:formatCode>
                <c:ptCount val="3"/>
                <c:pt idx="0">
                  <c:v>2003</c:v>
                </c:pt>
                <c:pt idx="1">
                  <c:v>2006</c:v>
                </c:pt>
                <c:pt idx="2">
                  <c:v>2011</c:v>
                </c:pt>
              </c:numCache>
            </c:numRef>
          </c:cat>
          <c:val>
            <c:numRef>
              <c:f>'[CARACTERIZACION POBLACION (2).xlsx]Hoja13'!$H$5:$J$5</c:f>
              <c:numCache>
                <c:formatCode>0.0%</c:formatCode>
                <c:ptCount val="3"/>
                <c:pt idx="0">
                  <c:v>0.46551309749212866</c:v>
                </c:pt>
                <c:pt idx="1">
                  <c:v>0.39970265208661337</c:v>
                </c:pt>
                <c:pt idx="2">
                  <c:v>0.33519893845434146</c:v>
                </c:pt>
              </c:numCache>
            </c:numRef>
          </c:val>
        </c:ser>
        <c:ser>
          <c:idx val="1"/>
          <c:order val="1"/>
          <c:tx>
            <c:strRef>
              <c:f>'[CARACTERIZACION POBLACION (2).xlsx]Hoja13'!$G$6</c:f>
              <c:strCache>
                <c:ptCount val="1"/>
                <c:pt idx="0">
                  <c:v>Emocional</c:v>
                </c:pt>
              </c:strCache>
            </c:strRef>
          </c:tx>
          <c:invertIfNegative val="0"/>
          <c:dLbls>
            <c:dLbl>
              <c:idx val="0"/>
              <c:layout>
                <c:manualLayout>
                  <c:x val="1.1111111111111125E-2"/>
                  <c:y val="2.16396185633850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67E-3"/>
                  <c:y val="2.16396185633850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67E-3"/>
                  <c:y val="2.1639618563385025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'[CARACTERIZACION POBLACION (2).xlsx]Hoja13'!$H$4:$J$4</c:f>
              <c:numCache>
                <c:formatCode>General</c:formatCode>
                <c:ptCount val="3"/>
                <c:pt idx="0">
                  <c:v>2003</c:v>
                </c:pt>
                <c:pt idx="1">
                  <c:v>2006</c:v>
                </c:pt>
                <c:pt idx="2">
                  <c:v>2011</c:v>
                </c:pt>
              </c:numCache>
            </c:numRef>
          </c:cat>
          <c:val>
            <c:numRef>
              <c:f>'[CARACTERIZACION POBLACION (2).xlsx]Hoja13'!$H$6:$J$6</c:f>
              <c:numCache>
                <c:formatCode>0.0%</c:formatCode>
                <c:ptCount val="3"/>
                <c:pt idx="0">
                  <c:v>0.38384617644273578</c:v>
                </c:pt>
                <c:pt idx="1">
                  <c:v>0.31955600458704092</c:v>
                </c:pt>
                <c:pt idx="2">
                  <c:v>0.27158972808268583</c:v>
                </c:pt>
              </c:numCache>
            </c:numRef>
          </c:val>
        </c:ser>
        <c:ser>
          <c:idx val="2"/>
          <c:order val="2"/>
          <c:tx>
            <c:strRef>
              <c:f>'[CARACTERIZACION POBLACION (2).xlsx]Hoja13'!$G$7</c:f>
              <c:strCache>
                <c:ptCount val="1"/>
                <c:pt idx="0">
                  <c:v>Económica</c:v>
                </c:pt>
              </c:strCache>
            </c:strRef>
          </c:tx>
          <c:invertIfNegative val="0"/>
          <c:dLbls>
            <c:dLbl>
              <c:idx val="0"/>
              <c:layout>
                <c:manualLayout>
                  <c:x val="5.5555555555555558E-3"/>
                  <c:y val="2.16396185633850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67E-3"/>
                  <c:y val="1.62297139225386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2.1639618563385025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'[CARACTERIZACION POBLACION (2).xlsx]Hoja13'!$H$4:$J$4</c:f>
              <c:numCache>
                <c:formatCode>General</c:formatCode>
                <c:ptCount val="3"/>
                <c:pt idx="0">
                  <c:v>2003</c:v>
                </c:pt>
                <c:pt idx="1">
                  <c:v>2006</c:v>
                </c:pt>
                <c:pt idx="2">
                  <c:v>2011</c:v>
                </c:pt>
              </c:numCache>
            </c:numRef>
          </c:cat>
          <c:val>
            <c:numRef>
              <c:f>'[CARACTERIZACION POBLACION (2).xlsx]Hoja13'!$H$7:$J$7</c:f>
              <c:numCache>
                <c:formatCode>0.0%</c:formatCode>
                <c:ptCount val="3"/>
                <c:pt idx="0">
                  <c:v>0.2931946492116978</c:v>
                </c:pt>
                <c:pt idx="1">
                  <c:v>0.22892810036196673</c:v>
                </c:pt>
                <c:pt idx="2">
                  <c:v>0.17190068096509917</c:v>
                </c:pt>
              </c:numCache>
            </c:numRef>
          </c:val>
        </c:ser>
        <c:ser>
          <c:idx val="3"/>
          <c:order val="3"/>
          <c:tx>
            <c:strRef>
              <c:f>'[CARACTERIZACION POBLACION (2).xlsx]Hoja13'!$G$8</c:f>
              <c:strCache>
                <c:ptCount val="1"/>
                <c:pt idx="0">
                  <c:v>Física</c:v>
                </c:pt>
              </c:strCache>
            </c:strRef>
          </c:tx>
          <c:invertIfNegative val="0"/>
          <c:dLbls>
            <c:dLbl>
              <c:idx val="0"/>
              <c:layout>
                <c:manualLayout>
                  <c:x val="5.5555555555555558E-3"/>
                  <c:y val="1.08198092816924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2.16396185633850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3368328958878E-3"/>
                  <c:y val="1.6229713922538684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'[CARACTERIZACION POBLACION (2).xlsx]Hoja13'!$H$4:$J$4</c:f>
              <c:numCache>
                <c:formatCode>General</c:formatCode>
                <c:ptCount val="3"/>
                <c:pt idx="0">
                  <c:v>2003</c:v>
                </c:pt>
                <c:pt idx="1">
                  <c:v>2006</c:v>
                </c:pt>
                <c:pt idx="2">
                  <c:v>2011</c:v>
                </c:pt>
              </c:numCache>
            </c:numRef>
          </c:cat>
          <c:val>
            <c:numRef>
              <c:f>'[CARACTERIZACION POBLACION (2).xlsx]Hoja13'!$H$8:$J$8</c:f>
              <c:numCache>
                <c:formatCode>0.0%</c:formatCode>
                <c:ptCount val="3"/>
                <c:pt idx="0">
                  <c:v>9.3127188145094214E-2</c:v>
                </c:pt>
                <c:pt idx="1">
                  <c:v>0.10222554646681875</c:v>
                </c:pt>
                <c:pt idx="2">
                  <c:v>6.2887013508650863E-2</c:v>
                </c:pt>
              </c:numCache>
            </c:numRef>
          </c:val>
        </c:ser>
        <c:ser>
          <c:idx val="4"/>
          <c:order val="4"/>
          <c:tx>
            <c:strRef>
              <c:f>'[CARACTERIZACION POBLACION (2).xlsx]Hoja13'!$G$9</c:f>
              <c:strCache>
                <c:ptCount val="1"/>
                <c:pt idx="0">
                  <c:v>Sexual</c:v>
                </c:pt>
              </c:strCache>
            </c:strRef>
          </c:tx>
          <c:invertIfNegative val="0"/>
          <c:dLbls>
            <c:dLbl>
              <c:idx val="0"/>
              <c:layout>
                <c:manualLayout>
                  <c:x val="8.3333333333333367E-3"/>
                  <c:y val="2.70495232042311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2.16396185633850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2.1639618563385098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'[CARACTERIZACION POBLACION (2).xlsx]Hoja13'!$H$4:$J$4</c:f>
              <c:numCache>
                <c:formatCode>General</c:formatCode>
                <c:ptCount val="3"/>
                <c:pt idx="0">
                  <c:v>2003</c:v>
                </c:pt>
                <c:pt idx="1">
                  <c:v>2006</c:v>
                </c:pt>
                <c:pt idx="2">
                  <c:v>2011</c:v>
                </c:pt>
              </c:numCache>
            </c:numRef>
          </c:cat>
          <c:val>
            <c:numRef>
              <c:f>'[CARACTERIZACION POBLACION (2).xlsx]Hoja13'!$H$9:$J$9</c:f>
              <c:numCache>
                <c:formatCode>0.0%</c:formatCode>
                <c:ptCount val="3"/>
                <c:pt idx="0">
                  <c:v>7.843114195110798E-2</c:v>
                </c:pt>
                <c:pt idx="1">
                  <c:v>5.9739598023376868E-2</c:v>
                </c:pt>
                <c:pt idx="2">
                  <c:v>2.8220762845325046E-2</c:v>
                </c:pt>
              </c:numCache>
            </c:numRef>
          </c:val>
        </c:ser>
        <c:dLbls>
          <c:showLegendKey val="0"/>
          <c:showVal val="1"/>
          <c:showCatName val="0"/>
          <c:showSerName val="0"/>
          <c:showPercent val="0"/>
          <c:showBubbleSize val="0"/>
        </c:dLbls>
        <c:gapWidth val="150"/>
        <c:overlap val="-25"/>
        <c:axId val="462052352"/>
        <c:axId val="368759872"/>
      </c:barChart>
      <c:catAx>
        <c:axId val="462052352"/>
        <c:scaling>
          <c:orientation val="minMax"/>
        </c:scaling>
        <c:delete val="0"/>
        <c:axPos val="b"/>
        <c:numFmt formatCode="General" sourceLinked="1"/>
        <c:majorTickMark val="none"/>
        <c:minorTickMark val="none"/>
        <c:tickLblPos val="nextTo"/>
        <c:crossAx val="368759872"/>
        <c:crosses val="autoZero"/>
        <c:auto val="1"/>
        <c:lblAlgn val="ctr"/>
        <c:lblOffset val="100"/>
        <c:noMultiLvlLbl val="0"/>
      </c:catAx>
      <c:valAx>
        <c:axId val="368759872"/>
        <c:scaling>
          <c:orientation val="minMax"/>
        </c:scaling>
        <c:delete val="1"/>
        <c:axPos val="l"/>
        <c:numFmt formatCode="0.0%" sourceLinked="1"/>
        <c:majorTickMark val="none"/>
        <c:minorTickMark val="none"/>
        <c:tickLblPos val="none"/>
        <c:crossAx val="462052352"/>
        <c:crosses val="autoZero"/>
        <c:crossBetween val="between"/>
      </c:valAx>
    </c:plotArea>
    <c:legend>
      <c:legendPos val="t"/>
      <c:layout>
        <c:manualLayout>
          <c:xMode val="edge"/>
          <c:yMode val="edge"/>
          <c:x val="6.7760717410323912E-2"/>
          <c:y val="0.90277777777777779"/>
          <c:w val="0.86447834645669364"/>
          <c:h val="8.2854127770111224E-2"/>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04410619668075"/>
          <c:y val="5.1400554097404488E-2"/>
          <c:w val="0.80795589380331923"/>
          <c:h val="0.65349190726159234"/>
        </c:manualLayout>
      </c:layout>
      <c:lineChart>
        <c:grouping val="standard"/>
        <c:varyColors val="0"/>
        <c:ser>
          <c:idx val="0"/>
          <c:order val="0"/>
          <c:tx>
            <c:strRef>
              <c:f>'[CARACTERIZACION POBLACION (3).xlsx]Hoja4'!$J$1</c:f>
              <c:strCache>
                <c:ptCount val="1"/>
                <c:pt idx="0">
                  <c:v>Sin violencia</c:v>
                </c:pt>
              </c:strCache>
            </c:strRef>
          </c:tx>
          <c:marker>
            <c:symbol val="none"/>
          </c:marker>
          <c:cat>
            <c:strRef>
              <c:f>'[CARACTERIZACION POBLACION (3).xlsx]Hoja4'!$G$2:$G$11</c:f>
              <c:strCache>
                <c:ptCount val="10"/>
                <c:pt idx="0">
                  <c:v>15 a 19 años</c:v>
                </c:pt>
                <c:pt idx="1">
                  <c:v>20 a 24 años</c:v>
                </c:pt>
                <c:pt idx="2">
                  <c:v>25 a 29 años</c:v>
                </c:pt>
                <c:pt idx="3">
                  <c:v>30 a 34 años</c:v>
                </c:pt>
                <c:pt idx="4">
                  <c:v>35 a 39 años</c:v>
                </c:pt>
                <c:pt idx="5">
                  <c:v>40 a 44 años</c:v>
                </c:pt>
                <c:pt idx="6">
                  <c:v>45 a 49 años</c:v>
                </c:pt>
                <c:pt idx="7">
                  <c:v>50 a 54 años</c:v>
                </c:pt>
                <c:pt idx="8">
                  <c:v>55 a 59 años</c:v>
                </c:pt>
                <c:pt idx="9">
                  <c:v>60 o más años</c:v>
                </c:pt>
              </c:strCache>
            </c:strRef>
          </c:cat>
          <c:val>
            <c:numRef>
              <c:f>'[CARACTERIZACION POBLACION (3).xlsx]Hoja4'!$J$2:$J$11</c:f>
              <c:numCache>
                <c:formatCode>0.0%</c:formatCode>
                <c:ptCount val="10"/>
                <c:pt idx="0">
                  <c:v>0.47026096478261914</c:v>
                </c:pt>
                <c:pt idx="1">
                  <c:v>0.3838579292151354</c:v>
                </c:pt>
                <c:pt idx="2">
                  <c:v>0.37999021568254165</c:v>
                </c:pt>
                <c:pt idx="3">
                  <c:v>0.37614725598751003</c:v>
                </c:pt>
                <c:pt idx="4">
                  <c:v>0.38047905156109124</c:v>
                </c:pt>
                <c:pt idx="5">
                  <c:v>0.38586577558477247</c:v>
                </c:pt>
                <c:pt idx="6">
                  <c:v>0.40257433074053273</c:v>
                </c:pt>
                <c:pt idx="7">
                  <c:v>0.40487285999341943</c:v>
                </c:pt>
                <c:pt idx="8">
                  <c:v>0.43048416952404822</c:v>
                </c:pt>
                <c:pt idx="9">
                  <c:v>0.50112470302360379</c:v>
                </c:pt>
              </c:numCache>
            </c:numRef>
          </c:val>
          <c:smooth val="0"/>
        </c:ser>
        <c:ser>
          <c:idx val="1"/>
          <c:order val="1"/>
          <c:tx>
            <c:strRef>
              <c:f>'[CARACTERIZACION POBLACION (3).xlsx]Hoja4'!$K$1</c:f>
              <c:strCache>
                <c:ptCount val="1"/>
                <c:pt idx="0">
                  <c:v>Con violencia</c:v>
                </c:pt>
              </c:strCache>
            </c:strRef>
          </c:tx>
          <c:marker>
            <c:symbol val="none"/>
          </c:marker>
          <c:cat>
            <c:strRef>
              <c:f>'[CARACTERIZACION POBLACION (3).xlsx]Hoja4'!$G$2:$G$11</c:f>
              <c:strCache>
                <c:ptCount val="10"/>
                <c:pt idx="0">
                  <c:v>15 a 19 años</c:v>
                </c:pt>
                <c:pt idx="1">
                  <c:v>20 a 24 años</c:v>
                </c:pt>
                <c:pt idx="2">
                  <c:v>25 a 29 años</c:v>
                </c:pt>
                <c:pt idx="3">
                  <c:v>30 a 34 años</c:v>
                </c:pt>
                <c:pt idx="4">
                  <c:v>35 a 39 años</c:v>
                </c:pt>
                <c:pt idx="5">
                  <c:v>40 a 44 años</c:v>
                </c:pt>
                <c:pt idx="6">
                  <c:v>45 a 49 años</c:v>
                </c:pt>
                <c:pt idx="7">
                  <c:v>50 a 54 años</c:v>
                </c:pt>
                <c:pt idx="8">
                  <c:v>55 a 59 años</c:v>
                </c:pt>
                <c:pt idx="9">
                  <c:v>60 o más años</c:v>
                </c:pt>
              </c:strCache>
            </c:strRef>
          </c:cat>
          <c:val>
            <c:numRef>
              <c:f>'[CARACTERIZACION POBLACION (3).xlsx]Hoja4'!$K$2:$K$11</c:f>
              <c:numCache>
                <c:formatCode>0.0%</c:formatCode>
                <c:ptCount val="10"/>
                <c:pt idx="0">
                  <c:v>0.52973903521738086</c:v>
                </c:pt>
                <c:pt idx="1">
                  <c:v>0.6161420707848646</c:v>
                </c:pt>
                <c:pt idx="2">
                  <c:v>0.62000978431745835</c:v>
                </c:pt>
                <c:pt idx="3">
                  <c:v>0.62385274401249002</c:v>
                </c:pt>
                <c:pt idx="4">
                  <c:v>0.6195209484389087</c:v>
                </c:pt>
                <c:pt idx="5">
                  <c:v>0.61413422441522747</c:v>
                </c:pt>
                <c:pt idx="6">
                  <c:v>0.59742566925946727</c:v>
                </c:pt>
                <c:pt idx="7">
                  <c:v>0.59512714000658051</c:v>
                </c:pt>
                <c:pt idx="8">
                  <c:v>0.56951583047595178</c:v>
                </c:pt>
                <c:pt idx="9">
                  <c:v>0.49887529697639621</c:v>
                </c:pt>
              </c:numCache>
            </c:numRef>
          </c:val>
          <c:smooth val="0"/>
        </c:ser>
        <c:dLbls>
          <c:showLegendKey val="0"/>
          <c:showVal val="0"/>
          <c:showCatName val="0"/>
          <c:showSerName val="0"/>
          <c:showPercent val="0"/>
          <c:showBubbleSize val="0"/>
        </c:dLbls>
        <c:marker val="1"/>
        <c:smooth val="0"/>
        <c:axId val="462050304"/>
        <c:axId val="253386752"/>
      </c:lineChart>
      <c:catAx>
        <c:axId val="462050304"/>
        <c:scaling>
          <c:orientation val="minMax"/>
        </c:scaling>
        <c:delete val="0"/>
        <c:axPos val="b"/>
        <c:majorTickMark val="none"/>
        <c:minorTickMark val="none"/>
        <c:tickLblPos val="nextTo"/>
        <c:crossAx val="253386752"/>
        <c:crosses val="autoZero"/>
        <c:auto val="1"/>
        <c:lblAlgn val="ctr"/>
        <c:lblOffset val="100"/>
        <c:noMultiLvlLbl val="0"/>
      </c:catAx>
      <c:valAx>
        <c:axId val="253386752"/>
        <c:scaling>
          <c:orientation val="minMax"/>
        </c:scaling>
        <c:delete val="0"/>
        <c:axPos val="l"/>
        <c:numFmt formatCode="0%" sourceLinked="0"/>
        <c:majorTickMark val="none"/>
        <c:minorTickMark val="none"/>
        <c:tickLblPos val="nextTo"/>
        <c:crossAx val="46205030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dobe Caslon Pro" pitchFamily="18"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71748013671467"/>
          <c:y val="4.5830834613165616E-2"/>
          <c:w val="0.77538155778065943"/>
          <c:h val="0.53267025832297277"/>
        </c:manualLayout>
      </c:layout>
      <c:lineChart>
        <c:grouping val="standard"/>
        <c:varyColors val="0"/>
        <c:ser>
          <c:idx val="0"/>
          <c:order val="0"/>
          <c:tx>
            <c:strRef>
              <c:f>'[CARACTERIZACION POBLACION (3).xlsx]Hoja4'!$N$15</c:f>
              <c:strCache>
                <c:ptCount val="1"/>
                <c:pt idx="0">
                  <c:v>Emocional</c:v>
                </c:pt>
              </c:strCache>
            </c:strRef>
          </c:tx>
          <c:cat>
            <c:strRef>
              <c:f>'[CARACTERIZACION POBLACION (3).xlsx]Hoja4'!$H$16:$H$25</c:f>
              <c:strCache>
                <c:ptCount val="10"/>
                <c:pt idx="0">
                  <c:v>15 a 19 años</c:v>
                </c:pt>
                <c:pt idx="1">
                  <c:v>20 a 24 años</c:v>
                </c:pt>
                <c:pt idx="2">
                  <c:v>25 a 29 años</c:v>
                </c:pt>
                <c:pt idx="3">
                  <c:v>30 a 34 años</c:v>
                </c:pt>
                <c:pt idx="4">
                  <c:v>35 a 39 años</c:v>
                </c:pt>
                <c:pt idx="5">
                  <c:v>40 a 44 años</c:v>
                </c:pt>
                <c:pt idx="6">
                  <c:v>45 a 49 años</c:v>
                </c:pt>
                <c:pt idx="7">
                  <c:v>50 a 54 años</c:v>
                </c:pt>
                <c:pt idx="8">
                  <c:v>55 a 59 años</c:v>
                </c:pt>
                <c:pt idx="9">
                  <c:v>60 o más años</c:v>
                </c:pt>
              </c:strCache>
            </c:strRef>
          </c:cat>
          <c:val>
            <c:numRef>
              <c:f>'[CARACTERIZACION POBLACION (3).xlsx]Hoja4'!$N$16:$N$25</c:f>
              <c:numCache>
                <c:formatCode>0.0%</c:formatCode>
                <c:ptCount val="10"/>
                <c:pt idx="0">
                  <c:v>0.4876502393143014</c:v>
                </c:pt>
                <c:pt idx="1">
                  <c:v>0.5635683848529347</c:v>
                </c:pt>
                <c:pt idx="2">
                  <c:v>0.55737440046302233</c:v>
                </c:pt>
                <c:pt idx="3">
                  <c:v>0.55877592867680337</c:v>
                </c:pt>
                <c:pt idx="4">
                  <c:v>0.55232034220468351</c:v>
                </c:pt>
                <c:pt idx="5">
                  <c:v>0.55486112238843255</c:v>
                </c:pt>
                <c:pt idx="6">
                  <c:v>0.53880373001751269</c:v>
                </c:pt>
                <c:pt idx="7">
                  <c:v>0.53482651750745624</c:v>
                </c:pt>
                <c:pt idx="8">
                  <c:v>0.50645689479836709</c:v>
                </c:pt>
                <c:pt idx="9">
                  <c:v>0.44008161871172335</c:v>
                </c:pt>
              </c:numCache>
            </c:numRef>
          </c:val>
          <c:smooth val="0"/>
        </c:ser>
        <c:ser>
          <c:idx val="1"/>
          <c:order val="1"/>
          <c:tx>
            <c:strRef>
              <c:f>'[CARACTERIZACION POBLACION (3).xlsx]Hoja4'!$O$15</c:f>
              <c:strCache>
                <c:ptCount val="1"/>
                <c:pt idx="0">
                  <c:v>Económica</c:v>
                </c:pt>
              </c:strCache>
            </c:strRef>
          </c:tx>
          <c:cat>
            <c:strRef>
              <c:f>'[CARACTERIZACION POBLACION (3).xlsx]Hoja4'!$H$16:$H$25</c:f>
              <c:strCache>
                <c:ptCount val="10"/>
                <c:pt idx="0">
                  <c:v>15 a 19 años</c:v>
                </c:pt>
                <c:pt idx="1">
                  <c:v>20 a 24 años</c:v>
                </c:pt>
                <c:pt idx="2">
                  <c:v>25 a 29 años</c:v>
                </c:pt>
                <c:pt idx="3">
                  <c:v>30 a 34 años</c:v>
                </c:pt>
                <c:pt idx="4">
                  <c:v>35 a 39 años</c:v>
                </c:pt>
                <c:pt idx="5">
                  <c:v>40 a 44 años</c:v>
                </c:pt>
                <c:pt idx="6">
                  <c:v>45 a 49 años</c:v>
                </c:pt>
                <c:pt idx="7">
                  <c:v>50 a 54 años</c:v>
                </c:pt>
                <c:pt idx="8">
                  <c:v>55 a 59 años</c:v>
                </c:pt>
                <c:pt idx="9">
                  <c:v>60 o más años</c:v>
                </c:pt>
              </c:strCache>
            </c:strRef>
          </c:cat>
          <c:val>
            <c:numRef>
              <c:f>'[CARACTERIZACION POBLACION (3).xlsx]Hoja4'!$O$16:$O$25</c:f>
              <c:numCache>
                <c:formatCode>0.0%</c:formatCode>
                <c:ptCount val="10"/>
                <c:pt idx="0">
                  <c:v>5.2926874206798438E-2</c:v>
                </c:pt>
                <c:pt idx="1">
                  <c:v>0.15899948046948992</c:v>
                </c:pt>
                <c:pt idx="2">
                  <c:v>0.22200206757839944</c:v>
                </c:pt>
                <c:pt idx="3">
                  <c:v>0.26203074565857437</c:v>
                </c:pt>
                <c:pt idx="4">
                  <c:v>0.28205931197889128</c:v>
                </c:pt>
                <c:pt idx="5">
                  <c:v>0.28568002248524405</c:v>
                </c:pt>
                <c:pt idx="6">
                  <c:v>0.29102130857134356</c:v>
                </c:pt>
                <c:pt idx="7">
                  <c:v>0.29692856650073768</c:v>
                </c:pt>
                <c:pt idx="8">
                  <c:v>0.29796507865417843</c:v>
                </c:pt>
                <c:pt idx="9">
                  <c:v>0.25234496630261322</c:v>
                </c:pt>
              </c:numCache>
            </c:numRef>
          </c:val>
          <c:smooth val="0"/>
        </c:ser>
        <c:ser>
          <c:idx val="2"/>
          <c:order val="2"/>
          <c:tx>
            <c:strRef>
              <c:f>'[CARACTERIZACION POBLACION (3).xlsx]Hoja4'!$P$15</c:f>
              <c:strCache>
                <c:ptCount val="1"/>
                <c:pt idx="0">
                  <c:v>Física</c:v>
                </c:pt>
              </c:strCache>
            </c:strRef>
          </c:tx>
          <c:cat>
            <c:strRef>
              <c:f>'[CARACTERIZACION POBLACION (3).xlsx]Hoja4'!$H$16:$H$25</c:f>
              <c:strCache>
                <c:ptCount val="10"/>
                <c:pt idx="0">
                  <c:v>15 a 19 años</c:v>
                </c:pt>
                <c:pt idx="1">
                  <c:v>20 a 24 años</c:v>
                </c:pt>
                <c:pt idx="2">
                  <c:v>25 a 29 años</c:v>
                </c:pt>
                <c:pt idx="3">
                  <c:v>30 a 34 años</c:v>
                </c:pt>
                <c:pt idx="4">
                  <c:v>35 a 39 años</c:v>
                </c:pt>
                <c:pt idx="5">
                  <c:v>40 a 44 años</c:v>
                </c:pt>
                <c:pt idx="6">
                  <c:v>45 a 49 años</c:v>
                </c:pt>
                <c:pt idx="7">
                  <c:v>50 a 54 años</c:v>
                </c:pt>
                <c:pt idx="8">
                  <c:v>55 a 59 años</c:v>
                </c:pt>
                <c:pt idx="9">
                  <c:v>60 o más años</c:v>
                </c:pt>
              </c:strCache>
            </c:strRef>
          </c:cat>
          <c:val>
            <c:numRef>
              <c:f>'[CARACTERIZACION POBLACION (3).xlsx]Hoja4'!$P$16:$P$25</c:f>
              <c:numCache>
                <c:formatCode>0.0%</c:formatCode>
                <c:ptCount val="10"/>
                <c:pt idx="0">
                  <c:v>7.8174076450753111E-2</c:v>
                </c:pt>
                <c:pt idx="1">
                  <c:v>0.12651836801235017</c:v>
                </c:pt>
                <c:pt idx="2">
                  <c:v>0.14473116305110484</c:v>
                </c:pt>
                <c:pt idx="3">
                  <c:v>0.16759426459749377</c:v>
                </c:pt>
                <c:pt idx="4">
                  <c:v>0.18569108660261396</c:v>
                </c:pt>
                <c:pt idx="5">
                  <c:v>0.19918378564067329</c:v>
                </c:pt>
                <c:pt idx="6">
                  <c:v>0.19937196794324974</c:v>
                </c:pt>
                <c:pt idx="7">
                  <c:v>0.21430679972828684</c:v>
                </c:pt>
                <c:pt idx="8">
                  <c:v>0.21860294072328562</c:v>
                </c:pt>
                <c:pt idx="9">
                  <c:v>0.19716476000004035</c:v>
                </c:pt>
              </c:numCache>
            </c:numRef>
          </c:val>
          <c:smooth val="0"/>
        </c:ser>
        <c:ser>
          <c:idx val="3"/>
          <c:order val="3"/>
          <c:tx>
            <c:strRef>
              <c:f>'[CARACTERIZACION POBLACION (3).xlsx]Hoja4'!$Q$15</c:f>
              <c:strCache>
                <c:ptCount val="1"/>
                <c:pt idx="0">
                  <c:v>Sexual</c:v>
                </c:pt>
              </c:strCache>
            </c:strRef>
          </c:tx>
          <c:cat>
            <c:strRef>
              <c:f>'[CARACTERIZACION POBLACION (3).xlsx]Hoja4'!$H$16:$H$25</c:f>
              <c:strCache>
                <c:ptCount val="10"/>
                <c:pt idx="0">
                  <c:v>15 a 19 años</c:v>
                </c:pt>
                <c:pt idx="1">
                  <c:v>20 a 24 años</c:v>
                </c:pt>
                <c:pt idx="2">
                  <c:v>25 a 29 años</c:v>
                </c:pt>
                <c:pt idx="3">
                  <c:v>30 a 34 años</c:v>
                </c:pt>
                <c:pt idx="4">
                  <c:v>35 a 39 años</c:v>
                </c:pt>
                <c:pt idx="5">
                  <c:v>40 a 44 años</c:v>
                </c:pt>
                <c:pt idx="6">
                  <c:v>45 a 49 años</c:v>
                </c:pt>
                <c:pt idx="7">
                  <c:v>50 a 54 años</c:v>
                </c:pt>
                <c:pt idx="8">
                  <c:v>55 a 59 años</c:v>
                </c:pt>
                <c:pt idx="9">
                  <c:v>60 o más años</c:v>
                </c:pt>
              </c:strCache>
            </c:strRef>
          </c:cat>
          <c:val>
            <c:numRef>
              <c:f>'[CARACTERIZACION POBLACION (3).xlsx]Hoja4'!$Q$16:$Q$25</c:f>
              <c:numCache>
                <c:formatCode>0.0%</c:formatCode>
                <c:ptCount val="10"/>
                <c:pt idx="0">
                  <c:v>0.19370454488334252</c:v>
                </c:pt>
                <c:pt idx="1">
                  <c:v>0.26052962877017444</c:v>
                </c:pt>
                <c:pt idx="2">
                  <c:v>0.27177021885996949</c:v>
                </c:pt>
                <c:pt idx="3">
                  <c:v>0.27372975254577114</c:v>
                </c:pt>
                <c:pt idx="4">
                  <c:v>0.27994857418080199</c:v>
                </c:pt>
                <c:pt idx="5">
                  <c:v>0.28074750944692545</c:v>
                </c:pt>
                <c:pt idx="6">
                  <c:v>0.26867640293193906</c:v>
                </c:pt>
                <c:pt idx="7">
                  <c:v>0.2733457072502839</c:v>
                </c:pt>
                <c:pt idx="8">
                  <c:v>0.2393219531136043</c:v>
                </c:pt>
                <c:pt idx="9">
                  <c:v>0.1756478178475292</c:v>
                </c:pt>
              </c:numCache>
            </c:numRef>
          </c:val>
          <c:smooth val="0"/>
        </c:ser>
        <c:dLbls>
          <c:showLegendKey val="0"/>
          <c:showVal val="0"/>
          <c:showCatName val="0"/>
          <c:showSerName val="0"/>
          <c:showPercent val="0"/>
          <c:showBubbleSize val="0"/>
        </c:dLbls>
        <c:marker val="1"/>
        <c:smooth val="0"/>
        <c:axId val="304144896"/>
        <c:axId val="253388480"/>
      </c:lineChart>
      <c:catAx>
        <c:axId val="304144896"/>
        <c:scaling>
          <c:orientation val="minMax"/>
        </c:scaling>
        <c:delete val="0"/>
        <c:axPos val="b"/>
        <c:majorTickMark val="none"/>
        <c:minorTickMark val="none"/>
        <c:tickLblPos val="nextTo"/>
        <c:crossAx val="253388480"/>
        <c:crosses val="autoZero"/>
        <c:auto val="1"/>
        <c:lblAlgn val="ctr"/>
        <c:lblOffset val="100"/>
        <c:noMultiLvlLbl val="0"/>
      </c:catAx>
      <c:valAx>
        <c:axId val="253388480"/>
        <c:scaling>
          <c:orientation val="minMax"/>
        </c:scaling>
        <c:delete val="0"/>
        <c:axPos val="l"/>
        <c:numFmt formatCode="0.0%" sourceLinked="1"/>
        <c:majorTickMark val="none"/>
        <c:minorTickMark val="none"/>
        <c:tickLblPos val="nextTo"/>
        <c:crossAx val="30414489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00">
          <a:latin typeface="Adobe Caslon Pro" pitchFamily="18"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6.0981912144702839E-2"/>
          <c:y val="1.3277908789320113E-3"/>
          <c:w val="0.93888888888888888"/>
          <c:h val="0.71388706620005837"/>
        </c:manualLayout>
      </c:layout>
      <c:barChart>
        <c:barDir val="col"/>
        <c:grouping val="stacked"/>
        <c:varyColors val="0"/>
        <c:ser>
          <c:idx val="0"/>
          <c:order val="0"/>
          <c:tx>
            <c:strRef>
              <c:f>Hoja7!$G$2</c:f>
              <c:strCache>
                <c:ptCount val="1"/>
                <c:pt idx="0">
                  <c:v>Sin instrucción, primaria incompleta y completa</c:v>
                </c:pt>
              </c:strCache>
            </c:strRef>
          </c:tx>
          <c:invertIfNegative val="0"/>
          <c:cat>
            <c:strRef>
              <c:f>Hoja7!$H$1:$I$1</c:f>
              <c:strCache>
                <c:ptCount val="2"/>
                <c:pt idx="0">
                  <c:v>Sin violencia</c:v>
                </c:pt>
                <c:pt idx="1">
                  <c:v>Con violencia</c:v>
                </c:pt>
              </c:strCache>
            </c:strRef>
          </c:cat>
          <c:val>
            <c:numRef>
              <c:f>Hoja7!$H$2:$I$2</c:f>
              <c:numCache>
                <c:formatCode>0.0%</c:formatCode>
                <c:ptCount val="2"/>
                <c:pt idx="0">
                  <c:v>0.44721768490287311</c:v>
                </c:pt>
                <c:pt idx="1">
                  <c:v>0.36268817737281178</c:v>
                </c:pt>
              </c:numCache>
            </c:numRef>
          </c:val>
        </c:ser>
        <c:ser>
          <c:idx val="1"/>
          <c:order val="1"/>
          <c:tx>
            <c:strRef>
              <c:f>Hoja7!$G$3</c:f>
              <c:strCache>
                <c:ptCount val="1"/>
                <c:pt idx="0">
                  <c:v>Secundaria y media superior</c:v>
                </c:pt>
              </c:strCache>
            </c:strRef>
          </c:tx>
          <c:invertIfNegative val="0"/>
          <c:cat>
            <c:strRef>
              <c:f>Hoja7!$H$1:$I$1</c:f>
              <c:strCache>
                <c:ptCount val="2"/>
                <c:pt idx="0">
                  <c:v>Sin violencia</c:v>
                </c:pt>
                <c:pt idx="1">
                  <c:v>Con violencia</c:v>
                </c:pt>
              </c:strCache>
            </c:strRef>
          </c:cat>
          <c:val>
            <c:numRef>
              <c:f>Hoja7!$H$3:$I$3</c:f>
              <c:numCache>
                <c:formatCode>0.0%</c:formatCode>
                <c:ptCount val="2"/>
                <c:pt idx="0">
                  <c:v>0.42054986594969579</c:v>
                </c:pt>
                <c:pt idx="1">
                  <c:v>0.47555882650851156</c:v>
                </c:pt>
              </c:numCache>
            </c:numRef>
          </c:val>
        </c:ser>
        <c:ser>
          <c:idx val="2"/>
          <c:order val="2"/>
          <c:tx>
            <c:strRef>
              <c:f>Hoja7!$G$4</c:f>
              <c:strCache>
                <c:ptCount val="1"/>
                <c:pt idx="0">
                  <c:v>Superior y posgrado</c:v>
                </c:pt>
              </c:strCache>
            </c:strRef>
          </c:tx>
          <c:invertIfNegative val="0"/>
          <c:cat>
            <c:strRef>
              <c:f>Hoja7!$H$1:$I$1</c:f>
              <c:strCache>
                <c:ptCount val="2"/>
                <c:pt idx="0">
                  <c:v>Sin violencia</c:v>
                </c:pt>
                <c:pt idx="1">
                  <c:v>Con violencia</c:v>
                </c:pt>
              </c:strCache>
            </c:strRef>
          </c:cat>
          <c:val>
            <c:numRef>
              <c:f>Hoja7!$H$4:$I$4</c:f>
              <c:numCache>
                <c:formatCode>0.0%</c:formatCode>
                <c:ptCount val="2"/>
                <c:pt idx="0">
                  <c:v>0.13223244914743104</c:v>
                </c:pt>
                <c:pt idx="1">
                  <c:v>0.16175299611867669</c:v>
                </c:pt>
              </c:numCache>
            </c:numRef>
          </c:val>
        </c:ser>
        <c:dLbls>
          <c:showLegendKey val="0"/>
          <c:showVal val="1"/>
          <c:showCatName val="0"/>
          <c:showSerName val="0"/>
          <c:showPercent val="0"/>
          <c:showBubbleSize val="0"/>
        </c:dLbls>
        <c:gapWidth val="95"/>
        <c:overlap val="100"/>
        <c:axId val="304145920"/>
        <c:axId val="253390208"/>
      </c:barChart>
      <c:catAx>
        <c:axId val="304145920"/>
        <c:scaling>
          <c:orientation val="minMax"/>
        </c:scaling>
        <c:delete val="0"/>
        <c:axPos val="b"/>
        <c:numFmt formatCode="General" sourceLinked="0"/>
        <c:majorTickMark val="none"/>
        <c:minorTickMark val="none"/>
        <c:tickLblPos val="nextTo"/>
        <c:crossAx val="253390208"/>
        <c:crosses val="autoZero"/>
        <c:auto val="1"/>
        <c:lblAlgn val="ctr"/>
        <c:lblOffset val="100"/>
        <c:noMultiLvlLbl val="0"/>
      </c:catAx>
      <c:valAx>
        <c:axId val="253390208"/>
        <c:scaling>
          <c:orientation val="minMax"/>
        </c:scaling>
        <c:delete val="1"/>
        <c:axPos val="l"/>
        <c:numFmt formatCode="0.0%" sourceLinked="1"/>
        <c:majorTickMark val="none"/>
        <c:minorTickMark val="none"/>
        <c:tickLblPos val="nextTo"/>
        <c:crossAx val="304145920"/>
        <c:crosses val="autoZero"/>
        <c:crossBetween val="between"/>
      </c:valAx>
    </c:plotArea>
    <c:legend>
      <c:legendPos val="t"/>
      <c:layout>
        <c:manualLayout>
          <c:xMode val="edge"/>
          <c:yMode val="edge"/>
          <c:x val="0"/>
          <c:y val="0.81944444444444442"/>
          <c:w val="1"/>
          <c:h val="0.16550342665500145"/>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2.2222222222222223E-2"/>
          <c:y val="8.6799722951297745E-2"/>
          <c:w val="0.93888888888888888"/>
          <c:h val="0.6212944736074657"/>
        </c:manualLayout>
      </c:layout>
      <c:barChart>
        <c:barDir val="col"/>
        <c:grouping val="percentStacked"/>
        <c:varyColors val="0"/>
        <c:ser>
          <c:idx val="0"/>
          <c:order val="0"/>
          <c:tx>
            <c:strRef>
              <c:f>Hoja7!$G$10</c:f>
              <c:strCache>
                <c:ptCount val="1"/>
                <c:pt idx="0">
                  <c:v>Sin instrucción, primaria incompleta y completa</c:v>
                </c:pt>
              </c:strCache>
            </c:strRef>
          </c:tx>
          <c:invertIfNegative val="0"/>
          <c:cat>
            <c:strRef>
              <c:f>Hoja7!$H$9:$K$9</c:f>
              <c:strCache>
                <c:ptCount val="4"/>
                <c:pt idx="0">
                  <c:v>Emocional</c:v>
                </c:pt>
                <c:pt idx="1">
                  <c:v>Económica</c:v>
                </c:pt>
                <c:pt idx="2">
                  <c:v>Física</c:v>
                </c:pt>
                <c:pt idx="3">
                  <c:v>Sexual</c:v>
                </c:pt>
              </c:strCache>
            </c:strRef>
          </c:cat>
          <c:val>
            <c:numRef>
              <c:f>Hoja7!$H$10:$K$10</c:f>
              <c:numCache>
                <c:formatCode>0.0%</c:formatCode>
                <c:ptCount val="4"/>
                <c:pt idx="0">
                  <c:v>0.36057564500963862</c:v>
                </c:pt>
                <c:pt idx="1">
                  <c:v>0.44718035448349758</c:v>
                </c:pt>
                <c:pt idx="2">
                  <c:v>0.48740269133461128</c:v>
                </c:pt>
                <c:pt idx="3">
                  <c:v>0.31193324878900897</c:v>
                </c:pt>
              </c:numCache>
            </c:numRef>
          </c:val>
        </c:ser>
        <c:ser>
          <c:idx val="1"/>
          <c:order val="1"/>
          <c:tx>
            <c:strRef>
              <c:f>Hoja7!$G$11</c:f>
              <c:strCache>
                <c:ptCount val="1"/>
                <c:pt idx="0">
                  <c:v>Secundaria y media superior</c:v>
                </c:pt>
              </c:strCache>
            </c:strRef>
          </c:tx>
          <c:invertIfNegative val="0"/>
          <c:cat>
            <c:strRef>
              <c:f>Hoja7!$H$9:$K$9</c:f>
              <c:strCache>
                <c:ptCount val="4"/>
                <c:pt idx="0">
                  <c:v>Emocional</c:v>
                </c:pt>
                <c:pt idx="1">
                  <c:v>Económica</c:v>
                </c:pt>
                <c:pt idx="2">
                  <c:v>Física</c:v>
                </c:pt>
                <c:pt idx="3">
                  <c:v>Sexual</c:v>
                </c:pt>
              </c:strCache>
            </c:strRef>
          </c:cat>
          <c:val>
            <c:numRef>
              <c:f>Hoja7!$H$11:$K$11</c:f>
              <c:numCache>
                <c:formatCode>0.0%</c:formatCode>
                <c:ptCount val="4"/>
                <c:pt idx="0">
                  <c:v>0.47559832133113711</c:v>
                </c:pt>
                <c:pt idx="1">
                  <c:v>0.4568669695580449</c:v>
                </c:pt>
                <c:pt idx="2">
                  <c:v>0.41675238940600989</c:v>
                </c:pt>
                <c:pt idx="3">
                  <c:v>0.49204151139103797</c:v>
                </c:pt>
              </c:numCache>
            </c:numRef>
          </c:val>
        </c:ser>
        <c:ser>
          <c:idx val="2"/>
          <c:order val="2"/>
          <c:tx>
            <c:strRef>
              <c:f>Hoja7!$G$12</c:f>
              <c:strCache>
                <c:ptCount val="1"/>
                <c:pt idx="0">
                  <c:v>Superior y posgrado</c:v>
                </c:pt>
              </c:strCache>
            </c:strRef>
          </c:tx>
          <c:invertIfNegative val="0"/>
          <c:cat>
            <c:strRef>
              <c:f>Hoja7!$H$9:$K$9</c:f>
              <c:strCache>
                <c:ptCount val="4"/>
                <c:pt idx="0">
                  <c:v>Emocional</c:v>
                </c:pt>
                <c:pt idx="1">
                  <c:v>Económica</c:v>
                </c:pt>
                <c:pt idx="2">
                  <c:v>Física</c:v>
                </c:pt>
                <c:pt idx="3">
                  <c:v>Sexual</c:v>
                </c:pt>
              </c:strCache>
            </c:strRef>
          </c:cat>
          <c:val>
            <c:numRef>
              <c:f>Hoja7!$H$12:$K$12</c:f>
              <c:numCache>
                <c:formatCode>0.0%</c:formatCode>
                <c:ptCount val="4"/>
                <c:pt idx="0">
                  <c:v>0.16382603365922427</c:v>
                </c:pt>
                <c:pt idx="1">
                  <c:v>9.5952675958457523E-2</c:v>
                </c:pt>
                <c:pt idx="2">
                  <c:v>9.5844919259378838E-2</c:v>
                </c:pt>
                <c:pt idx="3">
                  <c:v>0.19602523981995307</c:v>
                </c:pt>
              </c:numCache>
            </c:numRef>
          </c:val>
        </c:ser>
        <c:dLbls>
          <c:showLegendKey val="0"/>
          <c:showVal val="1"/>
          <c:showCatName val="0"/>
          <c:showSerName val="0"/>
          <c:showPercent val="0"/>
          <c:showBubbleSize val="0"/>
        </c:dLbls>
        <c:gapWidth val="95"/>
        <c:overlap val="100"/>
        <c:axId val="304146432"/>
        <c:axId val="253391936"/>
      </c:barChart>
      <c:catAx>
        <c:axId val="304146432"/>
        <c:scaling>
          <c:orientation val="minMax"/>
        </c:scaling>
        <c:delete val="0"/>
        <c:axPos val="b"/>
        <c:numFmt formatCode="General" sourceLinked="0"/>
        <c:majorTickMark val="none"/>
        <c:minorTickMark val="none"/>
        <c:tickLblPos val="nextTo"/>
        <c:crossAx val="253391936"/>
        <c:crosses val="autoZero"/>
        <c:auto val="1"/>
        <c:lblAlgn val="ctr"/>
        <c:lblOffset val="100"/>
        <c:noMultiLvlLbl val="0"/>
      </c:catAx>
      <c:valAx>
        <c:axId val="253391936"/>
        <c:scaling>
          <c:orientation val="minMax"/>
        </c:scaling>
        <c:delete val="1"/>
        <c:axPos val="l"/>
        <c:numFmt formatCode="0%" sourceLinked="1"/>
        <c:majorTickMark val="none"/>
        <c:minorTickMark val="none"/>
        <c:tickLblPos val="nextTo"/>
        <c:crossAx val="304146432"/>
        <c:crosses val="autoZero"/>
        <c:crossBetween val="between"/>
      </c:valAx>
    </c:plotArea>
    <c:legend>
      <c:legendPos val="t"/>
      <c:layout>
        <c:manualLayout>
          <c:xMode val="edge"/>
          <c:yMode val="edge"/>
          <c:x val="0"/>
          <c:y val="0.81944444444444442"/>
          <c:w val="1"/>
          <c:h val="0.17939231554389035"/>
        </c:manualLayout>
      </c:layout>
      <c:overlay val="0"/>
    </c:legend>
    <c:plotVisOnly val="1"/>
    <c:dispBlanksAs val="gap"/>
    <c:showDLblsOverMax val="0"/>
  </c:chart>
  <c:txPr>
    <a:bodyPr/>
    <a:lstStyle/>
    <a:p>
      <a:pPr>
        <a:defRPr sz="900">
          <a:latin typeface="Adobe Caslon Pro" pitchFamily="18" charset="0"/>
        </a:defRPr>
      </a:pPr>
      <a:endParaRPr lang="es-MX"/>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5.5555555555555558E-3"/>
          <c:y val="9.1313794109069715E-2"/>
          <c:w val="0.93888888888888888"/>
          <c:h val="0.60289151356080495"/>
        </c:manualLayout>
      </c:layout>
      <c:barChart>
        <c:barDir val="col"/>
        <c:grouping val="percentStacked"/>
        <c:varyColors val="0"/>
        <c:ser>
          <c:idx val="0"/>
          <c:order val="0"/>
          <c:tx>
            <c:strRef>
              <c:f>Hoja8!$K$2</c:f>
              <c:strCache>
                <c:ptCount val="1"/>
                <c:pt idx="0">
                  <c:v>No económicamente activa, dedicadas a los que haceres del hogar</c:v>
                </c:pt>
              </c:strCache>
            </c:strRef>
          </c:tx>
          <c:invertIfNegative val="0"/>
          <c:cat>
            <c:strRef>
              <c:f>Hoja8!$L$1:$M$1</c:f>
              <c:strCache>
                <c:ptCount val="2"/>
                <c:pt idx="0">
                  <c:v>Sin violencia</c:v>
                </c:pt>
                <c:pt idx="1">
                  <c:v>Con violencia</c:v>
                </c:pt>
              </c:strCache>
            </c:strRef>
          </c:cat>
          <c:val>
            <c:numRef>
              <c:f>Hoja8!$L$2:$M$2</c:f>
              <c:numCache>
                <c:formatCode>0.0%</c:formatCode>
                <c:ptCount val="2"/>
                <c:pt idx="0">
                  <c:v>0.49365112395757288</c:v>
                </c:pt>
                <c:pt idx="1">
                  <c:v>0.41842642554555398</c:v>
                </c:pt>
              </c:numCache>
            </c:numRef>
          </c:val>
        </c:ser>
        <c:ser>
          <c:idx val="1"/>
          <c:order val="1"/>
          <c:tx>
            <c:strRef>
              <c:f>Hoja8!$K$3</c:f>
              <c:strCache>
                <c:ptCount val="1"/>
                <c:pt idx="0">
                  <c:v>Económicamente activas</c:v>
                </c:pt>
              </c:strCache>
            </c:strRef>
          </c:tx>
          <c:invertIfNegative val="0"/>
          <c:cat>
            <c:strRef>
              <c:f>Hoja8!$L$1:$M$1</c:f>
              <c:strCache>
                <c:ptCount val="2"/>
                <c:pt idx="0">
                  <c:v>Sin violencia</c:v>
                </c:pt>
                <c:pt idx="1">
                  <c:v>Con violencia</c:v>
                </c:pt>
              </c:strCache>
            </c:strRef>
          </c:cat>
          <c:val>
            <c:numRef>
              <c:f>Hoja8!$L$3:$M$3</c:f>
              <c:numCache>
                <c:formatCode>0.0%</c:formatCode>
                <c:ptCount val="2"/>
                <c:pt idx="0">
                  <c:v>0.37499456914931495</c:v>
                </c:pt>
                <c:pt idx="1">
                  <c:v>0.46711041608877729</c:v>
                </c:pt>
              </c:numCache>
            </c:numRef>
          </c:val>
        </c:ser>
        <c:ser>
          <c:idx val="2"/>
          <c:order val="2"/>
          <c:tx>
            <c:strRef>
              <c:f>Hoja8!$K$4</c:f>
              <c:strCache>
                <c:ptCount val="1"/>
                <c:pt idx="0">
                  <c:v>No económicamente activa, dedicadas a otras actividades</c:v>
                </c:pt>
              </c:strCache>
            </c:strRef>
          </c:tx>
          <c:invertIfNegative val="0"/>
          <c:cat>
            <c:strRef>
              <c:f>Hoja8!$L$1:$M$1</c:f>
              <c:strCache>
                <c:ptCount val="2"/>
                <c:pt idx="0">
                  <c:v>Sin violencia</c:v>
                </c:pt>
                <c:pt idx="1">
                  <c:v>Con violencia</c:v>
                </c:pt>
              </c:strCache>
            </c:strRef>
          </c:cat>
          <c:val>
            <c:numRef>
              <c:f>Hoja8!$L$4:$M$4</c:f>
              <c:numCache>
                <c:formatCode>0.0%</c:formatCode>
                <c:ptCount val="2"/>
                <c:pt idx="0">
                  <c:v>0.13135430689311217</c:v>
                </c:pt>
                <c:pt idx="1">
                  <c:v>0.1144631583656687</c:v>
                </c:pt>
              </c:numCache>
            </c:numRef>
          </c:val>
        </c:ser>
        <c:dLbls>
          <c:showLegendKey val="0"/>
          <c:showVal val="1"/>
          <c:showCatName val="0"/>
          <c:showSerName val="0"/>
          <c:showPercent val="0"/>
          <c:showBubbleSize val="0"/>
        </c:dLbls>
        <c:gapWidth val="95"/>
        <c:overlap val="100"/>
        <c:axId val="304816128"/>
        <c:axId val="253393664"/>
      </c:barChart>
      <c:catAx>
        <c:axId val="304816128"/>
        <c:scaling>
          <c:orientation val="minMax"/>
        </c:scaling>
        <c:delete val="0"/>
        <c:axPos val="b"/>
        <c:numFmt formatCode="General" sourceLinked="0"/>
        <c:majorTickMark val="none"/>
        <c:minorTickMark val="none"/>
        <c:tickLblPos val="nextTo"/>
        <c:crossAx val="253393664"/>
        <c:crosses val="autoZero"/>
        <c:auto val="1"/>
        <c:lblAlgn val="ctr"/>
        <c:lblOffset val="100"/>
        <c:noMultiLvlLbl val="0"/>
      </c:catAx>
      <c:valAx>
        <c:axId val="253393664"/>
        <c:scaling>
          <c:orientation val="minMax"/>
        </c:scaling>
        <c:delete val="1"/>
        <c:axPos val="l"/>
        <c:numFmt formatCode="0%" sourceLinked="1"/>
        <c:majorTickMark val="out"/>
        <c:minorTickMark val="none"/>
        <c:tickLblPos val="nextTo"/>
        <c:crossAx val="304816128"/>
        <c:crosses val="autoZero"/>
        <c:crossBetween val="between"/>
      </c:valAx>
    </c:plotArea>
    <c:legend>
      <c:legendPos val="t"/>
      <c:layout>
        <c:manualLayout>
          <c:xMode val="edge"/>
          <c:yMode val="edge"/>
          <c:x val="0"/>
          <c:y val="0.80081036745406819"/>
          <c:w val="0.99318285214348212"/>
          <c:h val="0.19791083406240886"/>
        </c:manualLayout>
      </c:layout>
      <c:overlay val="0"/>
      <c:txPr>
        <a:bodyPr/>
        <a:lstStyle/>
        <a:p>
          <a:pPr>
            <a:defRPr sz="800"/>
          </a:pPr>
          <a:endParaRPr lang="es-MX"/>
        </a:p>
      </c:txPr>
    </c:legend>
    <c:plotVisOnly val="1"/>
    <c:dispBlanksAs val="gap"/>
    <c:showDLblsOverMax val="0"/>
  </c:chart>
  <c:txPr>
    <a:bodyPr/>
    <a:lstStyle/>
    <a:p>
      <a:pPr>
        <a:defRPr>
          <a:latin typeface="Adobe Caslon Pro" pitchFamily="18" charset="0"/>
        </a:defRPr>
      </a:pPr>
      <a:endParaRPr lang="es-MX"/>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5.4200542005420054E-3"/>
          <c:y val="9.2992293160807135E-2"/>
          <c:w val="0.99457994579945797"/>
          <c:h val="0.6530738460931248"/>
        </c:manualLayout>
      </c:layout>
      <c:barChart>
        <c:barDir val="col"/>
        <c:grouping val="percentStacked"/>
        <c:varyColors val="0"/>
        <c:ser>
          <c:idx val="0"/>
          <c:order val="0"/>
          <c:tx>
            <c:strRef>
              <c:f>Hoja8!$H$21</c:f>
              <c:strCache>
                <c:ptCount val="1"/>
                <c:pt idx="0">
                  <c:v>No económicamente activa, dedicadas a los que haceres del hogar</c:v>
                </c:pt>
              </c:strCache>
            </c:strRef>
          </c:tx>
          <c:invertIfNegative val="0"/>
          <c:cat>
            <c:strRef>
              <c:f>Hoja8!$I$20:$L$20</c:f>
              <c:strCache>
                <c:ptCount val="4"/>
                <c:pt idx="0">
                  <c:v>Emocional</c:v>
                </c:pt>
                <c:pt idx="1">
                  <c:v>Económica</c:v>
                </c:pt>
                <c:pt idx="2">
                  <c:v>Física</c:v>
                </c:pt>
                <c:pt idx="3">
                  <c:v>Sexual</c:v>
                </c:pt>
              </c:strCache>
            </c:strRef>
          </c:cat>
          <c:val>
            <c:numRef>
              <c:f>Hoja8!$I$21:$L$21</c:f>
              <c:numCache>
                <c:formatCode>0.0%</c:formatCode>
                <c:ptCount val="4"/>
                <c:pt idx="0">
                  <c:v>0.40920896182860922</c:v>
                </c:pt>
                <c:pt idx="1">
                  <c:v>0.49347157410605275</c:v>
                </c:pt>
                <c:pt idx="2">
                  <c:v>0.43769476147910646</c:v>
                </c:pt>
                <c:pt idx="3">
                  <c:v>0.36204212904676153</c:v>
                </c:pt>
              </c:numCache>
            </c:numRef>
          </c:val>
        </c:ser>
        <c:ser>
          <c:idx val="1"/>
          <c:order val="1"/>
          <c:tx>
            <c:strRef>
              <c:f>Hoja8!$H$22</c:f>
              <c:strCache>
                <c:ptCount val="1"/>
                <c:pt idx="0">
                  <c:v>Económicamente activas</c:v>
                </c:pt>
              </c:strCache>
            </c:strRef>
          </c:tx>
          <c:invertIfNegative val="0"/>
          <c:cat>
            <c:strRef>
              <c:f>Hoja8!$I$20:$L$20</c:f>
              <c:strCache>
                <c:ptCount val="4"/>
                <c:pt idx="0">
                  <c:v>Emocional</c:v>
                </c:pt>
                <c:pt idx="1">
                  <c:v>Económica</c:v>
                </c:pt>
                <c:pt idx="2">
                  <c:v>Física</c:v>
                </c:pt>
                <c:pt idx="3">
                  <c:v>Sexual</c:v>
                </c:pt>
              </c:strCache>
            </c:strRef>
          </c:cat>
          <c:val>
            <c:numRef>
              <c:f>Hoja8!$I$22:$L$22</c:f>
              <c:numCache>
                <c:formatCode>0.0%</c:formatCode>
                <c:ptCount val="4"/>
                <c:pt idx="0">
                  <c:v>0.47397324479369218</c:v>
                </c:pt>
                <c:pt idx="1">
                  <c:v>0.46563204913416079</c:v>
                </c:pt>
                <c:pt idx="2">
                  <c:v>0.49609843785532715</c:v>
                </c:pt>
                <c:pt idx="3">
                  <c:v>0.52929922592474832</c:v>
                </c:pt>
              </c:numCache>
            </c:numRef>
          </c:val>
        </c:ser>
        <c:ser>
          <c:idx val="2"/>
          <c:order val="2"/>
          <c:tx>
            <c:strRef>
              <c:f>Hoja8!$H$23</c:f>
              <c:strCache>
                <c:ptCount val="1"/>
                <c:pt idx="0">
                  <c:v>No económicamente activa, dedicadas a otras actividades</c:v>
                </c:pt>
              </c:strCache>
            </c:strRef>
          </c:tx>
          <c:invertIfNegative val="0"/>
          <c:cat>
            <c:strRef>
              <c:f>Hoja8!$I$20:$L$20</c:f>
              <c:strCache>
                <c:ptCount val="4"/>
                <c:pt idx="0">
                  <c:v>Emocional</c:v>
                </c:pt>
                <c:pt idx="1">
                  <c:v>Económica</c:v>
                </c:pt>
                <c:pt idx="2">
                  <c:v>Física</c:v>
                </c:pt>
                <c:pt idx="3">
                  <c:v>Sexual</c:v>
                </c:pt>
              </c:strCache>
            </c:strRef>
          </c:cat>
          <c:val>
            <c:numRef>
              <c:f>Hoja8!$I$23:$L$23</c:f>
              <c:numCache>
                <c:formatCode>0.0%</c:formatCode>
                <c:ptCount val="4"/>
                <c:pt idx="0">
                  <c:v>0.11681779337769861</c:v>
                </c:pt>
                <c:pt idx="1">
                  <c:v>4.0896376759786482E-2</c:v>
                </c:pt>
                <c:pt idx="2">
                  <c:v>6.620680066556639E-2</c:v>
                </c:pt>
                <c:pt idx="3">
                  <c:v>0.10865864502849017</c:v>
                </c:pt>
              </c:numCache>
            </c:numRef>
          </c:val>
        </c:ser>
        <c:dLbls>
          <c:showLegendKey val="0"/>
          <c:showVal val="1"/>
          <c:showCatName val="0"/>
          <c:showSerName val="0"/>
          <c:showPercent val="0"/>
          <c:showBubbleSize val="0"/>
        </c:dLbls>
        <c:gapWidth val="95"/>
        <c:overlap val="100"/>
        <c:axId val="304818688"/>
        <c:axId val="374788608"/>
      </c:barChart>
      <c:catAx>
        <c:axId val="304818688"/>
        <c:scaling>
          <c:orientation val="minMax"/>
        </c:scaling>
        <c:delete val="0"/>
        <c:axPos val="b"/>
        <c:numFmt formatCode="General" sourceLinked="0"/>
        <c:majorTickMark val="none"/>
        <c:minorTickMark val="none"/>
        <c:tickLblPos val="nextTo"/>
        <c:crossAx val="374788608"/>
        <c:crosses val="autoZero"/>
        <c:auto val="1"/>
        <c:lblAlgn val="ctr"/>
        <c:lblOffset val="100"/>
        <c:noMultiLvlLbl val="0"/>
      </c:catAx>
      <c:valAx>
        <c:axId val="374788608"/>
        <c:scaling>
          <c:orientation val="minMax"/>
        </c:scaling>
        <c:delete val="1"/>
        <c:axPos val="l"/>
        <c:numFmt formatCode="0%" sourceLinked="1"/>
        <c:majorTickMark val="out"/>
        <c:minorTickMark val="none"/>
        <c:tickLblPos val="nextTo"/>
        <c:crossAx val="304818688"/>
        <c:crosses val="autoZero"/>
        <c:crossBetween val="between"/>
      </c:valAx>
    </c:plotArea>
    <c:legend>
      <c:legendPos val="t"/>
      <c:layout>
        <c:manualLayout>
          <c:xMode val="edge"/>
          <c:yMode val="edge"/>
          <c:x val="0"/>
          <c:y val="0.83796296296296291"/>
          <c:w val="1"/>
          <c:h val="0.16087379702537183"/>
        </c:manualLayout>
      </c:layout>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2.4931478588375043E-2"/>
          <c:y val="8.3675183837301798E-2"/>
          <c:w val="0.95013704282324996"/>
          <c:h val="0.7438003099805105"/>
        </c:manualLayout>
      </c:layout>
      <c:barChart>
        <c:barDir val="col"/>
        <c:grouping val="percentStacked"/>
        <c:varyColors val="0"/>
        <c:ser>
          <c:idx val="0"/>
          <c:order val="0"/>
          <c:tx>
            <c:strRef>
              <c:f>'[CARACTERIZACION POBLACION (3).xlsx]Hoja9'!$I$2</c:f>
              <c:strCache>
                <c:ptCount val="1"/>
                <c:pt idx="0">
                  <c:v>Empleada u obrera</c:v>
                </c:pt>
              </c:strCache>
            </c:strRef>
          </c:tx>
          <c:invertIfNegative val="0"/>
          <c:cat>
            <c:strRef>
              <c:f>'[CARACTERIZACION POBLACION (3).xlsx]Hoja9'!$J$1:$K$1</c:f>
              <c:strCache>
                <c:ptCount val="2"/>
                <c:pt idx="0">
                  <c:v>Sin violencia</c:v>
                </c:pt>
                <c:pt idx="1">
                  <c:v>Con violencia</c:v>
                </c:pt>
              </c:strCache>
            </c:strRef>
          </c:cat>
          <c:val>
            <c:numRef>
              <c:f>'[CARACTERIZACION POBLACION (3).xlsx]Hoja9'!$J$2:$K$2</c:f>
              <c:numCache>
                <c:formatCode>0.0%</c:formatCode>
                <c:ptCount val="2"/>
                <c:pt idx="0">
                  <c:v>0.60430747035950572</c:v>
                </c:pt>
                <c:pt idx="1">
                  <c:v>0.61828442580312537</c:v>
                </c:pt>
              </c:numCache>
            </c:numRef>
          </c:val>
        </c:ser>
        <c:ser>
          <c:idx val="1"/>
          <c:order val="1"/>
          <c:tx>
            <c:strRef>
              <c:f>'[CARACTERIZACION POBLACION (3).xlsx]Hoja9'!$I$3</c:f>
              <c:strCache>
                <c:ptCount val="1"/>
                <c:pt idx="0">
                  <c:v>Trabajadora por su cuenta</c:v>
                </c:pt>
              </c:strCache>
            </c:strRef>
          </c:tx>
          <c:invertIfNegative val="0"/>
          <c:cat>
            <c:strRef>
              <c:f>'[CARACTERIZACION POBLACION (3).xlsx]Hoja9'!$J$1:$K$1</c:f>
              <c:strCache>
                <c:ptCount val="2"/>
                <c:pt idx="0">
                  <c:v>Sin violencia</c:v>
                </c:pt>
                <c:pt idx="1">
                  <c:v>Con violencia</c:v>
                </c:pt>
              </c:strCache>
            </c:strRef>
          </c:cat>
          <c:val>
            <c:numRef>
              <c:f>'[CARACTERIZACION POBLACION (3).xlsx]Hoja9'!$J$3:$K$3</c:f>
              <c:numCache>
                <c:formatCode>0.0%</c:formatCode>
                <c:ptCount val="2"/>
                <c:pt idx="0">
                  <c:v>0.3116989095581173</c:v>
                </c:pt>
                <c:pt idx="1">
                  <c:v>0.31335812456817541</c:v>
                </c:pt>
              </c:numCache>
            </c:numRef>
          </c:val>
        </c:ser>
        <c:ser>
          <c:idx val="2"/>
          <c:order val="2"/>
          <c:tx>
            <c:strRef>
              <c:f>'[CARACTERIZACION POBLACION (3).xlsx]Hoja9'!$I$4</c:f>
              <c:strCache>
                <c:ptCount val="1"/>
                <c:pt idx="0">
                  <c:v>Trabajadora sin pago en negocio familiar</c:v>
                </c:pt>
              </c:strCache>
            </c:strRef>
          </c:tx>
          <c:invertIfNegative val="0"/>
          <c:dLbls>
            <c:dLbl>
              <c:idx val="0"/>
              <c:layout>
                <c:manualLayout>
                  <c:x val="-2.2657754616517505E-3"/>
                  <c:y val="8.376759430242242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2672032663742063E-3"/>
                </c:manualLayout>
              </c:layout>
              <c:dLblPos val="ctr"/>
              <c:showLegendKey val="0"/>
              <c:showVal val="1"/>
              <c:showCatName val="0"/>
              <c:showSerName val="0"/>
              <c:showPercent val="0"/>
              <c:showBubbleSize val="0"/>
              <c:extLst>
                <c:ext xmlns:c15="http://schemas.microsoft.com/office/drawing/2012/chart" uri="{CE6537A1-D6FC-4f65-9D91-7224C49458BB}"/>
              </c:extLst>
            </c:dLbl>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'[CARACTERIZACION POBLACION (3).xlsx]Hoja9'!$J$1:$K$1</c:f>
              <c:strCache>
                <c:ptCount val="2"/>
                <c:pt idx="0">
                  <c:v>Sin violencia</c:v>
                </c:pt>
                <c:pt idx="1">
                  <c:v>Con violencia</c:v>
                </c:pt>
              </c:strCache>
            </c:strRef>
          </c:cat>
          <c:val>
            <c:numRef>
              <c:f>'[CARACTERIZACION POBLACION (3).xlsx]Hoja9'!$J$4:$K$4</c:f>
              <c:numCache>
                <c:formatCode>0.0%</c:formatCode>
                <c:ptCount val="2"/>
                <c:pt idx="0">
                  <c:v>4.9191027392449377E-2</c:v>
                </c:pt>
                <c:pt idx="1">
                  <c:v>4.1292670998334308E-2</c:v>
                </c:pt>
              </c:numCache>
            </c:numRef>
          </c:val>
        </c:ser>
        <c:ser>
          <c:idx val="3"/>
          <c:order val="3"/>
          <c:tx>
            <c:strRef>
              <c:f>'[CARACTERIZACION POBLACION (3).xlsx]Hoja9'!$I$5</c:f>
              <c:strCache>
                <c:ptCount val="1"/>
                <c:pt idx="0">
                  <c:v>Patrona, empresaria, jornalera o peona</c:v>
                </c:pt>
              </c:strCache>
            </c:strRef>
          </c:tx>
          <c:invertIfNegative val="0"/>
          <c:cat>
            <c:strRef>
              <c:f>'[CARACTERIZACION POBLACION (3).xlsx]Hoja9'!$J$1:$K$1</c:f>
              <c:strCache>
                <c:ptCount val="2"/>
                <c:pt idx="0">
                  <c:v>Sin violencia</c:v>
                </c:pt>
                <c:pt idx="1">
                  <c:v>Con violencia</c:v>
                </c:pt>
              </c:strCache>
            </c:strRef>
          </c:cat>
          <c:val>
            <c:numRef>
              <c:f>'[CARACTERIZACION POBLACION (3).xlsx]Hoja9'!$J$5:$K$5</c:f>
              <c:numCache>
                <c:formatCode>0.0%</c:formatCode>
                <c:ptCount val="2"/>
                <c:pt idx="0">
                  <c:v>3.4802592689927636E-2</c:v>
                </c:pt>
                <c:pt idx="1">
                  <c:v>2.7064778630364876E-2</c:v>
                </c:pt>
              </c:numCache>
            </c:numRef>
          </c:val>
        </c:ser>
        <c:dLbls>
          <c:showLegendKey val="0"/>
          <c:showVal val="1"/>
          <c:showCatName val="0"/>
          <c:showSerName val="0"/>
          <c:showPercent val="0"/>
          <c:showBubbleSize val="0"/>
        </c:dLbls>
        <c:gapWidth val="95"/>
        <c:overlap val="100"/>
        <c:axId val="305547776"/>
        <c:axId val="256501440"/>
      </c:barChart>
      <c:catAx>
        <c:axId val="305547776"/>
        <c:scaling>
          <c:orientation val="minMax"/>
        </c:scaling>
        <c:delete val="0"/>
        <c:axPos val="b"/>
        <c:numFmt formatCode="General" sourceLinked="0"/>
        <c:majorTickMark val="none"/>
        <c:minorTickMark val="none"/>
        <c:tickLblPos val="nextTo"/>
        <c:crossAx val="256501440"/>
        <c:crosses val="autoZero"/>
        <c:auto val="1"/>
        <c:lblAlgn val="ctr"/>
        <c:lblOffset val="100"/>
        <c:noMultiLvlLbl val="0"/>
      </c:catAx>
      <c:valAx>
        <c:axId val="256501440"/>
        <c:scaling>
          <c:orientation val="minMax"/>
        </c:scaling>
        <c:delete val="1"/>
        <c:axPos val="l"/>
        <c:numFmt formatCode="0%" sourceLinked="1"/>
        <c:majorTickMark val="none"/>
        <c:minorTickMark val="none"/>
        <c:tickLblPos val="nextTo"/>
        <c:crossAx val="305547776"/>
        <c:crosses val="autoZero"/>
        <c:crossBetween val="between"/>
      </c:valAx>
    </c:plotArea>
    <c:legend>
      <c:legendPos val="t"/>
      <c:layout>
        <c:manualLayout>
          <c:xMode val="edge"/>
          <c:yMode val="edge"/>
          <c:x val="1.0016136752283186E-2"/>
          <c:y val="0.90008751500428008"/>
          <c:w val="0.97718958755410157"/>
          <c:h val="9.9912369052388622E-2"/>
        </c:manualLayout>
      </c:layout>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3.0555555555555555E-2"/>
          <c:y val="9.889165674964083E-2"/>
          <c:w val="0.93888888888888888"/>
          <c:h val="0.66292306648826294"/>
        </c:manualLayout>
      </c:layout>
      <c:barChart>
        <c:barDir val="col"/>
        <c:grouping val="percentStacked"/>
        <c:varyColors val="0"/>
        <c:ser>
          <c:idx val="0"/>
          <c:order val="0"/>
          <c:tx>
            <c:strRef>
              <c:f>Hoja9!$G$19</c:f>
              <c:strCache>
                <c:ptCount val="1"/>
                <c:pt idx="0">
                  <c:v>Empleada u obrera</c:v>
                </c:pt>
              </c:strCache>
            </c:strRef>
          </c:tx>
          <c:invertIfNegative val="0"/>
          <c:cat>
            <c:strRef>
              <c:f>Hoja9!$H$18:$K$18</c:f>
              <c:strCache>
                <c:ptCount val="4"/>
                <c:pt idx="0">
                  <c:v>Emocional</c:v>
                </c:pt>
                <c:pt idx="1">
                  <c:v>Económica</c:v>
                </c:pt>
                <c:pt idx="2">
                  <c:v>Física</c:v>
                </c:pt>
                <c:pt idx="3">
                  <c:v>Sexual</c:v>
                </c:pt>
              </c:strCache>
            </c:strRef>
          </c:cat>
          <c:val>
            <c:numRef>
              <c:f>Hoja9!$H$19:$K$19</c:f>
              <c:numCache>
                <c:formatCode>0.0%</c:formatCode>
                <c:ptCount val="4"/>
                <c:pt idx="0">
                  <c:v>0.62216464184990983</c:v>
                </c:pt>
                <c:pt idx="1">
                  <c:v>0.57073300655483128</c:v>
                </c:pt>
                <c:pt idx="2">
                  <c:v>0.56579352555826523</c:v>
                </c:pt>
                <c:pt idx="3">
                  <c:v>0.64082536109022015</c:v>
                </c:pt>
              </c:numCache>
            </c:numRef>
          </c:val>
        </c:ser>
        <c:ser>
          <c:idx val="1"/>
          <c:order val="1"/>
          <c:tx>
            <c:strRef>
              <c:f>Hoja9!$G$20</c:f>
              <c:strCache>
                <c:ptCount val="1"/>
                <c:pt idx="0">
                  <c:v>Trabajadora por su cuenta</c:v>
                </c:pt>
              </c:strCache>
            </c:strRef>
          </c:tx>
          <c:invertIfNegative val="0"/>
          <c:cat>
            <c:strRef>
              <c:f>Hoja9!$H$18:$K$18</c:f>
              <c:strCache>
                <c:ptCount val="4"/>
                <c:pt idx="0">
                  <c:v>Emocional</c:v>
                </c:pt>
                <c:pt idx="1">
                  <c:v>Económica</c:v>
                </c:pt>
                <c:pt idx="2">
                  <c:v>Física</c:v>
                </c:pt>
                <c:pt idx="3">
                  <c:v>Sexual</c:v>
                </c:pt>
              </c:strCache>
            </c:strRef>
          </c:cat>
          <c:val>
            <c:numRef>
              <c:f>Hoja9!$H$20:$K$20</c:f>
              <c:numCache>
                <c:formatCode>0.0%</c:formatCode>
                <c:ptCount val="4"/>
                <c:pt idx="0">
                  <c:v>0.30963563638102592</c:v>
                </c:pt>
                <c:pt idx="1">
                  <c:v>0.36411571082194383</c:v>
                </c:pt>
                <c:pt idx="2">
                  <c:v>0.36189547171615744</c:v>
                </c:pt>
                <c:pt idx="3">
                  <c:v>0.30323991165757003</c:v>
                </c:pt>
              </c:numCache>
            </c:numRef>
          </c:val>
        </c:ser>
        <c:ser>
          <c:idx val="2"/>
          <c:order val="2"/>
          <c:tx>
            <c:strRef>
              <c:f>Hoja9!$G$21</c:f>
              <c:strCache>
                <c:ptCount val="1"/>
                <c:pt idx="0">
                  <c:v>Trabajadora sin pago en negocio familiar</c:v>
                </c:pt>
              </c:strCache>
            </c:strRef>
          </c:tx>
          <c:invertIfNegative val="0"/>
          <c:dLbls>
            <c:dLblPos val="inBase"/>
            <c:showLegendKey val="0"/>
            <c:showVal val="1"/>
            <c:showCatName val="0"/>
            <c:showSerName val="0"/>
            <c:showPercent val="0"/>
            <c:showBubbleSize val="0"/>
            <c:showLeaderLines val="0"/>
          </c:dLbls>
          <c:cat>
            <c:strRef>
              <c:f>Hoja9!$H$18:$K$18</c:f>
              <c:strCache>
                <c:ptCount val="4"/>
                <c:pt idx="0">
                  <c:v>Emocional</c:v>
                </c:pt>
                <c:pt idx="1">
                  <c:v>Económica</c:v>
                </c:pt>
                <c:pt idx="2">
                  <c:v>Física</c:v>
                </c:pt>
                <c:pt idx="3">
                  <c:v>Sexual</c:v>
                </c:pt>
              </c:strCache>
            </c:strRef>
          </c:cat>
          <c:val>
            <c:numRef>
              <c:f>Hoja9!$H$21:$K$21</c:f>
              <c:numCache>
                <c:formatCode>0.0%</c:formatCode>
                <c:ptCount val="4"/>
                <c:pt idx="0">
                  <c:v>4.0892322006010152E-2</c:v>
                </c:pt>
                <c:pt idx="1">
                  <c:v>3.6248844583871044E-2</c:v>
                </c:pt>
                <c:pt idx="2">
                  <c:v>3.9612544487024476E-2</c:v>
                </c:pt>
                <c:pt idx="3">
                  <c:v>3.3332024971946164E-2</c:v>
                </c:pt>
              </c:numCache>
            </c:numRef>
          </c:val>
        </c:ser>
        <c:ser>
          <c:idx val="3"/>
          <c:order val="3"/>
          <c:tx>
            <c:strRef>
              <c:f>Hoja9!$G$22</c:f>
              <c:strCache>
                <c:ptCount val="1"/>
                <c:pt idx="0">
                  <c:v>Patrona, empresaria, jornalera o peona</c:v>
                </c:pt>
              </c:strCache>
            </c:strRef>
          </c:tx>
          <c:invertIfNegative val="0"/>
          <c:dLbls>
            <c:dLblPos val="inEnd"/>
            <c:showLegendKey val="0"/>
            <c:showVal val="1"/>
            <c:showCatName val="0"/>
            <c:showSerName val="0"/>
            <c:showPercent val="0"/>
            <c:showBubbleSize val="0"/>
            <c:showLeaderLines val="0"/>
          </c:dLbls>
          <c:cat>
            <c:strRef>
              <c:f>Hoja9!$H$18:$K$18</c:f>
              <c:strCache>
                <c:ptCount val="4"/>
                <c:pt idx="0">
                  <c:v>Emocional</c:v>
                </c:pt>
                <c:pt idx="1">
                  <c:v>Económica</c:v>
                </c:pt>
                <c:pt idx="2">
                  <c:v>Física</c:v>
                </c:pt>
                <c:pt idx="3">
                  <c:v>Sexual</c:v>
                </c:pt>
              </c:strCache>
            </c:strRef>
          </c:cat>
          <c:val>
            <c:numRef>
              <c:f>Hoja9!$H$22:$K$22</c:f>
              <c:numCache>
                <c:formatCode>0.0%</c:formatCode>
                <c:ptCount val="4"/>
                <c:pt idx="0">
                  <c:v>2.7307399763054113E-2</c:v>
                </c:pt>
                <c:pt idx="1">
                  <c:v>2.8902438039353842E-2</c:v>
                </c:pt>
                <c:pt idx="2">
                  <c:v>3.2698458238552913E-2</c:v>
                </c:pt>
                <c:pt idx="3">
                  <c:v>2.2602702280263627E-2</c:v>
                </c:pt>
              </c:numCache>
            </c:numRef>
          </c:val>
        </c:ser>
        <c:dLbls>
          <c:showLegendKey val="0"/>
          <c:showVal val="1"/>
          <c:showCatName val="0"/>
          <c:showSerName val="0"/>
          <c:showPercent val="0"/>
          <c:showBubbleSize val="0"/>
        </c:dLbls>
        <c:gapWidth val="95"/>
        <c:overlap val="100"/>
        <c:axId val="304147456"/>
        <c:axId val="256503168"/>
      </c:barChart>
      <c:catAx>
        <c:axId val="304147456"/>
        <c:scaling>
          <c:orientation val="minMax"/>
        </c:scaling>
        <c:delete val="0"/>
        <c:axPos val="b"/>
        <c:numFmt formatCode="General" sourceLinked="0"/>
        <c:majorTickMark val="none"/>
        <c:minorTickMark val="none"/>
        <c:tickLblPos val="nextTo"/>
        <c:crossAx val="256503168"/>
        <c:crosses val="autoZero"/>
        <c:auto val="1"/>
        <c:lblAlgn val="ctr"/>
        <c:lblOffset val="100"/>
        <c:noMultiLvlLbl val="0"/>
      </c:catAx>
      <c:valAx>
        <c:axId val="256503168"/>
        <c:scaling>
          <c:orientation val="minMax"/>
        </c:scaling>
        <c:delete val="1"/>
        <c:axPos val="l"/>
        <c:numFmt formatCode="0%" sourceLinked="1"/>
        <c:majorTickMark val="out"/>
        <c:minorTickMark val="none"/>
        <c:tickLblPos val="nextTo"/>
        <c:crossAx val="304147456"/>
        <c:crosses val="autoZero"/>
        <c:crossBetween val="between"/>
      </c:valAx>
    </c:plotArea>
    <c:legend>
      <c:legendPos val="t"/>
      <c:layout>
        <c:manualLayout>
          <c:xMode val="edge"/>
          <c:yMode val="edge"/>
          <c:x val="0"/>
          <c:y val="0.85077969404176867"/>
          <c:w val="1"/>
          <c:h val="0.14704913548777576"/>
        </c:manualLayout>
      </c:layout>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30518222973806125"/>
          <c:y val="5.593941382327209E-2"/>
          <c:w val="0.60980658457961201"/>
          <c:h val="0.80517169728783899"/>
        </c:manualLayout>
      </c:layout>
      <c:barChart>
        <c:barDir val="bar"/>
        <c:grouping val="clustered"/>
        <c:varyColors val="0"/>
        <c:ser>
          <c:idx val="0"/>
          <c:order val="0"/>
          <c:tx>
            <c:strRef>
              <c:f>'[CARACTERIZACION POBLACION (3).xlsx]Hoja10'!$H$1</c:f>
              <c:strCache>
                <c:ptCount val="1"/>
                <c:pt idx="0">
                  <c:v>Sin violencia</c:v>
                </c:pt>
              </c:strCache>
            </c:strRef>
          </c:tx>
          <c:invertIfNegative val="0"/>
          <c:cat>
            <c:strRef>
              <c:f>'[CARACTERIZACION POBLACION (3).xlsx]Hoja10'!$G$2:$G$5</c:f>
              <c:strCache>
                <c:ptCount val="4"/>
                <c:pt idx="0">
                  <c:v>Sin ingresos o menos de 1 SM</c:v>
                </c:pt>
                <c:pt idx="1">
                  <c:v>De 1 y hasta 2 SM</c:v>
                </c:pt>
                <c:pt idx="2">
                  <c:v>De 2 y hasta 5 SM</c:v>
                </c:pt>
                <c:pt idx="3">
                  <c:v>Más de 5 SM</c:v>
                </c:pt>
              </c:strCache>
            </c:strRef>
          </c:cat>
          <c:val>
            <c:numRef>
              <c:f>'[CARACTERIZACION POBLACION (3).xlsx]Hoja10'!$H$2:$H$5</c:f>
              <c:numCache>
                <c:formatCode>0.0%</c:formatCode>
                <c:ptCount val="4"/>
                <c:pt idx="0">
                  <c:v>0.31212531628874574</c:v>
                </c:pt>
                <c:pt idx="1">
                  <c:v>0.32340863674701664</c:v>
                </c:pt>
                <c:pt idx="2">
                  <c:v>0.28174792733662063</c:v>
                </c:pt>
                <c:pt idx="3">
                  <c:v>8.2718119627616993E-2</c:v>
                </c:pt>
              </c:numCache>
            </c:numRef>
          </c:val>
        </c:ser>
        <c:ser>
          <c:idx val="1"/>
          <c:order val="1"/>
          <c:tx>
            <c:strRef>
              <c:f>'[CARACTERIZACION POBLACION (3).xlsx]Hoja10'!$I$1</c:f>
              <c:strCache>
                <c:ptCount val="1"/>
                <c:pt idx="0">
                  <c:v>Con violencia</c:v>
                </c:pt>
              </c:strCache>
            </c:strRef>
          </c:tx>
          <c:invertIfNegative val="0"/>
          <c:cat>
            <c:strRef>
              <c:f>'[CARACTERIZACION POBLACION (3).xlsx]Hoja10'!$G$2:$G$5</c:f>
              <c:strCache>
                <c:ptCount val="4"/>
                <c:pt idx="0">
                  <c:v>Sin ingresos o menos de 1 SM</c:v>
                </c:pt>
                <c:pt idx="1">
                  <c:v>De 1 y hasta 2 SM</c:v>
                </c:pt>
                <c:pt idx="2">
                  <c:v>De 2 y hasta 5 SM</c:v>
                </c:pt>
                <c:pt idx="3">
                  <c:v>Más de 5 SM</c:v>
                </c:pt>
              </c:strCache>
            </c:strRef>
          </c:cat>
          <c:val>
            <c:numRef>
              <c:f>'[CARACTERIZACION POBLACION (3).xlsx]Hoja10'!$I$2:$I$5</c:f>
              <c:numCache>
                <c:formatCode>0.0%</c:formatCode>
                <c:ptCount val="4"/>
                <c:pt idx="0">
                  <c:v>0.28777737004591541</c:v>
                </c:pt>
                <c:pt idx="1">
                  <c:v>0.32552577466837912</c:v>
                </c:pt>
                <c:pt idx="2">
                  <c:v>0.30185750987008675</c:v>
                </c:pt>
                <c:pt idx="3">
                  <c:v>8.4839345415618689E-2</c:v>
                </c:pt>
              </c:numCache>
            </c:numRef>
          </c:val>
        </c:ser>
        <c:dLbls>
          <c:showLegendKey val="0"/>
          <c:showVal val="1"/>
          <c:showCatName val="0"/>
          <c:showSerName val="0"/>
          <c:showPercent val="0"/>
          <c:showBubbleSize val="0"/>
        </c:dLbls>
        <c:gapWidth val="78"/>
        <c:overlap val="-23"/>
        <c:axId val="305769984"/>
        <c:axId val="256504896"/>
      </c:barChart>
      <c:catAx>
        <c:axId val="305769984"/>
        <c:scaling>
          <c:orientation val="minMax"/>
        </c:scaling>
        <c:delete val="0"/>
        <c:axPos val="l"/>
        <c:numFmt formatCode="General" sourceLinked="0"/>
        <c:majorTickMark val="none"/>
        <c:minorTickMark val="none"/>
        <c:tickLblPos val="nextTo"/>
        <c:crossAx val="256504896"/>
        <c:crosses val="autoZero"/>
        <c:auto val="1"/>
        <c:lblAlgn val="ctr"/>
        <c:lblOffset val="100"/>
        <c:noMultiLvlLbl val="0"/>
      </c:catAx>
      <c:valAx>
        <c:axId val="256504896"/>
        <c:scaling>
          <c:orientation val="minMax"/>
        </c:scaling>
        <c:delete val="1"/>
        <c:axPos val="b"/>
        <c:numFmt formatCode="0.0%" sourceLinked="1"/>
        <c:majorTickMark val="out"/>
        <c:minorTickMark val="none"/>
        <c:tickLblPos val="nextTo"/>
        <c:crossAx val="305769984"/>
        <c:crosses val="autoZero"/>
        <c:crossBetween val="between"/>
      </c:valAx>
    </c:plotArea>
    <c:legend>
      <c:legendPos val="t"/>
      <c:layout>
        <c:manualLayout>
          <c:xMode val="edge"/>
          <c:yMode val="edge"/>
          <c:x val="0.3415954129894837"/>
          <c:y val="0.89803258967629052"/>
          <c:w val="0.33918036252179889"/>
          <c:h val="7.6663107016827603E-2"/>
        </c:manualLayout>
      </c:layout>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tx>
            <c:strRef>
              <c:f>Hoja10!$H$9</c:f>
              <c:strCache>
                <c:ptCount val="1"/>
                <c:pt idx="0">
                  <c:v>Sexual</c:v>
                </c:pt>
              </c:strCache>
            </c:strRef>
          </c:tx>
          <c:invertIfNegative val="0"/>
          <c:cat>
            <c:strRef>
              <c:f>Hoja10!$G$10:$G$13</c:f>
              <c:strCache>
                <c:ptCount val="4"/>
                <c:pt idx="0">
                  <c:v>Sin ingresos o menos de 1 SM</c:v>
                </c:pt>
                <c:pt idx="1">
                  <c:v>De 1 y hasta 2 SM</c:v>
                </c:pt>
                <c:pt idx="2">
                  <c:v>De 2 y hasta 5 SM</c:v>
                </c:pt>
                <c:pt idx="3">
                  <c:v>Más de 5 SM</c:v>
                </c:pt>
              </c:strCache>
            </c:strRef>
          </c:cat>
          <c:val>
            <c:numRef>
              <c:f>Hoja10!$H$10:$H$13</c:f>
              <c:numCache>
                <c:formatCode>0.0%</c:formatCode>
                <c:ptCount val="4"/>
                <c:pt idx="0">
                  <c:v>0.26509946333955647</c:v>
                </c:pt>
                <c:pt idx="1">
                  <c:v>0.31920789452350595</c:v>
                </c:pt>
                <c:pt idx="2">
                  <c:v>0.31897484968109707</c:v>
                </c:pt>
                <c:pt idx="3">
                  <c:v>9.6717792455840487E-2</c:v>
                </c:pt>
              </c:numCache>
            </c:numRef>
          </c:val>
        </c:ser>
        <c:ser>
          <c:idx val="1"/>
          <c:order val="1"/>
          <c:tx>
            <c:strRef>
              <c:f>Hoja10!$I$9</c:f>
              <c:strCache>
                <c:ptCount val="1"/>
                <c:pt idx="0">
                  <c:v>Física</c:v>
                </c:pt>
              </c:strCache>
            </c:strRef>
          </c:tx>
          <c:invertIfNegative val="0"/>
          <c:cat>
            <c:strRef>
              <c:f>Hoja10!$G$10:$G$13</c:f>
              <c:strCache>
                <c:ptCount val="4"/>
                <c:pt idx="0">
                  <c:v>Sin ingresos o menos de 1 SM</c:v>
                </c:pt>
                <c:pt idx="1">
                  <c:v>De 1 y hasta 2 SM</c:v>
                </c:pt>
                <c:pt idx="2">
                  <c:v>De 2 y hasta 5 SM</c:v>
                </c:pt>
                <c:pt idx="3">
                  <c:v>Más de 5 SM</c:v>
                </c:pt>
              </c:strCache>
            </c:strRef>
          </c:cat>
          <c:val>
            <c:numRef>
              <c:f>Hoja10!$I$10:$I$13</c:f>
              <c:numCache>
                <c:formatCode>0.0%</c:formatCode>
                <c:ptCount val="4"/>
                <c:pt idx="0">
                  <c:v>0.33547222218042683</c:v>
                </c:pt>
                <c:pt idx="1">
                  <c:v>0.34718069011590202</c:v>
                </c:pt>
                <c:pt idx="2">
                  <c:v>0.26012250738399639</c:v>
                </c:pt>
                <c:pt idx="3">
                  <c:v>5.7224580319674756E-2</c:v>
                </c:pt>
              </c:numCache>
            </c:numRef>
          </c:val>
        </c:ser>
        <c:ser>
          <c:idx val="2"/>
          <c:order val="2"/>
          <c:tx>
            <c:strRef>
              <c:f>Hoja10!$J$9</c:f>
              <c:strCache>
                <c:ptCount val="1"/>
                <c:pt idx="0">
                  <c:v>Económica</c:v>
                </c:pt>
              </c:strCache>
            </c:strRef>
          </c:tx>
          <c:invertIfNegative val="0"/>
          <c:cat>
            <c:strRef>
              <c:f>Hoja10!$G$10:$G$13</c:f>
              <c:strCache>
                <c:ptCount val="4"/>
                <c:pt idx="0">
                  <c:v>Sin ingresos o menos de 1 SM</c:v>
                </c:pt>
                <c:pt idx="1">
                  <c:v>De 1 y hasta 2 SM</c:v>
                </c:pt>
                <c:pt idx="2">
                  <c:v>De 2 y hasta 5 SM</c:v>
                </c:pt>
                <c:pt idx="3">
                  <c:v>Más de 5 SM</c:v>
                </c:pt>
              </c:strCache>
            </c:strRef>
          </c:cat>
          <c:val>
            <c:numRef>
              <c:f>Hoja10!$J$10:$J$13</c:f>
              <c:numCache>
                <c:formatCode>0.0%</c:formatCode>
                <c:ptCount val="4"/>
                <c:pt idx="0">
                  <c:v>0.32094659136671072</c:v>
                </c:pt>
                <c:pt idx="1">
                  <c:v>0.32930605015629461</c:v>
                </c:pt>
                <c:pt idx="2">
                  <c:v>0.28143244009699747</c:v>
                </c:pt>
                <c:pt idx="3">
                  <c:v>6.831491837999723E-2</c:v>
                </c:pt>
              </c:numCache>
            </c:numRef>
          </c:val>
        </c:ser>
        <c:ser>
          <c:idx val="3"/>
          <c:order val="3"/>
          <c:tx>
            <c:strRef>
              <c:f>Hoja10!$K$9</c:f>
              <c:strCache>
                <c:ptCount val="1"/>
                <c:pt idx="0">
                  <c:v>Emocional</c:v>
                </c:pt>
              </c:strCache>
            </c:strRef>
          </c:tx>
          <c:invertIfNegative val="0"/>
          <c:cat>
            <c:strRef>
              <c:f>Hoja10!$G$10:$G$13</c:f>
              <c:strCache>
                <c:ptCount val="4"/>
                <c:pt idx="0">
                  <c:v>Sin ingresos o menos de 1 SM</c:v>
                </c:pt>
                <c:pt idx="1">
                  <c:v>De 1 y hasta 2 SM</c:v>
                </c:pt>
                <c:pt idx="2">
                  <c:v>De 2 y hasta 5 SM</c:v>
                </c:pt>
                <c:pt idx="3">
                  <c:v>Más de 5 SM</c:v>
                </c:pt>
              </c:strCache>
            </c:strRef>
          </c:cat>
          <c:val>
            <c:numRef>
              <c:f>Hoja10!$K$10:$K$13</c:f>
              <c:numCache>
                <c:formatCode>0.0%</c:formatCode>
                <c:ptCount val="4"/>
                <c:pt idx="0">
                  <c:v>0.2834137658796862</c:v>
                </c:pt>
                <c:pt idx="1">
                  <c:v>0.32860800375585836</c:v>
                </c:pt>
                <c:pt idx="2">
                  <c:v>0.30312451725357858</c:v>
                </c:pt>
                <c:pt idx="3">
                  <c:v>8.4853713110876833E-2</c:v>
                </c:pt>
              </c:numCache>
            </c:numRef>
          </c:val>
        </c:ser>
        <c:dLbls>
          <c:showLegendKey val="0"/>
          <c:showVal val="1"/>
          <c:showCatName val="0"/>
          <c:showSerName val="0"/>
          <c:showPercent val="0"/>
          <c:showBubbleSize val="0"/>
        </c:dLbls>
        <c:gapWidth val="75"/>
        <c:axId val="305967616"/>
        <c:axId val="256506624"/>
      </c:barChart>
      <c:catAx>
        <c:axId val="305967616"/>
        <c:scaling>
          <c:orientation val="minMax"/>
        </c:scaling>
        <c:delete val="0"/>
        <c:axPos val="l"/>
        <c:numFmt formatCode="General" sourceLinked="0"/>
        <c:majorTickMark val="none"/>
        <c:minorTickMark val="none"/>
        <c:tickLblPos val="nextTo"/>
        <c:crossAx val="256506624"/>
        <c:crosses val="autoZero"/>
        <c:auto val="1"/>
        <c:lblAlgn val="ctr"/>
        <c:lblOffset val="100"/>
        <c:noMultiLvlLbl val="0"/>
      </c:catAx>
      <c:valAx>
        <c:axId val="256506624"/>
        <c:scaling>
          <c:orientation val="minMax"/>
        </c:scaling>
        <c:delete val="1"/>
        <c:axPos val="b"/>
        <c:numFmt formatCode="0.0%" sourceLinked="1"/>
        <c:majorTickMark val="none"/>
        <c:minorTickMark val="none"/>
        <c:tickLblPos val="nextTo"/>
        <c:crossAx val="305967616"/>
        <c:crosses val="autoZero"/>
        <c:crossBetween val="between"/>
      </c:valAx>
    </c:plotArea>
    <c:legend>
      <c:legendPos val="b"/>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3.0555555555555555E-2"/>
          <c:y val="2.0375640536544795E-2"/>
          <c:w val="0.93888888888888888"/>
          <c:h val="0.95306543510750397"/>
        </c:manualLayout>
      </c:layout>
      <c:barChart>
        <c:barDir val="bar"/>
        <c:grouping val="clustered"/>
        <c:varyColors val="0"/>
        <c:ser>
          <c:idx val="0"/>
          <c:order val="0"/>
          <c:invertIfNegative val="0"/>
          <c:cat>
            <c:strRef>
              <c:f>Hoja17!$P$2:$P$34</c:f>
              <c:strCache>
                <c:ptCount val="33"/>
                <c:pt idx="0">
                  <c:v>Nayarit</c:v>
                </c:pt>
                <c:pt idx="1">
                  <c:v>Yucatán</c:v>
                </c:pt>
                <c:pt idx="2">
                  <c:v>Nuevo León</c:v>
                </c:pt>
                <c:pt idx="3">
                  <c:v>Sonora</c:v>
                </c:pt>
                <c:pt idx="4">
                  <c:v>Zacatecas</c:v>
                </c:pt>
                <c:pt idx="5">
                  <c:v>Campeche</c:v>
                </c:pt>
                <c:pt idx="6">
                  <c:v>Baja California</c:v>
                </c:pt>
                <c:pt idx="7">
                  <c:v>Distrito Federal</c:v>
                </c:pt>
                <c:pt idx="8">
                  <c:v>Michoacán</c:v>
                </c:pt>
                <c:pt idx="9">
                  <c:v>Querétaro</c:v>
                </c:pt>
                <c:pt idx="10">
                  <c:v>Veracruz</c:v>
                </c:pt>
                <c:pt idx="11">
                  <c:v>Tlaxcala</c:v>
                </c:pt>
                <c:pt idx="12">
                  <c:v>Coahuila </c:v>
                </c:pt>
                <c:pt idx="13">
                  <c:v>San Luis Potosí</c:v>
                </c:pt>
                <c:pt idx="14">
                  <c:v>Guanajuato</c:v>
                </c:pt>
                <c:pt idx="15">
                  <c:v>Baja California Sur</c:v>
                </c:pt>
                <c:pt idx="16">
                  <c:v>Quintana Roo</c:v>
                </c:pt>
                <c:pt idx="17">
                  <c:v>Chihuahua</c:v>
                </c:pt>
                <c:pt idx="18">
                  <c:v>Tamaulipas</c:v>
                </c:pt>
                <c:pt idx="19">
                  <c:v>Nacional</c:v>
                </c:pt>
                <c:pt idx="20">
                  <c:v>México</c:v>
                </c:pt>
                <c:pt idx="21">
                  <c:v>Morelos</c:v>
                </c:pt>
                <c:pt idx="22">
                  <c:v>Hidalgo</c:v>
                </c:pt>
                <c:pt idx="23">
                  <c:v>Sinaloa</c:v>
                </c:pt>
                <c:pt idx="24">
                  <c:v>Oaxaca</c:v>
                </c:pt>
                <c:pt idx="25">
                  <c:v>Puebla</c:v>
                </c:pt>
                <c:pt idx="26">
                  <c:v>Aguascalientes</c:v>
                </c:pt>
                <c:pt idx="27">
                  <c:v>Colima</c:v>
                </c:pt>
                <c:pt idx="28">
                  <c:v>Guerrero</c:v>
                </c:pt>
                <c:pt idx="29">
                  <c:v>Chiapas</c:v>
                </c:pt>
                <c:pt idx="30">
                  <c:v>Tabasco</c:v>
                </c:pt>
                <c:pt idx="31">
                  <c:v>Jalisco</c:v>
                </c:pt>
                <c:pt idx="32">
                  <c:v>Durango</c:v>
                </c:pt>
              </c:strCache>
            </c:strRef>
          </c:cat>
          <c:val>
            <c:numRef>
              <c:f>Hoja17!$Q$2:$Q$34</c:f>
            </c:numRef>
          </c:val>
        </c:ser>
        <c:ser>
          <c:idx val="1"/>
          <c:order val="1"/>
          <c:invertIfNegative val="0"/>
          <c:cat>
            <c:strRef>
              <c:f>Hoja17!$P$2:$P$34</c:f>
              <c:strCache>
                <c:ptCount val="33"/>
                <c:pt idx="0">
                  <c:v>Nayarit</c:v>
                </c:pt>
                <c:pt idx="1">
                  <c:v>Yucatán</c:v>
                </c:pt>
                <c:pt idx="2">
                  <c:v>Nuevo León</c:v>
                </c:pt>
                <c:pt idx="3">
                  <c:v>Sonora</c:v>
                </c:pt>
                <c:pt idx="4">
                  <c:v>Zacatecas</c:v>
                </c:pt>
                <c:pt idx="5">
                  <c:v>Campeche</c:v>
                </c:pt>
                <c:pt idx="6">
                  <c:v>Baja California</c:v>
                </c:pt>
                <c:pt idx="7">
                  <c:v>Distrito Federal</c:v>
                </c:pt>
                <c:pt idx="8">
                  <c:v>Michoacán</c:v>
                </c:pt>
                <c:pt idx="9">
                  <c:v>Querétaro</c:v>
                </c:pt>
                <c:pt idx="10">
                  <c:v>Veracruz</c:v>
                </c:pt>
                <c:pt idx="11">
                  <c:v>Tlaxcala</c:v>
                </c:pt>
                <c:pt idx="12">
                  <c:v>Coahuila </c:v>
                </c:pt>
                <c:pt idx="13">
                  <c:v>San Luis Potosí</c:v>
                </c:pt>
                <c:pt idx="14">
                  <c:v>Guanajuato</c:v>
                </c:pt>
                <c:pt idx="15">
                  <c:v>Baja California Sur</c:v>
                </c:pt>
                <c:pt idx="16">
                  <c:v>Quintana Roo</c:v>
                </c:pt>
                <c:pt idx="17">
                  <c:v>Chihuahua</c:v>
                </c:pt>
                <c:pt idx="18">
                  <c:v>Tamaulipas</c:v>
                </c:pt>
                <c:pt idx="19">
                  <c:v>Nacional</c:v>
                </c:pt>
                <c:pt idx="20">
                  <c:v>México</c:v>
                </c:pt>
                <c:pt idx="21">
                  <c:v>Morelos</c:v>
                </c:pt>
                <c:pt idx="22">
                  <c:v>Hidalgo</c:v>
                </c:pt>
                <c:pt idx="23">
                  <c:v>Sinaloa</c:v>
                </c:pt>
                <c:pt idx="24">
                  <c:v>Oaxaca</c:v>
                </c:pt>
                <c:pt idx="25">
                  <c:v>Puebla</c:v>
                </c:pt>
                <c:pt idx="26">
                  <c:v>Aguascalientes</c:v>
                </c:pt>
                <c:pt idx="27">
                  <c:v>Colima</c:v>
                </c:pt>
                <c:pt idx="28">
                  <c:v>Guerrero</c:v>
                </c:pt>
                <c:pt idx="29">
                  <c:v>Chiapas</c:v>
                </c:pt>
                <c:pt idx="30">
                  <c:v>Tabasco</c:v>
                </c:pt>
                <c:pt idx="31">
                  <c:v>Jalisco</c:v>
                </c:pt>
                <c:pt idx="32">
                  <c:v>Durango</c:v>
                </c:pt>
              </c:strCache>
            </c:strRef>
          </c:cat>
          <c:val>
            <c:numRef>
              <c:f>Hoja17!$R$2:$R$34</c:f>
            </c:numRef>
          </c:val>
        </c:ser>
        <c:ser>
          <c:idx val="2"/>
          <c:order val="2"/>
          <c:invertIfNegative val="0"/>
          <c:dPt>
            <c:idx val="19"/>
            <c:invertIfNegative val="0"/>
            <c:bubble3D val="0"/>
          </c:dPt>
          <c:cat>
            <c:strRef>
              <c:f>Hoja17!$P$2:$P$34</c:f>
              <c:strCache>
                <c:ptCount val="33"/>
                <c:pt idx="0">
                  <c:v>Nayarit</c:v>
                </c:pt>
                <c:pt idx="1">
                  <c:v>Yucatán</c:v>
                </c:pt>
                <c:pt idx="2">
                  <c:v>Nuevo León</c:v>
                </c:pt>
                <c:pt idx="3">
                  <c:v>Sonora</c:v>
                </c:pt>
                <c:pt idx="4">
                  <c:v>Zacatecas</c:v>
                </c:pt>
                <c:pt idx="5">
                  <c:v>Campeche</c:v>
                </c:pt>
                <c:pt idx="6">
                  <c:v>Baja California</c:v>
                </c:pt>
                <c:pt idx="7">
                  <c:v>Distrito Federal</c:v>
                </c:pt>
                <c:pt idx="8">
                  <c:v>Michoacán</c:v>
                </c:pt>
                <c:pt idx="9">
                  <c:v>Querétaro</c:v>
                </c:pt>
                <c:pt idx="10">
                  <c:v>Veracruz</c:v>
                </c:pt>
                <c:pt idx="11">
                  <c:v>Tlaxcala</c:v>
                </c:pt>
                <c:pt idx="12">
                  <c:v>Coahuila </c:v>
                </c:pt>
                <c:pt idx="13">
                  <c:v>San Luis Potosí</c:v>
                </c:pt>
                <c:pt idx="14">
                  <c:v>Guanajuato</c:v>
                </c:pt>
                <c:pt idx="15">
                  <c:v>Baja California Sur</c:v>
                </c:pt>
                <c:pt idx="16">
                  <c:v>Quintana Roo</c:v>
                </c:pt>
                <c:pt idx="17">
                  <c:v>Chihuahua</c:v>
                </c:pt>
                <c:pt idx="18">
                  <c:v>Tamaulipas</c:v>
                </c:pt>
                <c:pt idx="19">
                  <c:v>Nacional</c:v>
                </c:pt>
                <c:pt idx="20">
                  <c:v>México</c:v>
                </c:pt>
                <c:pt idx="21">
                  <c:v>Morelos</c:v>
                </c:pt>
                <c:pt idx="22">
                  <c:v>Hidalgo</c:v>
                </c:pt>
                <c:pt idx="23">
                  <c:v>Sinaloa</c:v>
                </c:pt>
                <c:pt idx="24">
                  <c:v>Oaxaca</c:v>
                </c:pt>
                <c:pt idx="25">
                  <c:v>Puebla</c:v>
                </c:pt>
                <c:pt idx="26">
                  <c:v>Aguascalientes</c:v>
                </c:pt>
                <c:pt idx="27">
                  <c:v>Colima</c:v>
                </c:pt>
                <c:pt idx="28">
                  <c:v>Guerrero</c:v>
                </c:pt>
                <c:pt idx="29">
                  <c:v>Chiapas</c:v>
                </c:pt>
                <c:pt idx="30">
                  <c:v>Tabasco</c:v>
                </c:pt>
                <c:pt idx="31">
                  <c:v>Jalisco</c:v>
                </c:pt>
                <c:pt idx="32">
                  <c:v>Durango</c:v>
                </c:pt>
              </c:strCache>
            </c:strRef>
          </c:cat>
          <c:val>
            <c:numRef>
              <c:f>Hoja17!$S$2:$S$34</c:f>
              <c:numCache>
                <c:formatCode>0.0%</c:formatCode>
                <c:ptCount val="33"/>
                <c:pt idx="0">
                  <c:v>0.34999558477492099</c:v>
                </c:pt>
                <c:pt idx="1">
                  <c:v>0.27335986555189451</c:v>
                </c:pt>
                <c:pt idx="2">
                  <c:v>0.27170926028701681</c:v>
                </c:pt>
                <c:pt idx="3">
                  <c:v>0.27150001193623452</c:v>
                </c:pt>
                <c:pt idx="4">
                  <c:v>0.26553711579434802</c:v>
                </c:pt>
                <c:pt idx="5">
                  <c:v>0.23993341980831606</c:v>
                </c:pt>
                <c:pt idx="6">
                  <c:v>0.22273546076433992</c:v>
                </c:pt>
                <c:pt idx="7">
                  <c:v>0.20066188980043576</c:v>
                </c:pt>
                <c:pt idx="8">
                  <c:v>0.19231477842865674</c:v>
                </c:pt>
                <c:pt idx="9">
                  <c:v>0.18524304064446295</c:v>
                </c:pt>
                <c:pt idx="10">
                  <c:v>0.17518708730591537</c:v>
                </c:pt>
                <c:pt idx="11">
                  <c:v>0.17064015875250749</c:v>
                </c:pt>
                <c:pt idx="12">
                  <c:v>0.16687703314801405</c:v>
                </c:pt>
                <c:pt idx="13">
                  <c:v>0.1614952948232673</c:v>
                </c:pt>
                <c:pt idx="14">
                  <c:v>0.15995831983380171</c:v>
                </c:pt>
                <c:pt idx="15">
                  <c:v>0.13260189825413504</c:v>
                </c:pt>
                <c:pt idx="16">
                  <c:v>0.12611871743259306</c:v>
                </c:pt>
                <c:pt idx="17">
                  <c:v>0.10240266296147338</c:v>
                </c:pt>
                <c:pt idx="18">
                  <c:v>9.0956120684124064E-2</c:v>
                </c:pt>
                <c:pt idx="19">
                  <c:v>8.8663726291581924E-2</c:v>
                </c:pt>
                <c:pt idx="20">
                  <c:v>6.4779821876902899E-2</c:v>
                </c:pt>
                <c:pt idx="21">
                  <c:v>5.2986050937991802E-2</c:v>
                </c:pt>
                <c:pt idx="22">
                  <c:v>4.7609566458422847E-2</c:v>
                </c:pt>
                <c:pt idx="23">
                  <c:v>4.6610508819216578E-2</c:v>
                </c:pt>
                <c:pt idx="24">
                  <c:v>3.4351805534113211E-2</c:v>
                </c:pt>
                <c:pt idx="25">
                  <c:v>2.8628511212505314E-2</c:v>
                </c:pt>
                <c:pt idx="26">
                  <c:v>8.9204088413989968E-3</c:v>
                </c:pt>
                <c:pt idx="27">
                  <c:v>8.8010505152333884E-3</c:v>
                </c:pt>
                <c:pt idx="28">
                  <c:v>-2.869163064211977E-2</c:v>
                </c:pt>
                <c:pt idx="29">
                  <c:v>-0.10240350514653318</c:v>
                </c:pt>
                <c:pt idx="30">
                  <c:v>-0.1316268749378009</c:v>
                </c:pt>
                <c:pt idx="31">
                  <c:v>-0.13522257970736995</c:v>
                </c:pt>
                <c:pt idx="32">
                  <c:v>-0.18440151413178918</c:v>
                </c:pt>
              </c:numCache>
            </c:numRef>
          </c:val>
        </c:ser>
        <c:dLbls>
          <c:showLegendKey val="0"/>
          <c:showVal val="1"/>
          <c:showCatName val="0"/>
          <c:showSerName val="0"/>
          <c:showPercent val="0"/>
          <c:showBubbleSize val="0"/>
        </c:dLbls>
        <c:gapWidth val="52"/>
        <c:overlap val="-25"/>
        <c:axId val="299601920"/>
        <c:axId val="374786304"/>
      </c:barChart>
      <c:catAx>
        <c:axId val="299601920"/>
        <c:scaling>
          <c:orientation val="minMax"/>
        </c:scaling>
        <c:delete val="0"/>
        <c:axPos val="l"/>
        <c:numFmt formatCode="General" sourceLinked="0"/>
        <c:majorTickMark val="none"/>
        <c:minorTickMark val="none"/>
        <c:tickLblPos val="low"/>
        <c:txPr>
          <a:bodyPr/>
          <a:lstStyle/>
          <a:p>
            <a:pPr>
              <a:defRPr sz="800"/>
            </a:pPr>
            <a:endParaRPr lang="es-MX"/>
          </a:p>
        </c:txPr>
        <c:crossAx val="374786304"/>
        <c:crosses val="autoZero"/>
        <c:auto val="1"/>
        <c:lblAlgn val="ctr"/>
        <c:lblOffset val="100"/>
        <c:noMultiLvlLbl val="0"/>
      </c:catAx>
      <c:valAx>
        <c:axId val="374786304"/>
        <c:scaling>
          <c:orientation val="minMax"/>
        </c:scaling>
        <c:delete val="1"/>
        <c:axPos val="b"/>
        <c:numFmt formatCode="0.0%" sourceLinked="1"/>
        <c:majorTickMark val="out"/>
        <c:minorTickMark val="none"/>
        <c:tickLblPos val="nextTo"/>
        <c:crossAx val="299601920"/>
        <c:crosses val="autoZero"/>
        <c:crossBetween val="between"/>
      </c:valAx>
    </c:plotArea>
    <c:plotVisOnly val="1"/>
    <c:dispBlanksAs val="gap"/>
    <c:showDLblsOverMax val="0"/>
  </c:chart>
  <c:txPr>
    <a:bodyPr/>
    <a:lstStyle/>
    <a:p>
      <a:pPr>
        <a:defRPr sz="600">
          <a:latin typeface="Adobe Caslon Pro" pitchFamily="18" charset="0"/>
        </a:defRPr>
      </a:pPr>
      <a:endParaRPr lang="es-MX"/>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6.0320401555644963E-2"/>
          <c:y val="3.0825313502478857E-3"/>
          <c:w val="0.93888888888888888"/>
          <c:h val="0.73278944298629334"/>
        </c:manualLayout>
      </c:layout>
      <c:barChart>
        <c:barDir val="col"/>
        <c:grouping val="clustered"/>
        <c:varyColors val="0"/>
        <c:ser>
          <c:idx val="0"/>
          <c:order val="0"/>
          <c:tx>
            <c:strRef>
              <c:f>'[CARACTERIZACION POBLACION (3).xlsx]Hoja11'!$H$3</c:f>
              <c:strCache>
                <c:ptCount val="1"/>
                <c:pt idx="0">
                  <c:v>Piso firme</c:v>
                </c:pt>
              </c:strCache>
            </c:strRef>
          </c:tx>
          <c:invertIfNegative val="0"/>
          <c:cat>
            <c:strRef>
              <c:f>'[CARACTERIZACION POBLACION (3).xlsx]Hoja11'!$I$2:$J$2</c:f>
              <c:strCache>
                <c:ptCount val="2"/>
                <c:pt idx="0">
                  <c:v>Sin violencia</c:v>
                </c:pt>
                <c:pt idx="1">
                  <c:v>Con violencia</c:v>
                </c:pt>
              </c:strCache>
            </c:strRef>
          </c:cat>
          <c:val>
            <c:numRef>
              <c:f>'[CARACTERIZACION POBLACION (3).xlsx]Hoja11'!$I$3:$J$3</c:f>
              <c:numCache>
                <c:formatCode>0.0%</c:formatCode>
                <c:ptCount val="2"/>
                <c:pt idx="0">
                  <c:v>0.94701063972769117</c:v>
                </c:pt>
                <c:pt idx="1">
                  <c:v>0.95727514904575817</c:v>
                </c:pt>
              </c:numCache>
            </c:numRef>
          </c:val>
        </c:ser>
        <c:ser>
          <c:idx val="1"/>
          <c:order val="1"/>
          <c:tx>
            <c:strRef>
              <c:f>'[CARACTERIZACION POBLACION (3).xlsx]Hoja11'!$H$4</c:f>
              <c:strCache>
                <c:ptCount val="1"/>
                <c:pt idx="0">
                  <c:v>Agua entubada dentro de la vivienda</c:v>
                </c:pt>
              </c:strCache>
            </c:strRef>
          </c:tx>
          <c:invertIfNegative val="0"/>
          <c:cat>
            <c:strRef>
              <c:f>'[CARACTERIZACION POBLACION (3).xlsx]Hoja11'!$I$2:$J$2</c:f>
              <c:strCache>
                <c:ptCount val="2"/>
                <c:pt idx="0">
                  <c:v>Sin violencia</c:v>
                </c:pt>
                <c:pt idx="1">
                  <c:v>Con violencia</c:v>
                </c:pt>
              </c:strCache>
            </c:strRef>
          </c:cat>
          <c:val>
            <c:numRef>
              <c:f>'[CARACTERIZACION POBLACION (3).xlsx]Hoja11'!$I$4:$J$4</c:f>
              <c:numCache>
                <c:formatCode>0.0%</c:formatCode>
                <c:ptCount val="2"/>
                <c:pt idx="0">
                  <c:v>0.75148720672136748</c:v>
                </c:pt>
                <c:pt idx="1">
                  <c:v>0.79522381291199651</c:v>
                </c:pt>
              </c:numCache>
            </c:numRef>
          </c:val>
        </c:ser>
        <c:ser>
          <c:idx val="2"/>
          <c:order val="2"/>
          <c:tx>
            <c:strRef>
              <c:f>'[CARACTERIZACION POBLACION (3).xlsx]Hoja11'!$H$5</c:f>
              <c:strCache>
                <c:ptCount val="1"/>
                <c:pt idx="0">
                  <c:v>Drenaje conectado a la red pública</c:v>
                </c:pt>
              </c:strCache>
            </c:strRef>
          </c:tx>
          <c:invertIfNegative val="0"/>
          <c:cat>
            <c:strRef>
              <c:f>'[CARACTERIZACION POBLACION (3).xlsx]Hoja11'!$I$2:$J$2</c:f>
              <c:strCache>
                <c:ptCount val="2"/>
                <c:pt idx="0">
                  <c:v>Sin violencia</c:v>
                </c:pt>
                <c:pt idx="1">
                  <c:v>Con violencia</c:v>
                </c:pt>
              </c:strCache>
            </c:strRef>
          </c:cat>
          <c:val>
            <c:numRef>
              <c:f>'[CARACTERIZACION POBLACION (3).xlsx]Hoja11'!$I$5:$J$5</c:f>
              <c:numCache>
                <c:formatCode>0.0%</c:formatCode>
                <c:ptCount val="2"/>
                <c:pt idx="0">
                  <c:v>0.71641880734343544</c:v>
                </c:pt>
                <c:pt idx="1">
                  <c:v>0.79930770945612206</c:v>
                </c:pt>
              </c:numCache>
            </c:numRef>
          </c:val>
        </c:ser>
        <c:dLbls>
          <c:showLegendKey val="0"/>
          <c:showVal val="1"/>
          <c:showCatName val="0"/>
          <c:showSerName val="0"/>
          <c:showPercent val="0"/>
          <c:showBubbleSize val="0"/>
        </c:dLbls>
        <c:gapWidth val="150"/>
        <c:overlap val="-25"/>
        <c:axId val="304817664"/>
        <c:axId val="275997248"/>
      </c:barChart>
      <c:catAx>
        <c:axId val="304817664"/>
        <c:scaling>
          <c:orientation val="minMax"/>
        </c:scaling>
        <c:delete val="0"/>
        <c:axPos val="b"/>
        <c:numFmt formatCode="General" sourceLinked="0"/>
        <c:majorTickMark val="none"/>
        <c:minorTickMark val="none"/>
        <c:tickLblPos val="nextTo"/>
        <c:crossAx val="275997248"/>
        <c:crosses val="autoZero"/>
        <c:auto val="1"/>
        <c:lblAlgn val="ctr"/>
        <c:lblOffset val="100"/>
        <c:noMultiLvlLbl val="0"/>
      </c:catAx>
      <c:valAx>
        <c:axId val="275997248"/>
        <c:scaling>
          <c:orientation val="minMax"/>
        </c:scaling>
        <c:delete val="1"/>
        <c:axPos val="l"/>
        <c:numFmt formatCode="0.0%" sourceLinked="1"/>
        <c:majorTickMark val="out"/>
        <c:minorTickMark val="none"/>
        <c:tickLblPos val="nextTo"/>
        <c:crossAx val="304817664"/>
        <c:crosses val="autoZero"/>
        <c:crossBetween val="between"/>
      </c:valAx>
    </c:plotArea>
    <c:legend>
      <c:legendPos val="t"/>
      <c:layout>
        <c:manualLayout>
          <c:xMode val="edge"/>
          <c:yMode val="edge"/>
          <c:x val="8.4582239720034993E-2"/>
          <c:y val="0.83796296296296291"/>
          <c:w val="0.89194663167104105"/>
          <c:h val="0.1604899387576553"/>
        </c:manualLayout>
      </c:layout>
      <c:overlay val="0"/>
      <c:txPr>
        <a:bodyPr/>
        <a:lstStyle/>
        <a:p>
          <a:pPr>
            <a:defRPr sz="900"/>
          </a:pPr>
          <a:endParaRPr lang="es-MX"/>
        </a:p>
      </c:txPr>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3.3333333333333333E-2"/>
          <c:y val="5.1194225721784767E-2"/>
          <c:w val="0.93888888888888888"/>
          <c:h val="0.65849621738459163"/>
        </c:manualLayout>
      </c:layout>
      <c:barChart>
        <c:barDir val="col"/>
        <c:grouping val="clustered"/>
        <c:varyColors val="0"/>
        <c:ser>
          <c:idx val="0"/>
          <c:order val="0"/>
          <c:tx>
            <c:strRef>
              <c:f>'[CARACTERIZACION POBLACION (3).xlsx]Hoja12'!$G$3</c:f>
              <c:strCache>
                <c:ptCount val="1"/>
                <c:pt idx="0">
                  <c:v>Computadora</c:v>
                </c:pt>
              </c:strCache>
            </c:strRef>
          </c:tx>
          <c:invertIfNegative val="0"/>
          <c:cat>
            <c:strRef>
              <c:f>'[CARACTERIZACION POBLACION (3).xlsx]Hoja12'!$H$2:$I$2</c:f>
              <c:strCache>
                <c:ptCount val="2"/>
                <c:pt idx="0">
                  <c:v>Sin violencia</c:v>
                </c:pt>
                <c:pt idx="1">
                  <c:v>Con violencia</c:v>
                </c:pt>
              </c:strCache>
            </c:strRef>
          </c:cat>
          <c:val>
            <c:numRef>
              <c:f>'[CARACTERIZACION POBLACION (3).xlsx]Hoja12'!$H$3:$I$3</c:f>
              <c:numCache>
                <c:formatCode>0.0%</c:formatCode>
                <c:ptCount val="2"/>
                <c:pt idx="0">
                  <c:v>0.44823634746204638</c:v>
                </c:pt>
                <c:pt idx="1">
                  <c:v>0.48007197842558863</c:v>
                </c:pt>
              </c:numCache>
            </c:numRef>
          </c:val>
        </c:ser>
        <c:ser>
          <c:idx val="1"/>
          <c:order val="1"/>
          <c:tx>
            <c:strRef>
              <c:f>'[CARACTERIZACION POBLACION (3).xlsx]Hoja12'!$G$4</c:f>
              <c:strCache>
                <c:ptCount val="1"/>
                <c:pt idx="0">
                  <c:v>Teléfono</c:v>
                </c:pt>
              </c:strCache>
            </c:strRef>
          </c:tx>
          <c:invertIfNegative val="0"/>
          <c:cat>
            <c:strRef>
              <c:f>'[CARACTERIZACION POBLACION (3).xlsx]Hoja12'!$H$2:$I$2</c:f>
              <c:strCache>
                <c:ptCount val="2"/>
                <c:pt idx="0">
                  <c:v>Sin violencia</c:v>
                </c:pt>
                <c:pt idx="1">
                  <c:v>Con violencia</c:v>
                </c:pt>
              </c:strCache>
            </c:strRef>
          </c:cat>
          <c:val>
            <c:numRef>
              <c:f>'[CARACTERIZACION POBLACION (3).xlsx]Hoja12'!$H$4:$I$4</c:f>
              <c:numCache>
                <c:formatCode>0.0%</c:formatCode>
                <c:ptCount val="2"/>
                <c:pt idx="0">
                  <c:v>0.65301581204167147</c:v>
                </c:pt>
                <c:pt idx="1">
                  <c:v>0.74526778638550417</c:v>
                </c:pt>
              </c:numCache>
            </c:numRef>
          </c:val>
        </c:ser>
        <c:ser>
          <c:idx val="2"/>
          <c:order val="2"/>
          <c:tx>
            <c:strRef>
              <c:f>'[CARACTERIZACION POBLACION (3).xlsx]Hoja12'!$G$5</c:f>
              <c:strCache>
                <c:ptCount val="1"/>
                <c:pt idx="0">
                  <c:v>Refrigerador</c:v>
                </c:pt>
              </c:strCache>
            </c:strRef>
          </c:tx>
          <c:invertIfNegative val="0"/>
          <c:cat>
            <c:strRef>
              <c:f>'[CARACTERIZACION POBLACION (3).xlsx]Hoja12'!$H$2:$I$2</c:f>
              <c:strCache>
                <c:ptCount val="2"/>
                <c:pt idx="0">
                  <c:v>Sin violencia</c:v>
                </c:pt>
                <c:pt idx="1">
                  <c:v>Con violencia</c:v>
                </c:pt>
              </c:strCache>
            </c:strRef>
          </c:cat>
          <c:val>
            <c:numRef>
              <c:f>'[CARACTERIZACION POBLACION (3).xlsx]Hoja12'!$H$5:$I$5</c:f>
              <c:numCache>
                <c:formatCode>0.0%</c:formatCode>
                <c:ptCount val="2"/>
                <c:pt idx="0">
                  <c:v>0.84796174108164035</c:v>
                </c:pt>
                <c:pt idx="1">
                  <c:v>0.87606829797898722</c:v>
                </c:pt>
              </c:numCache>
            </c:numRef>
          </c:val>
        </c:ser>
        <c:ser>
          <c:idx val="3"/>
          <c:order val="3"/>
          <c:tx>
            <c:strRef>
              <c:f>'[CARACTERIZACION POBLACION (3).xlsx]Hoja12'!$G$6</c:f>
              <c:strCache>
                <c:ptCount val="1"/>
                <c:pt idx="0">
                  <c:v>Lavadora</c:v>
                </c:pt>
              </c:strCache>
            </c:strRef>
          </c:tx>
          <c:invertIfNegative val="0"/>
          <c:cat>
            <c:strRef>
              <c:f>'[CARACTERIZACION POBLACION (3).xlsx]Hoja12'!$H$2:$I$2</c:f>
              <c:strCache>
                <c:ptCount val="2"/>
                <c:pt idx="0">
                  <c:v>Sin violencia</c:v>
                </c:pt>
                <c:pt idx="1">
                  <c:v>Con violencia</c:v>
                </c:pt>
              </c:strCache>
            </c:strRef>
          </c:cat>
          <c:val>
            <c:numRef>
              <c:f>'[CARACTERIZACION POBLACION (3).xlsx]Hoja12'!$H$6:$I$6</c:f>
              <c:numCache>
                <c:formatCode>0.0%</c:formatCode>
                <c:ptCount val="2"/>
                <c:pt idx="0">
                  <c:v>0.67222274195384912</c:v>
                </c:pt>
                <c:pt idx="1">
                  <c:v>0.7222992919867155</c:v>
                </c:pt>
              </c:numCache>
            </c:numRef>
          </c:val>
        </c:ser>
        <c:dLbls>
          <c:showLegendKey val="0"/>
          <c:showVal val="1"/>
          <c:showCatName val="0"/>
          <c:showSerName val="0"/>
          <c:showPercent val="0"/>
          <c:showBubbleSize val="0"/>
        </c:dLbls>
        <c:gapWidth val="150"/>
        <c:overlap val="-25"/>
        <c:axId val="305969664"/>
        <c:axId val="275998976"/>
      </c:barChart>
      <c:catAx>
        <c:axId val="305969664"/>
        <c:scaling>
          <c:orientation val="minMax"/>
        </c:scaling>
        <c:delete val="0"/>
        <c:axPos val="b"/>
        <c:majorTickMark val="none"/>
        <c:minorTickMark val="none"/>
        <c:tickLblPos val="nextTo"/>
        <c:crossAx val="275998976"/>
        <c:crosses val="autoZero"/>
        <c:auto val="1"/>
        <c:lblAlgn val="ctr"/>
        <c:lblOffset val="100"/>
        <c:noMultiLvlLbl val="0"/>
      </c:catAx>
      <c:valAx>
        <c:axId val="275998976"/>
        <c:scaling>
          <c:orientation val="minMax"/>
        </c:scaling>
        <c:delete val="1"/>
        <c:axPos val="l"/>
        <c:numFmt formatCode="0.0%" sourceLinked="1"/>
        <c:majorTickMark val="out"/>
        <c:minorTickMark val="none"/>
        <c:tickLblPos val="nextTo"/>
        <c:crossAx val="305969664"/>
        <c:crosses val="autoZero"/>
        <c:crossBetween val="between"/>
      </c:valAx>
    </c:plotArea>
    <c:legend>
      <c:legendPos val="t"/>
      <c:layout>
        <c:manualLayout>
          <c:xMode val="edge"/>
          <c:yMode val="edge"/>
          <c:x val="0.13454330708661416"/>
          <c:y val="0.91192147856517936"/>
          <c:w val="0.74758005249343829"/>
          <c:h val="8.3717191601049873E-2"/>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1230742896268401"/>
          <c:y val="0.15686271891596143"/>
          <c:w val="0.72489063867016645"/>
          <c:h val="0.62463943106135555"/>
        </c:manualLayout>
      </c:layout>
      <c:lineChart>
        <c:grouping val="stacked"/>
        <c:varyColors val="0"/>
        <c:ser>
          <c:idx val="1"/>
          <c:order val="0"/>
          <c:tx>
            <c:strRef>
              <c:f>Hoja2!$E$5</c:f>
              <c:strCache>
                <c:ptCount val="1"/>
                <c:pt idx="0">
                  <c:v>Porcentaje</c:v>
                </c:pt>
              </c:strCache>
            </c:strRef>
          </c:tx>
          <c:spPr>
            <a:ln w="34925" cmpd="sng">
              <a:solidFill>
                <a:schemeClr val="accent5">
                  <a:lumMod val="75000"/>
                </a:schemeClr>
              </a:solidFill>
            </a:ln>
            <a:effectLst>
              <a:innerShdw blurRad="63500" dist="50800" dir="18900000">
                <a:prstClr val="black">
                  <a:alpha val="50000"/>
                </a:prstClr>
              </a:innerShdw>
            </a:effectLst>
          </c:spPr>
          <c:marker>
            <c:symbol val="none"/>
          </c:marker>
          <c:dLbls>
            <c:numFmt formatCode="General" sourceLinked="0"/>
            <c:spPr>
              <a:solidFill>
                <a:schemeClr val="bg1">
                  <a:lumMod val="95000"/>
                </a:schemeClr>
              </a:solidFill>
              <a:ln>
                <a:solidFill>
                  <a:schemeClr val="bg1">
                    <a:lumMod val="85000"/>
                  </a:schemeClr>
                </a:solidFill>
              </a:ln>
              <a:scene3d>
                <a:camera prst="orthographicFront"/>
                <a:lightRig rig="threePt" dir="t"/>
              </a:scene3d>
              <a:sp3d prstMaterial="softEdge"/>
            </c:spPr>
            <c:txPr>
              <a:bodyPr/>
              <a:lstStyle/>
              <a:p>
                <a:pPr>
                  <a:defRPr sz="900"/>
                </a:pPr>
                <a:endParaRPr lang="es-MX"/>
              </a:p>
            </c:txPr>
            <c:showLegendKey val="0"/>
            <c:showVal val="1"/>
            <c:showCatName val="0"/>
            <c:showSerName val="0"/>
            <c:showPercent val="0"/>
            <c:showBubbleSize val="0"/>
            <c:showLeaderLines val="0"/>
          </c:dLbls>
          <c:val>
            <c:numRef>
              <c:f>Hoja2!$F$5:$M$5</c:f>
              <c:numCache>
                <c:formatCode>General</c:formatCode>
                <c:ptCount val="8"/>
                <c:pt idx="0">
                  <c:v>58.5</c:v>
                </c:pt>
                <c:pt idx="1">
                  <c:v>58.5</c:v>
                </c:pt>
                <c:pt idx="2">
                  <c:v>58.5</c:v>
                </c:pt>
                <c:pt idx="3">
                  <c:v>54.8</c:v>
                </c:pt>
                <c:pt idx="4">
                  <c:v>51.1</c:v>
                </c:pt>
                <c:pt idx="5">
                  <c:v>47.4</c:v>
                </c:pt>
                <c:pt idx="6">
                  <c:v>43.7</c:v>
                </c:pt>
                <c:pt idx="7">
                  <c:v>40</c:v>
                </c:pt>
              </c:numCache>
            </c:numRef>
          </c:val>
          <c:smooth val="1"/>
        </c:ser>
        <c:dLbls>
          <c:showLegendKey val="0"/>
          <c:showVal val="0"/>
          <c:showCatName val="0"/>
          <c:showSerName val="0"/>
          <c:showPercent val="0"/>
          <c:showBubbleSize val="0"/>
        </c:dLbls>
        <c:marker val="1"/>
        <c:smooth val="0"/>
        <c:axId val="305970688"/>
        <c:axId val="276000704"/>
      </c:lineChart>
      <c:catAx>
        <c:axId val="305970688"/>
        <c:scaling>
          <c:orientation val="minMax"/>
        </c:scaling>
        <c:delete val="0"/>
        <c:axPos val="b"/>
        <c:majorTickMark val="none"/>
        <c:minorTickMark val="none"/>
        <c:tickLblPos val="nextTo"/>
        <c:crossAx val="276000704"/>
        <c:crosses val="autoZero"/>
        <c:auto val="1"/>
        <c:lblAlgn val="ctr"/>
        <c:lblOffset val="100"/>
        <c:noMultiLvlLbl val="0"/>
      </c:catAx>
      <c:valAx>
        <c:axId val="276000704"/>
        <c:scaling>
          <c:orientation val="minMax"/>
        </c:scaling>
        <c:delete val="1"/>
        <c:axPos val="l"/>
        <c:numFmt formatCode="General" sourceLinked="1"/>
        <c:majorTickMark val="none"/>
        <c:minorTickMark val="none"/>
        <c:tickLblPos val="none"/>
        <c:crossAx val="305970688"/>
        <c:crosses val="autoZero"/>
        <c:crossBetween val="between"/>
      </c:valAx>
      <c:dTable>
        <c:showHorzBorder val="1"/>
        <c:showVertBorder val="1"/>
        <c:showOutline val="1"/>
        <c:showKeys val="1"/>
        <c:spPr>
          <a:noFill/>
        </c:spPr>
      </c:dTable>
    </c:plotArea>
    <c:plotVisOnly val="1"/>
    <c:dispBlanksAs val="zero"/>
    <c:showDLblsOverMax val="0"/>
  </c:chart>
  <c:spPr>
    <a:solidFill>
      <a:schemeClr val="bg1"/>
    </a:solidFill>
    <a:ln w="15875">
      <a:solidFill>
        <a:schemeClr val="bg1">
          <a:lumMod val="85000"/>
        </a:schemeClr>
      </a:solidFill>
    </a:ln>
  </c:spPr>
  <c:txPr>
    <a:bodyPr/>
    <a:lstStyle/>
    <a:p>
      <a:pPr>
        <a:defRPr>
          <a:latin typeface="Adobe Caslon Pro" pitchFamily="18" charset="0"/>
        </a:defRPr>
      </a:pPr>
      <a:endParaRPr lang="es-MX"/>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marker>
            <c:symbol val="none"/>
          </c:marker>
          <c:trendline>
            <c:trendlineType val="linear"/>
            <c:dispRSqr val="0"/>
            <c:dispEq val="0"/>
          </c:trendline>
          <c:cat>
            <c:numRef>
              <c:f>'[fiannzas pauimef_reales.xlsx]Hoja1'!$B$2:$B$10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'[fiannzas pauimef_reales.xlsx]Hoja1'!$I$2:$I$10</c:f>
              <c:numCache>
                <c:formatCode>0.0</c:formatCode>
                <c:ptCount val="9"/>
                <c:pt idx="0">
                  <c:v>45.005376867078539</c:v>
                </c:pt>
                <c:pt idx="1">
                  <c:v>139.37895879847287</c:v>
                </c:pt>
                <c:pt idx="2">
                  <c:v>153.52053216429869</c:v>
                </c:pt>
                <c:pt idx="3">
                  <c:v>152.4819688822171</c:v>
                </c:pt>
                <c:pt idx="4">
                  <c:v>165.3306613264017</c:v>
                </c:pt>
                <c:pt idx="5">
                  <c:v>178.05258199841956</c:v>
                </c:pt>
                <c:pt idx="6">
                  <c:v>216.49264619289895</c:v>
                </c:pt>
                <c:pt idx="7">
                  <c:v>249.67438743961355</c:v>
                </c:pt>
                <c:pt idx="8">
                  <c:v>288</c:v>
                </c:pt>
              </c:numCache>
            </c:numRef>
          </c:val>
          <c:smooth val="0"/>
        </c:ser>
        <c:dLbls>
          <c:showLegendKey val="0"/>
          <c:showVal val="0"/>
          <c:showCatName val="0"/>
          <c:showSerName val="0"/>
          <c:showPercent val="0"/>
          <c:showBubbleSize val="0"/>
        </c:dLbls>
        <c:marker val="1"/>
        <c:smooth val="0"/>
        <c:axId val="311412224"/>
        <c:axId val="276002432"/>
      </c:lineChart>
      <c:catAx>
        <c:axId val="311412224"/>
        <c:scaling>
          <c:orientation val="minMax"/>
        </c:scaling>
        <c:delete val="0"/>
        <c:axPos val="b"/>
        <c:numFmt formatCode="General" sourceLinked="1"/>
        <c:majorTickMark val="none"/>
        <c:minorTickMark val="none"/>
        <c:tickLblPos val="nextTo"/>
        <c:crossAx val="276002432"/>
        <c:crosses val="autoZero"/>
        <c:auto val="1"/>
        <c:lblAlgn val="ctr"/>
        <c:lblOffset val="100"/>
        <c:noMultiLvlLbl val="0"/>
      </c:catAx>
      <c:valAx>
        <c:axId val="276002432"/>
        <c:scaling>
          <c:orientation val="minMax"/>
        </c:scaling>
        <c:delete val="0"/>
        <c:axPos val="l"/>
        <c:title>
          <c:tx>
            <c:rich>
              <a:bodyPr/>
              <a:lstStyle/>
              <a:p>
                <a:pPr>
                  <a:defRPr/>
                </a:pPr>
                <a:r>
                  <a:rPr lang="es-MX"/>
                  <a:t>Millones de pesos</a:t>
                </a:r>
              </a:p>
            </c:rich>
          </c:tx>
          <c:layout>
            <c:manualLayout>
              <c:xMode val="edge"/>
              <c:yMode val="edge"/>
              <c:x val="3.6111111111111115E-2"/>
              <c:y val="0.27958515602216383"/>
            </c:manualLayout>
          </c:layout>
          <c:overlay val="0"/>
        </c:title>
        <c:numFmt formatCode="0.0" sourceLinked="1"/>
        <c:majorTickMark val="out"/>
        <c:minorTickMark val="none"/>
        <c:tickLblPos val="nextTo"/>
        <c:crossAx val="311412224"/>
        <c:crosses val="autoZero"/>
        <c:crossBetween val="between"/>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1205559532331179E-2"/>
          <c:y val="3.1544611836815194E-2"/>
          <c:w val="0.98879444046766862"/>
          <c:h val="0.47091955439677646"/>
        </c:manualLayout>
      </c:layout>
      <c:barChart>
        <c:barDir val="col"/>
        <c:grouping val="clustered"/>
        <c:varyColors val="0"/>
        <c:ser>
          <c:idx val="0"/>
          <c:order val="0"/>
          <c:invertIfNegative val="0"/>
          <c:dPt>
            <c:idx val="4"/>
            <c:invertIfNegative val="0"/>
            <c:bubble3D val="0"/>
            <c:spPr>
              <a:solidFill>
                <a:schemeClr val="accent2">
                  <a:lumMod val="50000"/>
                </a:schemeClr>
              </a:solidFill>
            </c:spPr>
          </c:dPt>
          <c:dLbls>
            <c:showLegendKey val="0"/>
            <c:showVal val="1"/>
            <c:showCatName val="0"/>
            <c:showSerName val="0"/>
            <c:showPercent val="0"/>
            <c:showBubbleSize val="0"/>
            <c:showLeaderLines val="0"/>
          </c:dLbls>
          <c:cat>
            <c:strRef>
              <c:f>Hoja1!$B$2:$B$13</c:f>
              <c:strCache>
                <c:ptCount val="12"/>
                <c:pt idx="0">
                  <c:v>El empleo</c:v>
                </c:pt>
                <c:pt idx="1">
                  <c:v>La inseguridad</c:v>
                </c:pt>
                <c:pt idx="2">
                  <c:v>Abuso, acoso, maltrato y violencia</c:v>
                </c:pt>
                <c:pt idx="3">
                  <c:v>No contesto</c:v>
                </c:pt>
                <c:pt idx="4">
                  <c:v>Discriminación</c:v>
                </c:pt>
                <c:pt idx="5">
                  <c:v>Relaciones entre géneros</c:v>
                </c:pt>
                <c:pt idx="6">
                  <c:v>Otros</c:v>
                </c:pt>
                <c:pt idx="7">
                  <c:v>Economía</c:v>
                </c:pt>
                <c:pt idx="8">
                  <c:v>Educación</c:v>
                </c:pt>
                <c:pt idx="9">
                  <c:v>Salud</c:v>
                </c:pt>
                <c:pt idx="10">
                  <c:v>Falta de apoyo a las mujeres</c:v>
                </c:pt>
                <c:pt idx="11">
                  <c:v>Ninguno</c:v>
                </c:pt>
              </c:strCache>
            </c:strRef>
          </c:cat>
          <c:val>
            <c:numRef>
              <c:f>Hoja1!$C$2:$C$13</c:f>
              <c:numCache>
                <c:formatCode>0.0%</c:formatCode>
                <c:ptCount val="12"/>
                <c:pt idx="0">
                  <c:v>0.21199999999999999</c:v>
                </c:pt>
                <c:pt idx="1">
                  <c:v>0.14899999999999999</c:v>
                </c:pt>
                <c:pt idx="2">
                  <c:v>0.11600000000000001</c:v>
                </c:pt>
                <c:pt idx="3">
                  <c:v>0.114</c:v>
                </c:pt>
                <c:pt idx="4">
                  <c:v>9.9000000000000005E-2</c:v>
                </c:pt>
                <c:pt idx="5">
                  <c:v>7.6999999999999999E-2</c:v>
                </c:pt>
                <c:pt idx="6">
                  <c:v>6.0999999999999999E-2</c:v>
                </c:pt>
                <c:pt idx="7">
                  <c:v>3.6999999999999998E-2</c:v>
                </c:pt>
                <c:pt idx="8">
                  <c:v>2.8000000000000001E-2</c:v>
                </c:pt>
                <c:pt idx="9">
                  <c:v>2.8000000000000001E-2</c:v>
                </c:pt>
                <c:pt idx="10">
                  <c:v>8.9999999999999993E-3</c:v>
                </c:pt>
                <c:pt idx="11">
                  <c:v>7.0000000000000001E-3</c:v>
                </c:pt>
              </c:numCache>
            </c:numRef>
          </c:val>
        </c:ser>
        <c:dLbls>
          <c:showLegendKey val="0"/>
          <c:showVal val="0"/>
          <c:showCatName val="0"/>
          <c:showSerName val="0"/>
          <c:showPercent val="0"/>
          <c:showBubbleSize val="0"/>
        </c:dLbls>
        <c:gapWidth val="150"/>
        <c:axId val="299604992"/>
        <c:axId val="368761600"/>
      </c:barChart>
      <c:catAx>
        <c:axId val="299604992"/>
        <c:scaling>
          <c:orientation val="minMax"/>
        </c:scaling>
        <c:delete val="0"/>
        <c:axPos val="b"/>
        <c:majorTickMark val="out"/>
        <c:minorTickMark val="none"/>
        <c:tickLblPos val="nextTo"/>
        <c:txPr>
          <a:bodyPr rot="-5400000" vert="horz" anchor="t" anchorCtr="1"/>
          <a:lstStyle/>
          <a:p>
            <a:pPr>
              <a:defRPr sz="900"/>
            </a:pPr>
            <a:endParaRPr lang="es-MX"/>
          </a:p>
        </c:txPr>
        <c:crossAx val="368761600"/>
        <c:crosses val="autoZero"/>
        <c:auto val="1"/>
        <c:lblAlgn val="ctr"/>
        <c:lblOffset val="100"/>
        <c:noMultiLvlLbl val="0"/>
      </c:catAx>
      <c:valAx>
        <c:axId val="368761600"/>
        <c:scaling>
          <c:orientation val="minMax"/>
        </c:scaling>
        <c:delete val="1"/>
        <c:axPos val="r"/>
        <c:numFmt formatCode="0%" sourceLinked="0"/>
        <c:majorTickMark val="out"/>
        <c:minorTickMark val="none"/>
        <c:tickLblPos val="nextTo"/>
        <c:crossAx val="299604992"/>
        <c:crosses val="max"/>
        <c:crossBetween val="between"/>
      </c:valAx>
    </c:plotArea>
    <c:plotVisOnly val="1"/>
    <c:dispBlanksAs val="gap"/>
    <c:showDLblsOverMax val="0"/>
  </c:chart>
  <c:spPr>
    <a:ln>
      <a:noFill/>
    </a:ln>
  </c:spPr>
  <c:txPr>
    <a:bodyPr/>
    <a:lstStyle/>
    <a:p>
      <a:pPr>
        <a:defRPr>
          <a:latin typeface="Adobe Caslon Pro" pitchFamily="18"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bar"/>
        <c:grouping val="percentStacked"/>
        <c:varyColors val="0"/>
        <c:ser>
          <c:idx val="0"/>
          <c:order val="0"/>
          <c:tx>
            <c:v>Hombres</c:v>
          </c:tx>
          <c:invertIfNegative val="0"/>
          <c:dLbls>
            <c:txPr>
              <a:bodyPr/>
              <a:lstStyle/>
              <a:p>
                <a:pPr>
                  <a:defRPr sz="900">
                    <a:solidFill>
                      <a:schemeClr val="bg1"/>
                    </a:solidFill>
                  </a:defRPr>
                </a:pPr>
                <a:endParaRPr lang="es-MX"/>
              </a:p>
            </c:txPr>
            <c:showLegendKey val="0"/>
            <c:showVal val="1"/>
            <c:showCatName val="0"/>
            <c:showSerName val="0"/>
            <c:showPercent val="0"/>
            <c:showBubbleSize val="0"/>
            <c:showLeaderLines val="0"/>
          </c:dLbls>
          <c:cat>
            <c:strRef>
              <c:f>Hoja15!$B$2:$B$10</c:f>
              <c:strCache>
                <c:ptCount val="9"/>
                <c:pt idx="0">
                  <c:v>Regidurías locales</c:v>
                </c:pt>
                <c:pt idx="1">
                  <c:v>Diputaciones federales</c:v>
                </c:pt>
                <c:pt idx="2">
                  <c:v>Sindicaturas locales</c:v>
                </c:pt>
                <c:pt idx="3">
                  <c:v>Senadorías</c:v>
                </c:pt>
                <c:pt idx="4">
                  <c:v>Diputaciones locales</c:v>
                </c:pt>
                <c:pt idx="5">
                  <c:v>Secretarías de estado</c:v>
                </c:pt>
                <c:pt idx="6">
                  <c:v>Subsecretarías de estado</c:v>
                </c:pt>
                <c:pt idx="7">
                  <c:v>Presidencia Municipal</c:v>
                </c:pt>
                <c:pt idx="8">
                  <c:v>Gobernaturas</c:v>
                </c:pt>
              </c:strCache>
            </c:strRef>
          </c:cat>
          <c:val>
            <c:numRef>
              <c:f>Hoja15!$C$2:$C$10</c:f>
              <c:numCache>
                <c:formatCode>General</c:formatCode>
                <c:ptCount val="9"/>
                <c:pt idx="0">
                  <c:v>63</c:v>
                </c:pt>
                <c:pt idx="1">
                  <c:v>66</c:v>
                </c:pt>
                <c:pt idx="2">
                  <c:v>75</c:v>
                </c:pt>
                <c:pt idx="3">
                  <c:v>77</c:v>
                </c:pt>
                <c:pt idx="4">
                  <c:v>79</c:v>
                </c:pt>
                <c:pt idx="5">
                  <c:v>79</c:v>
                </c:pt>
                <c:pt idx="6">
                  <c:v>86</c:v>
                </c:pt>
                <c:pt idx="7">
                  <c:v>93</c:v>
                </c:pt>
                <c:pt idx="8">
                  <c:v>97</c:v>
                </c:pt>
              </c:numCache>
            </c:numRef>
          </c:val>
        </c:ser>
        <c:ser>
          <c:idx val="1"/>
          <c:order val="1"/>
          <c:tx>
            <c:v>Mujeres</c:v>
          </c:tx>
          <c:invertIfNegative val="0"/>
          <c:dLbls>
            <c:txPr>
              <a:bodyPr/>
              <a:lstStyle/>
              <a:p>
                <a:pPr>
                  <a:defRPr sz="900">
                    <a:solidFill>
                      <a:schemeClr val="bg1"/>
                    </a:solidFill>
                  </a:defRPr>
                </a:pPr>
                <a:endParaRPr lang="es-MX"/>
              </a:p>
            </c:txPr>
            <c:showLegendKey val="0"/>
            <c:showVal val="1"/>
            <c:showCatName val="0"/>
            <c:showSerName val="0"/>
            <c:showPercent val="0"/>
            <c:showBubbleSize val="0"/>
            <c:showLeaderLines val="0"/>
          </c:dLbls>
          <c:cat>
            <c:strRef>
              <c:f>Hoja15!$B$2:$B$10</c:f>
              <c:strCache>
                <c:ptCount val="9"/>
                <c:pt idx="0">
                  <c:v>Regidurías locales</c:v>
                </c:pt>
                <c:pt idx="1">
                  <c:v>Diputaciones federales</c:v>
                </c:pt>
                <c:pt idx="2">
                  <c:v>Sindicaturas locales</c:v>
                </c:pt>
                <c:pt idx="3">
                  <c:v>Senadorías</c:v>
                </c:pt>
                <c:pt idx="4">
                  <c:v>Diputaciones locales</c:v>
                </c:pt>
                <c:pt idx="5">
                  <c:v>Secretarías de estado</c:v>
                </c:pt>
                <c:pt idx="6">
                  <c:v>Subsecretarías de estado</c:v>
                </c:pt>
                <c:pt idx="7">
                  <c:v>Presidencia Municipal</c:v>
                </c:pt>
                <c:pt idx="8">
                  <c:v>Gobernaturas</c:v>
                </c:pt>
              </c:strCache>
            </c:strRef>
          </c:cat>
          <c:val>
            <c:numRef>
              <c:f>Hoja15!$D$2:$D$10</c:f>
              <c:numCache>
                <c:formatCode>General</c:formatCode>
                <c:ptCount val="9"/>
                <c:pt idx="0">
                  <c:v>37</c:v>
                </c:pt>
                <c:pt idx="1">
                  <c:v>34</c:v>
                </c:pt>
                <c:pt idx="2">
                  <c:v>25</c:v>
                </c:pt>
                <c:pt idx="3">
                  <c:v>23</c:v>
                </c:pt>
                <c:pt idx="4">
                  <c:v>21</c:v>
                </c:pt>
                <c:pt idx="5">
                  <c:v>21</c:v>
                </c:pt>
                <c:pt idx="6">
                  <c:v>14</c:v>
                </c:pt>
                <c:pt idx="7">
                  <c:v>7</c:v>
                </c:pt>
                <c:pt idx="8">
                  <c:v>3</c:v>
                </c:pt>
              </c:numCache>
            </c:numRef>
          </c:val>
        </c:ser>
        <c:dLbls>
          <c:showLegendKey val="0"/>
          <c:showVal val="1"/>
          <c:showCatName val="0"/>
          <c:showSerName val="0"/>
          <c:showPercent val="0"/>
          <c:showBubbleSize val="0"/>
        </c:dLbls>
        <c:gapWidth val="75"/>
        <c:overlap val="100"/>
        <c:axId val="299694592"/>
        <c:axId val="374788032"/>
      </c:barChart>
      <c:catAx>
        <c:axId val="299694592"/>
        <c:scaling>
          <c:orientation val="minMax"/>
        </c:scaling>
        <c:delete val="0"/>
        <c:axPos val="l"/>
        <c:numFmt formatCode="General" sourceLinked="0"/>
        <c:majorTickMark val="none"/>
        <c:minorTickMark val="none"/>
        <c:tickLblPos val="nextTo"/>
        <c:txPr>
          <a:bodyPr/>
          <a:lstStyle/>
          <a:p>
            <a:pPr>
              <a:defRPr sz="900"/>
            </a:pPr>
            <a:endParaRPr lang="es-MX"/>
          </a:p>
        </c:txPr>
        <c:crossAx val="374788032"/>
        <c:crosses val="autoZero"/>
        <c:auto val="1"/>
        <c:lblAlgn val="ctr"/>
        <c:lblOffset val="100"/>
        <c:noMultiLvlLbl val="0"/>
      </c:catAx>
      <c:valAx>
        <c:axId val="374788032"/>
        <c:scaling>
          <c:orientation val="minMax"/>
        </c:scaling>
        <c:delete val="0"/>
        <c:axPos val="b"/>
        <c:numFmt formatCode="0%" sourceLinked="1"/>
        <c:majorTickMark val="none"/>
        <c:minorTickMark val="none"/>
        <c:tickLblPos val="nextTo"/>
        <c:crossAx val="299694592"/>
        <c:crosses val="autoZero"/>
        <c:crossBetween val="between"/>
      </c:valAx>
    </c:plotArea>
    <c:legend>
      <c:legendPos val="b"/>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bar"/>
        <c:grouping val="clustered"/>
        <c:varyColors val="0"/>
        <c:ser>
          <c:idx val="0"/>
          <c:order val="0"/>
          <c:invertIfNegative val="0"/>
          <c:dPt>
            <c:idx val="23"/>
            <c:invertIfNegative val="0"/>
            <c:bubble3D val="0"/>
          </c:dPt>
          <c:dLbls>
            <c:txPr>
              <a:bodyPr/>
              <a:lstStyle/>
              <a:p>
                <a:pPr>
                  <a:defRPr sz="9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'[CARACTERIZACION POBLACION (3).xlsx]Hoja5'!$B$2:$B$34</c:f>
              <c:strCache>
                <c:ptCount val="33"/>
                <c:pt idx="0">
                  <c:v>Chiapas </c:v>
                </c:pt>
                <c:pt idx="1">
                  <c:v>Baja California Sur</c:v>
                </c:pt>
                <c:pt idx="2">
                  <c:v>Tamaulipas</c:v>
                </c:pt>
                <c:pt idx="3">
                  <c:v>Hidalgo</c:v>
                </c:pt>
                <c:pt idx="4">
                  <c:v>Coahuila</c:v>
                </c:pt>
                <c:pt idx="5">
                  <c:v>Sinaloa</c:v>
                </c:pt>
                <c:pt idx="6">
                  <c:v>Durango</c:v>
                </c:pt>
                <c:pt idx="7">
                  <c:v>Guerrero</c:v>
                </c:pt>
                <c:pt idx="8">
                  <c:v>Tabasco</c:v>
                </c:pt>
                <c:pt idx="9">
                  <c:v>Guanajuato</c:v>
                </c:pt>
                <c:pt idx="10">
                  <c:v>Oaxaca</c:v>
                </c:pt>
                <c:pt idx="11">
                  <c:v>Campeche</c:v>
                </c:pt>
                <c:pt idx="12">
                  <c:v>Zacatecas</c:v>
                </c:pt>
                <c:pt idx="13">
                  <c:v>Querétaro</c:v>
                </c:pt>
                <c:pt idx="14">
                  <c:v>San Luis Potosí </c:v>
                </c:pt>
                <c:pt idx="15">
                  <c:v>Michoacán</c:v>
                </c:pt>
                <c:pt idx="16">
                  <c:v>Tlaxcala</c:v>
                </c:pt>
                <c:pt idx="17">
                  <c:v>Yucatán</c:v>
                </c:pt>
                <c:pt idx="18">
                  <c:v>Nuevo León</c:v>
                </c:pt>
                <c:pt idx="19">
                  <c:v>Baja California</c:v>
                </c:pt>
                <c:pt idx="20">
                  <c:v>Quintana Roo</c:v>
                </c:pt>
                <c:pt idx="21">
                  <c:v>Aguascalientes</c:v>
                </c:pt>
                <c:pt idx="22">
                  <c:v>Veracruz </c:v>
                </c:pt>
                <c:pt idx="23">
                  <c:v>Nacional</c:v>
                </c:pt>
                <c:pt idx="24">
                  <c:v>Puebla</c:v>
                </c:pt>
                <c:pt idx="25">
                  <c:v>Morelos</c:v>
                </c:pt>
                <c:pt idx="26">
                  <c:v>Jalisco</c:v>
                </c:pt>
                <c:pt idx="27">
                  <c:v>Chihuahua</c:v>
                </c:pt>
                <c:pt idx="28">
                  <c:v>Colima</c:v>
                </c:pt>
                <c:pt idx="29">
                  <c:v>Sonora</c:v>
                </c:pt>
                <c:pt idx="30">
                  <c:v>Nayarit</c:v>
                </c:pt>
                <c:pt idx="31">
                  <c:v>Distrito Federal</c:v>
                </c:pt>
                <c:pt idx="32">
                  <c:v>Estado de México</c:v>
                </c:pt>
              </c:strCache>
            </c:strRef>
          </c:cat>
          <c:val>
            <c:numRef>
              <c:f>'[CARACTERIZACION POBLACION (3).xlsx]Hoja5'!$C$2:$C$34</c:f>
              <c:numCache>
                <c:formatCode>0.0%</c:formatCode>
                <c:ptCount val="33"/>
                <c:pt idx="0">
                  <c:v>0.39156804328755973</c:v>
                </c:pt>
                <c:pt idx="1">
                  <c:v>0.49546466988168886</c:v>
                </c:pt>
                <c:pt idx="2">
                  <c:v>0.49574781666037343</c:v>
                </c:pt>
                <c:pt idx="3">
                  <c:v>0.50148406766325726</c:v>
                </c:pt>
                <c:pt idx="4">
                  <c:v>0.5028514245418555</c:v>
                </c:pt>
                <c:pt idx="5">
                  <c:v>0.50791228887006568</c:v>
                </c:pt>
                <c:pt idx="6">
                  <c:v>0.50866401239749892</c:v>
                </c:pt>
                <c:pt idx="7">
                  <c:v>0.50929077792698541</c:v>
                </c:pt>
                <c:pt idx="8">
                  <c:v>0.51310730942573179</c:v>
                </c:pt>
                <c:pt idx="9">
                  <c:v>0.51890440837622731</c:v>
                </c:pt>
                <c:pt idx="10">
                  <c:v>0.52814828374900846</c:v>
                </c:pt>
                <c:pt idx="11">
                  <c:v>0.55132953078268254</c:v>
                </c:pt>
                <c:pt idx="12">
                  <c:v>0.55336945227846224</c:v>
                </c:pt>
                <c:pt idx="13">
                  <c:v>0.55402739956319536</c:v>
                </c:pt>
                <c:pt idx="14">
                  <c:v>0.55534240037195293</c:v>
                </c:pt>
                <c:pt idx="15">
                  <c:v>0.56112899556926976</c:v>
                </c:pt>
                <c:pt idx="16">
                  <c:v>0.56573958607434183</c:v>
                </c:pt>
                <c:pt idx="17">
                  <c:v>0.57269851988825959</c:v>
                </c:pt>
                <c:pt idx="18">
                  <c:v>0.57413151260645245</c:v>
                </c:pt>
                <c:pt idx="19">
                  <c:v>0.57632981583798348</c:v>
                </c:pt>
                <c:pt idx="20">
                  <c:v>0.58016435307093817</c:v>
                </c:pt>
                <c:pt idx="21">
                  <c:v>0.58250501458585546</c:v>
                </c:pt>
                <c:pt idx="22">
                  <c:v>0.58399079502343132</c:v>
                </c:pt>
                <c:pt idx="23">
                  <c:v>0.5841964048522934</c:v>
                </c:pt>
                <c:pt idx="24">
                  <c:v>0.5880786158396013</c:v>
                </c:pt>
                <c:pt idx="25">
                  <c:v>0.58849387106208861</c:v>
                </c:pt>
                <c:pt idx="26">
                  <c:v>0.59600178471850951</c:v>
                </c:pt>
                <c:pt idx="27">
                  <c:v>0.60013088551751748</c:v>
                </c:pt>
                <c:pt idx="28">
                  <c:v>0.60735745866440183</c:v>
                </c:pt>
                <c:pt idx="29">
                  <c:v>0.63297236899495612</c:v>
                </c:pt>
                <c:pt idx="30">
                  <c:v>0.63341868679348445</c:v>
                </c:pt>
                <c:pt idx="31">
                  <c:v>0.70274844967381567</c:v>
                </c:pt>
                <c:pt idx="32">
                  <c:v>0.70413198628485829</c:v>
                </c:pt>
              </c:numCache>
            </c:numRef>
          </c:val>
        </c:ser>
        <c:dLbls>
          <c:showLegendKey val="0"/>
          <c:showVal val="0"/>
          <c:showCatName val="0"/>
          <c:showSerName val="0"/>
          <c:showPercent val="0"/>
          <c:showBubbleSize val="0"/>
        </c:dLbls>
        <c:gapWidth val="44"/>
        <c:axId val="299695104"/>
        <c:axId val="374791488"/>
      </c:barChart>
      <c:catAx>
        <c:axId val="299695104"/>
        <c:scaling>
          <c:orientation val="minMax"/>
        </c:scaling>
        <c:delete val="0"/>
        <c:axPos val="l"/>
        <c:numFmt formatCode="General" sourceLinked="1"/>
        <c:majorTickMark val="out"/>
        <c:minorTickMark val="none"/>
        <c:tickLblPos val="nextTo"/>
        <c:txPr>
          <a:bodyPr/>
          <a:lstStyle/>
          <a:p>
            <a:pPr>
              <a:defRPr sz="900"/>
            </a:pPr>
            <a:endParaRPr lang="es-MX"/>
          </a:p>
        </c:txPr>
        <c:crossAx val="374791488"/>
        <c:crosses val="autoZero"/>
        <c:auto val="1"/>
        <c:lblAlgn val="ctr"/>
        <c:lblOffset val="100"/>
        <c:noMultiLvlLbl val="0"/>
      </c:catAx>
      <c:valAx>
        <c:axId val="374791488"/>
        <c:scaling>
          <c:orientation val="minMax"/>
          <c:min val="0.30000000000000004"/>
        </c:scaling>
        <c:delete val="1"/>
        <c:axPos val="b"/>
        <c:numFmt formatCode="0.0%" sourceLinked="1"/>
        <c:majorTickMark val="out"/>
        <c:minorTickMark val="none"/>
        <c:tickLblPos val="nextTo"/>
        <c:crossAx val="299695104"/>
        <c:crosses val="autoZero"/>
        <c:crossBetween val="between"/>
      </c:valAx>
    </c:plotArea>
    <c:plotVisOnly val="1"/>
    <c:dispBlanksAs val="gap"/>
    <c:showDLblsOverMax val="0"/>
  </c:chart>
  <c:txPr>
    <a:bodyPr/>
    <a:lstStyle/>
    <a:p>
      <a:pPr>
        <a:defRPr sz="800">
          <a:latin typeface="Adobe Caslon Pro" pitchFamily="18"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2.4900962082625919E-2"/>
          <c:y val="0.10686533974919801"/>
          <c:w val="0.95019807583474813"/>
          <c:h val="0.69382144940215806"/>
        </c:manualLayout>
      </c:layout>
      <c:barChart>
        <c:barDir val="col"/>
        <c:grouping val="percentStacked"/>
        <c:varyColors val="0"/>
        <c:ser>
          <c:idx val="0"/>
          <c:order val="0"/>
          <c:tx>
            <c:strRef>
              <c:f>'[CARACTERIZACION POBLACION (3).xlsx]Hoja3'!$H$1</c:f>
              <c:strCache>
                <c:ptCount val="1"/>
                <c:pt idx="0">
                  <c:v>Sin violencia</c:v>
                </c:pt>
              </c:strCache>
            </c:strRef>
          </c:tx>
          <c:invertIfNegative val="0"/>
          <c:cat>
            <c:strRef>
              <c:f>'[CARACTERIZACION POBLACION (3).xlsx]Hoja3'!$G$2:$G$3</c:f>
              <c:strCache>
                <c:ptCount val="2"/>
                <c:pt idx="0">
                  <c:v>Rural</c:v>
                </c:pt>
                <c:pt idx="1">
                  <c:v>Urbano</c:v>
                </c:pt>
              </c:strCache>
            </c:strRef>
          </c:cat>
          <c:val>
            <c:numRef>
              <c:f>'[CARACTERIZACION POBLACION (3).xlsx]Hoja3'!$H$2:$H$3</c:f>
              <c:numCache>
                <c:formatCode>0.0%</c:formatCode>
                <c:ptCount val="2"/>
                <c:pt idx="0">
                  <c:v>0.53106436493786624</c:v>
                </c:pt>
                <c:pt idx="1">
                  <c:v>0.38272166012575032</c:v>
                </c:pt>
              </c:numCache>
            </c:numRef>
          </c:val>
        </c:ser>
        <c:ser>
          <c:idx val="1"/>
          <c:order val="1"/>
          <c:tx>
            <c:strRef>
              <c:f>'[CARACTERIZACION POBLACION (3).xlsx]Hoja3'!$I$1</c:f>
              <c:strCache>
                <c:ptCount val="1"/>
                <c:pt idx="0">
                  <c:v>Con violencia</c:v>
                </c:pt>
              </c:strCache>
            </c:strRef>
          </c:tx>
          <c:invertIfNegative val="0"/>
          <c:cat>
            <c:strRef>
              <c:f>'[CARACTERIZACION POBLACION (3).xlsx]Hoja3'!$G$2:$G$3</c:f>
              <c:strCache>
                <c:ptCount val="2"/>
                <c:pt idx="0">
                  <c:v>Rural</c:v>
                </c:pt>
                <c:pt idx="1">
                  <c:v>Urbano</c:v>
                </c:pt>
              </c:strCache>
            </c:strRef>
          </c:cat>
          <c:val>
            <c:numRef>
              <c:f>'[CARACTERIZACION POBLACION (3).xlsx]Hoja3'!$I$2:$I$3</c:f>
              <c:numCache>
                <c:formatCode>0.0%</c:formatCode>
                <c:ptCount val="2"/>
                <c:pt idx="0">
                  <c:v>0.46893563506213376</c:v>
                </c:pt>
                <c:pt idx="1">
                  <c:v>0.61727833987424963</c:v>
                </c:pt>
              </c:numCache>
            </c:numRef>
          </c:val>
        </c:ser>
        <c:dLbls>
          <c:showLegendKey val="0"/>
          <c:showVal val="1"/>
          <c:showCatName val="0"/>
          <c:showSerName val="0"/>
          <c:showPercent val="0"/>
          <c:showBubbleSize val="0"/>
        </c:dLbls>
        <c:gapWidth val="95"/>
        <c:overlap val="100"/>
        <c:axId val="462074880"/>
        <c:axId val="439730752"/>
      </c:barChart>
      <c:catAx>
        <c:axId val="462074880"/>
        <c:scaling>
          <c:orientation val="minMax"/>
        </c:scaling>
        <c:delete val="0"/>
        <c:axPos val="b"/>
        <c:numFmt formatCode="General" sourceLinked="0"/>
        <c:majorTickMark val="none"/>
        <c:minorTickMark val="none"/>
        <c:tickLblPos val="nextTo"/>
        <c:crossAx val="439730752"/>
        <c:crosses val="autoZero"/>
        <c:auto val="1"/>
        <c:lblAlgn val="ctr"/>
        <c:lblOffset val="100"/>
        <c:noMultiLvlLbl val="0"/>
      </c:catAx>
      <c:valAx>
        <c:axId val="439730752"/>
        <c:scaling>
          <c:orientation val="minMax"/>
        </c:scaling>
        <c:delete val="1"/>
        <c:axPos val="l"/>
        <c:numFmt formatCode="0%" sourceLinked="1"/>
        <c:majorTickMark val="none"/>
        <c:minorTickMark val="none"/>
        <c:tickLblPos val="nextTo"/>
        <c:crossAx val="462074880"/>
        <c:crosses val="autoZero"/>
        <c:crossBetween val="between"/>
      </c:valAx>
    </c:plotArea>
    <c:legend>
      <c:legendPos val="t"/>
      <c:layout>
        <c:manualLayout>
          <c:xMode val="edge"/>
          <c:yMode val="edge"/>
          <c:x val="0.32613059191030658"/>
          <c:y val="0.91192147856517936"/>
          <c:w val="0.34321136852800022"/>
          <c:h val="8.3717191601049873E-2"/>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2.6936024339214205E-2"/>
          <c:y val="0.16242089530475357"/>
          <c:w val="0.94612795132157157"/>
          <c:h val="0.60585848643919515"/>
        </c:manualLayout>
      </c:layout>
      <c:barChart>
        <c:barDir val="col"/>
        <c:grouping val="clustered"/>
        <c:varyColors val="0"/>
        <c:ser>
          <c:idx val="0"/>
          <c:order val="0"/>
          <c:tx>
            <c:strRef>
              <c:f>Hoja3!$A$16</c:f>
              <c:strCache>
                <c:ptCount val="1"/>
                <c:pt idx="0">
                  <c:v>Rural</c:v>
                </c:pt>
              </c:strCache>
            </c:strRef>
          </c:tx>
          <c:invertIfNegative val="0"/>
          <c:cat>
            <c:strRef>
              <c:f>Hoja3!$B$15:$E$15</c:f>
              <c:strCache>
                <c:ptCount val="4"/>
                <c:pt idx="0">
                  <c:v>Emocional</c:v>
                </c:pt>
                <c:pt idx="1">
                  <c:v>Económica</c:v>
                </c:pt>
                <c:pt idx="2">
                  <c:v>Física</c:v>
                </c:pt>
                <c:pt idx="3">
                  <c:v>Sexual</c:v>
                </c:pt>
              </c:strCache>
            </c:strRef>
          </c:cat>
          <c:val>
            <c:numRef>
              <c:f>Hoja3!$B$16:$E$16</c:f>
              <c:numCache>
                <c:formatCode>0.0%</c:formatCode>
                <c:ptCount val="4"/>
                <c:pt idx="0">
                  <c:v>0.41344639999999999</c:v>
                </c:pt>
                <c:pt idx="1">
                  <c:v>0.19379199999999999</c:v>
                </c:pt>
                <c:pt idx="2">
                  <c:v>0.15923909999999999</c:v>
                </c:pt>
                <c:pt idx="3">
                  <c:v>0.14976519999999999</c:v>
                </c:pt>
              </c:numCache>
            </c:numRef>
          </c:val>
        </c:ser>
        <c:ser>
          <c:idx val="1"/>
          <c:order val="1"/>
          <c:tx>
            <c:strRef>
              <c:f>Hoja3!$A$17</c:f>
              <c:strCache>
                <c:ptCount val="1"/>
                <c:pt idx="0">
                  <c:v>Urbano</c:v>
                </c:pt>
              </c:strCache>
            </c:strRef>
          </c:tx>
          <c:invertIfNegative val="0"/>
          <c:cat>
            <c:strRef>
              <c:f>Hoja3!$B$15:$E$15</c:f>
              <c:strCache>
                <c:ptCount val="4"/>
                <c:pt idx="0">
                  <c:v>Emocional</c:v>
                </c:pt>
                <c:pt idx="1">
                  <c:v>Económica</c:v>
                </c:pt>
                <c:pt idx="2">
                  <c:v>Física</c:v>
                </c:pt>
                <c:pt idx="3">
                  <c:v>Sexual</c:v>
                </c:pt>
              </c:strCache>
            </c:strRef>
          </c:cat>
          <c:val>
            <c:numRef>
              <c:f>Hoja3!$B$17:$E$17</c:f>
              <c:numCache>
                <c:formatCode>0.0%</c:formatCode>
                <c:ptCount val="4"/>
                <c:pt idx="0">
                  <c:v>0.55829759999999995</c:v>
                </c:pt>
                <c:pt idx="1">
                  <c:v>0.23875209999999999</c:v>
                </c:pt>
                <c:pt idx="2">
                  <c:v>0.1688675</c:v>
                </c:pt>
                <c:pt idx="3">
                  <c:v>0.27467859999999999</c:v>
                </c:pt>
              </c:numCache>
            </c:numRef>
          </c:val>
        </c:ser>
        <c:dLbls>
          <c:showLegendKey val="0"/>
          <c:showVal val="1"/>
          <c:showCatName val="0"/>
          <c:showSerName val="0"/>
          <c:showPercent val="0"/>
          <c:showBubbleSize val="0"/>
        </c:dLbls>
        <c:gapWidth val="150"/>
        <c:overlap val="-25"/>
        <c:axId val="299694080"/>
        <c:axId val="439732480"/>
      </c:barChart>
      <c:catAx>
        <c:axId val="299694080"/>
        <c:scaling>
          <c:orientation val="minMax"/>
        </c:scaling>
        <c:delete val="0"/>
        <c:axPos val="b"/>
        <c:numFmt formatCode="General" sourceLinked="0"/>
        <c:majorTickMark val="none"/>
        <c:minorTickMark val="none"/>
        <c:tickLblPos val="nextTo"/>
        <c:crossAx val="439732480"/>
        <c:crosses val="autoZero"/>
        <c:auto val="1"/>
        <c:lblAlgn val="ctr"/>
        <c:lblOffset val="100"/>
        <c:noMultiLvlLbl val="0"/>
      </c:catAx>
      <c:valAx>
        <c:axId val="439732480"/>
        <c:scaling>
          <c:orientation val="minMax"/>
        </c:scaling>
        <c:delete val="1"/>
        <c:axPos val="l"/>
        <c:numFmt formatCode="0.0%" sourceLinked="1"/>
        <c:majorTickMark val="out"/>
        <c:minorTickMark val="none"/>
        <c:tickLblPos val="nextTo"/>
        <c:crossAx val="299694080"/>
        <c:crosses val="autoZero"/>
        <c:crossBetween val="between"/>
      </c:valAx>
    </c:plotArea>
    <c:legend>
      <c:legendPos val="t"/>
      <c:layout>
        <c:manualLayout>
          <c:xMode val="edge"/>
          <c:yMode val="edge"/>
          <c:x val="0.39416697211514118"/>
          <c:y val="0.89351851851851849"/>
          <c:w val="0.21656351474048385"/>
          <c:h val="8.3717191601049873E-2"/>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3.3333333333333333E-2"/>
          <c:y val="0.14473020515908772"/>
          <c:w val="0.93888888888888888"/>
          <c:h val="0.57067553534105397"/>
        </c:manualLayout>
      </c:layout>
      <c:barChart>
        <c:barDir val="col"/>
        <c:grouping val="percentStacked"/>
        <c:varyColors val="0"/>
        <c:ser>
          <c:idx val="0"/>
          <c:order val="0"/>
          <c:tx>
            <c:strRef>
              <c:f>'[CARACTERIZACION POBLACION (3).xlsx]Hoja6'!$H$1</c:f>
              <c:strCache>
                <c:ptCount val="1"/>
                <c:pt idx="0">
                  <c:v>Sin violencia</c:v>
                </c:pt>
              </c:strCache>
            </c:strRef>
          </c:tx>
          <c:invertIfNegative val="0"/>
          <c:cat>
            <c:strRef>
              <c:f>'[CARACTERIZACION POBLACION (3).xlsx]Hoja6'!$G$2:$G$3</c:f>
              <c:strCache>
                <c:ptCount val="2"/>
                <c:pt idx="0">
                  <c:v>Hablantes lengua índigena</c:v>
                </c:pt>
                <c:pt idx="1">
                  <c:v>No hablantes lengua índigena</c:v>
                </c:pt>
              </c:strCache>
            </c:strRef>
          </c:cat>
          <c:val>
            <c:numRef>
              <c:f>'[CARACTERIZACION POBLACION (3).xlsx]Hoja6'!$H$2:$H$3</c:f>
              <c:numCache>
                <c:formatCode>0.0%</c:formatCode>
                <c:ptCount val="2"/>
                <c:pt idx="0">
                  <c:v>0.51376950740240368</c:v>
                </c:pt>
                <c:pt idx="1">
                  <c:v>0.40881659574127621</c:v>
                </c:pt>
              </c:numCache>
            </c:numRef>
          </c:val>
        </c:ser>
        <c:ser>
          <c:idx val="1"/>
          <c:order val="1"/>
          <c:tx>
            <c:strRef>
              <c:f>'[CARACTERIZACION POBLACION (3).xlsx]Hoja6'!$I$1</c:f>
              <c:strCache>
                <c:ptCount val="1"/>
                <c:pt idx="0">
                  <c:v>Con Violencia</c:v>
                </c:pt>
              </c:strCache>
            </c:strRef>
          </c:tx>
          <c:invertIfNegative val="0"/>
          <c:cat>
            <c:strRef>
              <c:f>'[CARACTERIZACION POBLACION (3).xlsx]Hoja6'!$G$2:$G$3</c:f>
              <c:strCache>
                <c:ptCount val="2"/>
                <c:pt idx="0">
                  <c:v>Hablantes lengua índigena</c:v>
                </c:pt>
                <c:pt idx="1">
                  <c:v>No hablantes lengua índigena</c:v>
                </c:pt>
              </c:strCache>
            </c:strRef>
          </c:cat>
          <c:val>
            <c:numRef>
              <c:f>'[CARACTERIZACION POBLACION (3).xlsx]Hoja6'!$I$2:$I$3</c:f>
              <c:numCache>
                <c:formatCode>0.0%</c:formatCode>
                <c:ptCount val="2"/>
                <c:pt idx="0">
                  <c:v>0.48623049259759632</c:v>
                </c:pt>
                <c:pt idx="1">
                  <c:v>0.59118340425872373</c:v>
                </c:pt>
              </c:numCache>
            </c:numRef>
          </c:val>
        </c:ser>
        <c:dLbls>
          <c:showLegendKey val="0"/>
          <c:showVal val="1"/>
          <c:showCatName val="0"/>
          <c:showSerName val="0"/>
          <c:showPercent val="0"/>
          <c:showBubbleSize val="0"/>
        </c:dLbls>
        <c:gapWidth val="95"/>
        <c:overlap val="100"/>
        <c:axId val="304144384"/>
        <c:axId val="439734208"/>
      </c:barChart>
      <c:catAx>
        <c:axId val="304144384"/>
        <c:scaling>
          <c:orientation val="minMax"/>
        </c:scaling>
        <c:delete val="0"/>
        <c:axPos val="b"/>
        <c:numFmt formatCode="General" sourceLinked="1"/>
        <c:majorTickMark val="none"/>
        <c:minorTickMark val="none"/>
        <c:tickLblPos val="nextTo"/>
        <c:crossAx val="439734208"/>
        <c:crosses val="autoZero"/>
        <c:auto val="1"/>
        <c:lblAlgn val="ctr"/>
        <c:lblOffset val="100"/>
        <c:noMultiLvlLbl val="0"/>
      </c:catAx>
      <c:valAx>
        <c:axId val="439734208"/>
        <c:scaling>
          <c:orientation val="minMax"/>
        </c:scaling>
        <c:delete val="1"/>
        <c:axPos val="l"/>
        <c:numFmt formatCode="0%" sourceLinked="1"/>
        <c:majorTickMark val="out"/>
        <c:minorTickMark val="none"/>
        <c:tickLblPos val="nextTo"/>
        <c:crossAx val="304144384"/>
        <c:crosses val="autoZero"/>
        <c:crossBetween val="between"/>
      </c:valAx>
    </c:plotArea>
    <c:legend>
      <c:legendPos val="t"/>
      <c:layout>
        <c:manualLayout>
          <c:xMode val="edge"/>
          <c:yMode val="edge"/>
          <c:x val="0.3097143482064742"/>
          <c:y val="0.90277777777777779"/>
          <c:w val="0.41047798602639457"/>
          <c:h val="8.3717191601049873E-2"/>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
          <c:y val="9.2860892388451438E-2"/>
          <c:w val="0.99140024448998665"/>
          <c:h val="0.63484373065806965"/>
        </c:manualLayout>
      </c:layout>
      <c:barChart>
        <c:barDir val="col"/>
        <c:grouping val="clustered"/>
        <c:varyColors val="0"/>
        <c:ser>
          <c:idx val="0"/>
          <c:order val="0"/>
          <c:tx>
            <c:strRef>
              <c:f>Hoja6!$A$11</c:f>
              <c:strCache>
                <c:ptCount val="1"/>
                <c:pt idx="0">
                  <c:v>Hablantes lengua índigena</c:v>
                </c:pt>
              </c:strCache>
            </c:strRef>
          </c:tx>
          <c:invertIfNegative val="0"/>
          <c:cat>
            <c:strRef>
              <c:f>Hoja6!$B$10:$E$10</c:f>
              <c:strCache>
                <c:ptCount val="4"/>
                <c:pt idx="0">
                  <c:v>Emocional</c:v>
                </c:pt>
                <c:pt idx="1">
                  <c:v>Económica</c:v>
                </c:pt>
                <c:pt idx="2">
                  <c:v>Física</c:v>
                </c:pt>
                <c:pt idx="3">
                  <c:v>Sexual</c:v>
                </c:pt>
              </c:strCache>
            </c:strRef>
          </c:cat>
          <c:val>
            <c:numRef>
              <c:f>Hoja6!$B$11:$E$11</c:f>
              <c:numCache>
                <c:formatCode>0.0%</c:formatCode>
                <c:ptCount val="4"/>
                <c:pt idx="0">
                  <c:v>0.42960359999999997</c:v>
                </c:pt>
                <c:pt idx="1">
                  <c:v>0.1979832</c:v>
                </c:pt>
                <c:pt idx="2">
                  <c:v>0.18609120000000001</c:v>
                </c:pt>
                <c:pt idx="3">
                  <c:v>0.17310500000000001</c:v>
                </c:pt>
              </c:numCache>
            </c:numRef>
          </c:val>
        </c:ser>
        <c:ser>
          <c:idx val="1"/>
          <c:order val="1"/>
          <c:tx>
            <c:strRef>
              <c:f>Hoja6!$A$12</c:f>
              <c:strCache>
                <c:ptCount val="1"/>
                <c:pt idx="0">
                  <c:v>No hablantes lengua índigena</c:v>
                </c:pt>
              </c:strCache>
            </c:strRef>
          </c:tx>
          <c:invertIfNegative val="0"/>
          <c:cat>
            <c:strRef>
              <c:f>Hoja6!$B$10:$E$10</c:f>
              <c:strCache>
                <c:ptCount val="4"/>
                <c:pt idx="0">
                  <c:v>Emocional</c:v>
                </c:pt>
                <c:pt idx="1">
                  <c:v>Económica</c:v>
                </c:pt>
                <c:pt idx="2">
                  <c:v>Física</c:v>
                </c:pt>
                <c:pt idx="3">
                  <c:v>Sexual</c:v>
                </c:pt>
              </c:strCache>
            </c:strRef>
          </c:cat>
          <c:val>
            <c:numRef>
              <c:f>Hoja6!$B$12:$E$12</c:f>
              <c:numCache>
                <c:formatCode>0.0%</c:formatCode>
                <c:ptCount val="4"/>
                <c:pt idx="0">
                  <c:v>0.53284949999999998</c:v>
                </c:pt>
                <c:pt idx="1">
                  <c:v>0.2309438</c:v>
                </c:pt>
                <c:pt idx="2">
                  <c:v>0.16534960000000001</c:v>
                </c:pt>
                <c:pt idx="3">
                  <c:v>0.25214059999999999</c:v>
                </c:pt>
              </c:numCache>
            </c:numRef>
          </c:val>
        </c:ser>
        <c:dLbls>
          <c:showLegendKey val="0"/>
          <c:showVal val="1"/>
          <c:showCatName val="0"/>
          <c:showSerName val="0"/>
          <c:showPercent val="0"/>
          <c:showBubbleSize val="0"/>
        </c:dLbls>
        <c:gapWidth val="150"/>
        <c:overlap val="-25"/>
        <c:axId val="299695616"/>
        <c:axId val="439736512"/>
      </c:barChart>
      <c:catAx>
        <c:axId val="299695616"/>
        <c:scaling>
          <c:orientation val="minMax"/>
        </c:scaling>
        <c:delete val="0"/>
        <c:axPos val="b"/>
        <c:numFmt formatCode="General" sourceLinked="0"/>
        <c:majorTickMark val="none"/>
        <c:minorTickMark val="none"/>
        <c:tickLblPos val="nextTo"/>
        <c:crossAx val="439736512"/>
        <c:crosses val="autoZero"/>
        <c:auto val="1"/>
        <c:lblAlgn val="ctr"/>
        <c:lblOffset val="100"/>
        <c:noMultiLvlLbl val="0"/>
      </c:catAx>
      <c:valAx>
        <c:axId val="439736512"/>
        <c:scaling>
          <c:orientation val="minMax"/>
        </c:scaling>
        <c:delete val="1"/>
        <c:axPos val="l"/>
        <c:numFmt formatCode="0.0%" sourceLinked="1"/>
        <c:majorTickMark val="out"/>
        <c:minorTickMark val="none"/>
        <c:tickLblPos val="nextTo"/>
        <c:crossAx val="299695616"/>
        <c:crosses val="autoZero"/>
        <c:crossBetween val="between"/>
      </c:valAx>
    </c:plotArea>
    <c:legend>
      <c:legendPos val="t"/>
      <c:layout>
        <c:manualLayout>
          <c:xMode val="edge"/>
          <c:yMode val="edge"/>
          <c:x val="0.18282480314960631"/>
          <c:y val="0.90266221930592005"/>
          <c:w val="0.70101706036745404"/>
          <c:h val="8.3717191601049873E-2"/>
        </c:manualLayout>
      </c:layou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DF78A4-CE43-4AE8-AA89-33B75372CF95}" type="doc">
      <dgm:prSet loTypeId="urn:microsoft.com/office/officeart/2005/8/layout/vProcess5" loCatId="process" qsTypeId="urn:microsoft.com/office/officeart/2005/8/quickstyle/simple4" qsCatId="simple" csTypeId="urn:microsoft.com/office/officeart/2005/8/colors/accent0_1" csCatId="mainScheme" phldr="1"/>
      <dgm:spPr/>
      <dgm:t>
        <a:bodyPr/>
        <a:lstStyle/>
        <a:p>
          <a:endParaRPr lang="es-MX"/>
        </a:p>
      </dgm:t>
    </dgm:pt>
    <dgm:pt modelId="{C63CC95C-DED6-4182-830F-23C4354A1FD8}">
      <dgm:prSet phldrT="[Texto]" custT="1"/>
      <dgm:spPr/>
      <dgm:t>
        <a:bodyPr/>
        <a:lstStyle/>
        <a:p>
          <a:r>
            <a:rPr lang="es-MX" sz="1000">
              <a:latin typeface="Adobe Caslon Pro" pitchFamily="18" charset="0"/>
            </a:rPr>
            <a:t>PND: Meta Nacional II: México Incluyente</a:t>
          </a:r>
        </a:p>
      </dgm:t>
    </dgm:pt>
    <dgm:pt modelId="{1418B1F2-0837-443B-8B1F-FB342CD72D09}" type="parTrans" cxnId="{3C3CBE94-8E1F-4E80-899B-D50D0758ECA8}">
      <dgm:prSet/>
      <dgm:spPr/>
      <dgm:t>
        <a:bodyPr/>
        <a:lstStyle/>
        <a:p>
          <a:endParaRPr lang="es-MX" sz="1000">
            <a:latin typeface="Adobe Caslon Pro" pitchFamily="18" charset="0"/>
          </a:endParaRPr>
        </a:p>
      </dgm:t>
    </dgm:pt>
    <dgm:pt modelId="{5EEF9957-2663-4012-8A2F-372E674FA752}" type="sibTrans" cxnId="{3C3CBE94-8E1F-4E80-899B-D50D0758ECA8}">
      <dgm:prSet custT="1"/>
      <dgm:spPr/>
      <dgm:t>
        <a:bodyPr/>
        <a:lstStyle/>
        <a:p>
          <a:endParaRPr lang="es-MX" sz="1000">
            <a:latin typeface="Adobe Caslon Pro" pitchFamily="18" charset="0"/>
          </a:endParaRPr>
        </a:p>
      </dgm:t>
    </dgm:pt>
    <dgm:pt modelId="{1FA30136-6029-4022-B405-79F234534A21}">
      <dgm:prSet phldrT="[Texto]" custT="1"/>
      <dgm:spPr/>
      <dgm:t>
        <a:bodyPr/>
        <a:lstStyle/>
        <a:p>
          <a:r>
            <a:rPr lang="es-MX" sz="1000">
              <a:latin typeface="Adobe Caslon Pro" pitchFamily="18" charset="0"/>
            </a:rPr>
            <a:t>Objetivo 2.2 Transitar hacia una sociedad incluyente</a:t>
          </a:r>
        </a:p>
      </dgm:t>
    </dgm:pt>
    <dgm:pt modelId="{937E0E4D-4FBE-4441-AE6E-0F9049DFB639}" type="parTrans" cxnId="{BAC16CBB-5DEA-4A25-BBB9-C5F1AB04619C}">
      <dgm:prSet/>
      <dgm:spPr/>
      <dgm:t>
        <a:bodyPr/>
        <a:lstStyle/>
        <a:p>
          <a:endParaRPr lang="es-MX" sz="1000">
            <a:latin typeface="Adobe Caslon Pro" pitchFamily="18" charset="0"/>
          </a:endParaRPr>
        </a:p>
      </dgm:t>
    </dgm:pt>
    <dgm:pt modelId="{CD056C67-2F85-403B-B32D-BBAB74FA5D77}" type="sibTrans" cxnId="{BAC16CBB-5DEA-4A25-BBB9-C5F1AB04619C}">
      <dgm:prSet custT="1"/>
      <dgm:spPr/>
      <dgm:t>
        <a:bodyPr/>
        <a:lstStyle/>
        <a:p>
          <a:endParaRPr lang="es-MX" sz="1000">
            <a:latin typeface="Adobe Caslon Pro" pitchFamily="18" charset="0"/>
          </a:endParaRPr>
        </a:p>
      </dgm:t>
    </dgm:pt>
    <dgm:pt modelId="{679B835D-B5C0-47BD-AE6F-3AB6F8BE5B58}">
      <dgm:prSet phldrT="[Texto]" custT="1"/>
      <dgm:spPr/>
      <dgm:t>
        <a:bodyPr/>
        <a:lstStyle/>
        <a:p>
          <a:r>
            <a:rPr lang="es-MX" sz="1000">
              <a:latin typeface="Adobe Caslon Pro" pitchFamily="18" charset="0"/>
            </a:rPr>
            <a:t>Estrategia 2.2.2 Artícular políticas que atiendan de manera específica cada etapa del ciclo de vida de la población</a:t>
          </a:r>
        </a:p>
      </dgm:t>
    </dgm:pt>
    <dgm:pt modelId="{98EEC086-F164-4F61-A55B-69FD942E81DB}" type="parTrans" cxnId="{AF91AFB1-E024-4406-9693-F5B9C40F0296}">
      <dgm:prSet/>
      <dgm:spPr/>
      <dgm:t>
        <a:bodyPr/>
        <a:lstStyle/>
        <a:p>
          <a:endParaRPr lang="es-MX" sz="1000">
            <a:latin typeface="Adobe Caslon Pro" pitchFamily="18" charset="0"/>
          </a:endParaRPr>
        </a:p>
      </dgm:t>
    </dgm:pt>
    <dgm:pt modelId="{E6895533-1244-4710-BC01-23B55C9A4798}" type="sibTrans" cxnId="{AF91AFB1-E024-4406-9693-F5B9C40F0296}">
      <dgm:prSet custT="1"/>
      <dgm:spPr/>
      <dgm:t>
        <a:bodyPr/>
        <a:lstStyle/>
        <a:p>
          <a:endParaRPr lang="es-MX" sz="1000">
            <a:latin typeface="Adobe Caslon Pro" pitchFamily="18" charset="0"/>
          </a:endParaRPr>
        </a:p>
      </dgm:t>
    </dgm:pt>
    <dgm:pt modelId="{9A5F265D-F0A5-4B82-9CE0-273D156B2C7F}">
      <dgm:prSet phldrT="[Texto]" custT="1"/>
      <dgm:spPr/>
      <dgm:t>
        <a:bodyPr/>
        <a:lstStyle/>
        <a:p>
          <a:r>
            <a:rPr lang="es-MX" sz="1000" b="0">
              <a:latin typeface="Adobe Caslon Pro" pitchFamily="18" charset="0"/>
            </a:rPr>
            <a:t>PSDS: Objetivo 4. Construir una Sociedad igualitaria donde exista acceso irrestricto al bienestar social mediante acciones que protejan el ejercicio de los derechos de todas las personas.</a:t>
          </a:r>
        </a:p>
      </dgm:t>
    </dgm:pt>
    <dgm:pt modelId="{A494991B-EAB2-43EA-8FA0-97199026B9E2}" type="parTrans" cxnId="{520C7285-D814-466A-BEA3-0D3C848F9F14}">
      <dgm:prSet/>
      <dgm:spPr/>
      <dgm:t>
        <a:bodyPr/>
        <a:lstStyle/>
        <a:p>
          <a:endParaRPr lang="es-MX" sz="1000">
            <a:latin typeface="Adobe Caslon Pro" pitchFamily="18" charset="0"/>
          </a:endParaRPr>
        </a:p>
      </dgm:t>
    </dgm:pt>
    <dgm:pt modelId="{75970E18-B42F-49EF-9A8A-E212A378C743}" type="sibTrans" cxnId="{520C7285-D814-466A-BEA3-0D3C848F9F14}">
      <dgm:prSet custT="1"/>
      <dgm:spPr/>
      <dgm:t>
        <a:bodyPr/>
        <a:lstStyle/>
        <a:p>
          <a:endParaRPr lang="es-MX" sz="1000">
            <a:latin typeface="Adobe Caslon Pro" pitchFamily="18" charset="0"/>
          </a:endParaRPr>
        </a:p>
      </dgm:t>
    </dgm:pt>
    <dgm:pt modelId="{DD6935A9-FEEC-4C79-8269-558001294FF8}">
      <dgm:prSet phldrT="[Texto]" custT="1"/>
      <dgm:spPr/>
      <dgm:t>
        <a:bodyPr/>
        <a:lstStyle/>
        <a:p>
          <a:r>
            <a:rPr lang="es-MX" sz="1000" dirty="0" smtClean="0">
              <a:latin typeface="Adobe Caslon Pro" pitchFamily="18" charset="0"/>
            </a:rPr>
            <a:t>Estrategia 4..4 Prevenir y atender la violencia contra las mujeres a través del fortalecimiento de las instancias de mujeres en las entidades federativas y su coordinación con otras instancias públicas</a:t>
          </a:r>
          <a:endParaRPr lang="es-MX" sz="1000">
            <a:latin typeface="Adobe Caslon Pro" pitchFamily="18" charset="0"/>
          </a:endParaRPr>
        </a:p>
      </dgm:t>
    </dgm:pt>
    <dgm:pt modelId="{C1B93B88-499F-4C31-A836-B659DDB71CBE}" type="parTrans" cxnId="{491C5E1D-9D61-479C-B4C8-2EE0B30820E2}">
      <dgm:prSet/>
      <dgm:spPr/>
      <dgm:t>
        <a:bodyPr/>
        <a:lstStyle/>
        <a:p>
          <a:endParaRPr lang="es-MX" sz="1000">
            <a:latin typeface="Adobe Caslon Pro" pitchFamily="18" charset="0"/>
          </a:endParaRPr>
        </a:p>
      </dgm:t>
    </dgm:pt>
    <dgm:pt modelId="{8ACBAF31-1891-4F74-9E83-4134C4CECF17}" type="sibTrans" cxnId="{491C5E1D-9D61-479C-B4C8-2EE0B30820E2}">
      <dgm:prSet/>
      <dgm:spPr/>
      <dgm:t>
        <a:bodyPr/>
        <a:lstStyle/>
        <a:p>
          <a:endParaRPr lang="es-MX" sz="1000">
            <a:latin typeface="Adobe Caslon Pro" pitchFamily="18" charset="0"/>
          </a:endParaRPr>
        </a:p>
      </dgm:t>
    </dgm:pt>
    <dgm:pt modelId="{85C4F6AA-564A-4792-B4B3-6D896EAB7AC1}" type="pres">
      <dgm:prSet presAssocID="{3BDF78A4-CE43-4AE8-AA89-33B75372CF95}" presName="outerComposite" presStyleCnt="0">
        <dgm:presLayoutVars>
          <dgm:chMax val="5"/>
          <dgm:dir/>
          <dgm:resizeHandles val="exact"/>
        </dgm:presLayoutVars>
      </dgm:prSet>
      <dgm:spPr/>
      <dgm:t>
        <a:bodyPr/>
        <a:lstStyle/>
        <a:p>
          <a:endParaRPr lang="es-MX"/>
        </a:p>
      </dgm:t>
    </dgm:pt>
    <dgm:pt modelId="{8E7B4EBE-43ED-48C3-A525-D65CCEF1784B}" type="pres">
      <dgm:prSet presAssocID="{3BDF78A4-CE43-4AE8-AA89-33B75372CF95}" presName="dummyMaxCanvas" presStyleCnt="0">
        <dgm:presLayoutVars/>
      </dgm:prSet>
      <dgm:spPr/>
      <dgm:t>
        <a:bodyPr/>
        <a:lstStyle/>
        <a:p>
          <a:endParaRPr lang="es-MX"/>
        </a:p>
      </dgm:t>
    </dgm:pt>
    <dgm:pt modelId="{7D566A15-D9F6-40C1-B266-B9006AD17189}" type="pres">
      <dgm:prSet presAssocID="{3BDF78A4-CE43-4AE8-AA89-33B75372CF95}" presName="FiveNodes_1" presStyleLbl="node1" presStyleIdx="0" presStyleCnt="5">
        <dgm:presLayoutVars>
          <dgm:bulletEnabled val="1"/>
        </dgm:presLayoutVars>
      </dgm:prSet>
      <dgm:spPr/>
      <dgm:t>
        <a:bodyPr/>
        <a:lstStyle/>
        <a:p>
          <a:endParaRPr lang="es-MX"/>
        </a:p>
      </dgm:t>
    </dgm:pt>
    <dgm:pt modelId="{3C83F742-CC77-4A69-B472-26597C185771}" type="pres">
      <dgm:prSet presAssocID="{3BDF78A4-CE43-4AE8-AA89-33B75372CF95}" presName="FiveNodes_2" presStyleLbl="node1" presStyleIdx="1" presStyleCnt="5">
        <dgm:presLayoutVars>
          <dgm:bulletEnabled val="1"/>
        </dgm:presLayoutVars>
      </dgm:prSet>
      <dgm:spPr/>
      <dgm:t>
        <a:bodyPr/>
        <a:lstStyle/>
        <a:p>
          <a:endParaRPr lang="es-MX"/>
        </a:p>
      </dgm:t>
    </dgm:pt>
    <dgm:pt modelId="{41709593-8EC2-4FB3-AFF1-7C1F72D90CD7}" type="pres">
      <dgm:prSet presAssocID="{3BDF78A4-CE43-4AE8-AA89-33B75372CF95}" presName="FiveNodes_3" presStyleLbl="node1" presStyleIdx="2" presStyleCnt="5">
        <dgm:presLayoutVars>
          <dgm:bulletEnabled val="1"/>
        </dgm:presLayoutVars>
      </dgm:prSet>
      <dgm:spPr/>
      <dgm:t>
        <a:bodyPr/>
        <a:lstStyle/>
        <a:p>
          <a:endParaRPr lang="es-MX"/>
        </a:p>
      </dgm:t>
    </dgm:pt>
    <dgm:pt modelId="{8E6DD241-8966-4042-8C4C-783FECAFE736}" type="pres">
      <dgm:prSet presAssocID="{3BDF78A4-CE43-4AE8-AA89-33B75372CF95}" presName="FiveNodes_4" presStyleLbl="node1" presStyleIdx="3" presStyleCnt="5">
        <dgm:presLayoutVars>
          <dgm:bulletEnabled val="1"/>
        </dgm:presLayoutVars>
      </dgm:prSet>
      <dgm:spPr/>
      <dgm:t>
        <a:bodyPr/>
        <a:lstStyle/>
        <a:p>
          <a:endParaRPr lang="es-MX"/>
        </a:p>
      </dgm:t>
    </dgm:pt>
    <dgm:pt modelId="{9EA98216-B6BA-406C-81BF-0DA263E7BDC7}" type="pres">
      <dgm:prSet presAssocID="{3BDF78A4-CE43-4AE8-AA89-33B75372CF95}" presName="FiveNodes_5" presStyleLbl="node1" presStyleIdx="4" presStyleCnt="5">
        <dgm:presLayoutVars>
          <dgm:bulletEnabled val="1"/>
        </dgm:presLayoutVars>
      </dgm:prSet>
      <dgm:spPr/>
      <dgm:t>
        <a:bodyPr/>
        <a:lstStyle/>
        <a:p>
          <a:endParaRPr lang="es-MX"/>
        </a:p>
      </dgm:t>
    </dgm:pt>
    <dgm:pt modelId="{2A8FDE7C-FE5E-47AF-9EE5-F1A1B9CAEF77}" type="pres">
      <dgm:prSet presAssocID="{3BDF78A4-CE43-4AE8-AA89-33B75372CF95}" presName="FiveConn_1-2" presStyleLbl="fgAccFollowNode1" presStyleIdx="0" presStyleCnt="4">
        <dgm:presLayoutVars>
          <dgm:bulletEnabled val="1"/>
        </dgm:presLayoutVars>
      </dgm:prSet>
      <dgm:spPr/>
      <dgm:t>
        <a:bodyPr/>
        <a:lstStyle/>
        <a:p>
          <a:endParaRPr lang="es-MX"/>
        </a:p>
      </dgm:t>
    </dgm:pt>
    <dgm:pt modelId="{07FB64C5-709F-4A3B-8FD5-A4EBDEE0CDFC}" type="pres">
      <dgm:prSet presAssocID="{3BDF78A4-CE43-4AE8-AA89-33B75372CF95}" presName="FiveConn_2-3" presStyleLbl="fgAccFollowNode1" presStyleIdx="1" presStyleCnt="4">
        <dgm:presLayoutVars>
          <dgm:bulletEnabled val="1"/>
        </dgm:presLayoutVars>
      </dgm:prSet>
      <dgm:spPr/>
      <dgm:t>
        <a:bodyPr/>
        <a:lstStyle/>
        <a:p>
          <a:endParaRPr lang="es-MX"/>
        </a:p>
      </dgm:t>
    </dgm:pt>
    <dgm:pt modelId="{5D5B7622-A74C-47FB-A9EF-A9468BE85011}" type="pres">
      <dgm:prSet presAssocID="{3BDF78A4-CE43-4AE8-AA89-33B75372CF95}" presName="FiveConn_3-4" presStyleLbl="fgAccFollowNode1" presStyleIdx="2" presStyleCnt="4">
        <dgm:presLayoutVars>
          <dgm:bulletEnabled val="1"/>
        </dgm:presLayoutVars>
      </dgm:prSet>
      <dgm:spPr/>
      <dgm:t>
        <a:bodyPr/>
        <a:lstStyle/>
        <a:p>
          <a:endParaRPr lang="es-MX"/>
        </a:p>
      </dgm:t>
    </dgm:pt>
    <dgm:pt modelId="{51B972CA-032D-435D-AEB7-89347892DEE6}" type="pres">
      <dgm:prSet presAssocID="{3BDF78A4-CE43-4AE8-AA89-33B75372CF95}" presName="FiveConn_4-5" presStyleLbl="fgAccFollowNode1" presStyleIdx="3" presStyleCnt="4">
        <dgm:presLayoutVars>
          <dgm:bulletEnabled val="1"/>
        </dgm:presLayoutVars>
      </dgm:prSet>
      <dgm:spPr/>
      <dgm:t>
        <a:bodyPr/>
        <a:lstStyle/>
        <a:p>
          <a:endParaRPr lang="es-MX"/>
        </a:p>
      </dgm:t>
    </dgm:pt>
    <dgm:pt modelId="{0B57B013-F078-497D-B3D5-B258A91FBE13}" type="pres">
      <dgm:prSet presAssocID="{3BDF78A4-CE43-4AE8-AA89-33B75372CF95}" presName="FiveNodes_1_text" presStyleLbl="node1" presStyleIdx="4" presStyleCnt="5">
        <dgm:presLayoutVars>
          <dgm:bulletEnabled val="1"/>
        </dgm:presLayoutVars>
      </dgm:prSet>
      <dgm:spPr/>
      <dgm:t>
        <a:bodyPr/>
        <a:lstStyle/>
        <a:p>
          <a:endParaRPr lang="es-MX"/>
        </a:p>
      </dgm:t>
    </dgm:pt>
    <dgm:pt modelId="{B9E5BF8D-D238-4128-BEA8-9AAC5B45DB99}" type="pres">
      <dgm:prSet presAssocID="{3BDF78A4-CE43-4AE8-AA89-33B75372CF95}" presName="FiveNodes_2_text" presStyleLbl="node1" presStyleIdx="4" presStyleCnt="5">
        <dgm:presLayoutVars>
          <dgm:bulletEnabled val="1"/>
        </dgm:presLayoutVars>
      </dgm:prSet>
      <dgm:spPr/>
      <dgm:t>
        <a:bodyPr/>
        <a:lstStyle/>
        <a:p>
          <a:endParaRPr lang="es-MX"/>
        </a:p>
      </dgm:t>
    </dgm:pt>
    <dgm:pt modelId="{018154F2-BD02-4B9C-931E-F673E1911984}" type="pres">
      <dgm:prSet presAssocID="{3BDF78A4-CE43-4AE8-AA89-33B75372CF95}" presName="FiveNodes_3_text" presStyleLbl="node1" presStyleIdx="4" presStyleCnt="5">
        <dgm:presLayoutVars>
          <dgm:bulletEnabled val="1"/>
        </dgm:presLayoutVars>
      </dgm:prSet>
      <dgm:spPr/>
      <dgm:t>
        <a:bodyPr/>
        <a:lstStyle/>
        <a:p>
          <a:endParaRPr lang="es-MX"/>
        </a:p>
      </dgm:t>
    </dgm:pt>
    <dgm:pt modelId="{868F0EED-F849-4672-9725-BC9EAA93DED4}" type="pres">
      <dgm:prSet presAssocID="{3BDF78A4-CE43-4AE8-AA89-33B75372CF95}" presName="FiveNodes_4_text" presStyleLbl="node1" presStyleIdx="4" presStyleCnt="5">
        <dgm:presLayoutVars>
          <dgm:bulletEnabled val="1"/>
        </dgm:presLayoutVars>
      </dgm:prSet>
      <dgm:spPr/>
      <dgm:t>
        <a:bodyPr/>
        <a:lstStyle/>
        <a:p>
          <a:endParaRPr lang="es-MX"/>
        </a:p>
      </dgm:t>
    </dgm:pt>
    <dgm:pt modelId="{D232269D-31DF-416D-9066-1F83A78EF3FB}" type="pres">
      <dgm:prSet presAssocID="{3BDF78A4-CE43-4AE8-AA89-33B75372CF95}" presName="FiveNodes_5_text" presStyleLbl="node1" presStyleIdx="4" presStyleCnt="5">
        <dgm:presLayoutVars>
          <dgm:bulletEnabled val="1"/>
        </dgm:presLayoutVars>
      </dgm:prSet>
      <dgm:spPr/>
      <dgm:t>
        <a:bodyPr/>
        <a:lstStyle/>
        <a:p>
          <a:endParaRPr lang="es-MX"/>
        </a:p>
      </dgm:t>
    </dgm:pt>
  </dgm:ptLst>
  <dgm:cxnLst>
    <dgm:cxn modelId="{3C3CBE94-8E1F-4E80-899B-D50D0758ECA8}" srcId="{3BDF78A4-CE43-4AE8-AA89-33B75372CF95}" destId="{C63CC95C-DED6-4182-830F-23C4354A1FD8}" srcOrd="0" destOrd="0" parTransId="{1418B1F2-0837-443B-8B1F-FB342CD72D09}" sibTransId="{5EEF9957-2663-4012-8A2F-372E674FA752}"/>
    <dgm:cxn modelId="{8B9E44BC-899D-48EB-814E-442AD2DACE57}" type="presOf" srcId="{75970E18-B42F-49EF-9A8A-E212A378C743}" destId="{51B972CA-032D-435D-AEB7-89347892DEE6}" srcOrd="0" destOrd="0" presId="urn:microsoft.com/office/officeart/2005/8/layout/vProcess5"/>
    <dgm:cxn modelId="{5CDFBA2E-C623-491B-BCE5-FBAA29FAC671}" type="presOf" srcId="{DD6935A9-FEEC-4C79-8269-558001294FF8}" destId="{D232269D-31DF-416D-9066-1F83A78EF3FB}" srcOrd="1" destOrd="0" presId="urn:microsoft.com/office/officeart/2005/8/layout/vProcess5"/>
    <dgm:cxn modelId="{FC2EA4E7-02D5-4F8F-A5DF-EFEF01B5B81A}" type="presOf" srcId="{679B835D-B5C0-47BD-AE6F-3AB6F8BE5B58}" destId="{018154F2-BD02-4B9C-931E-F673E1911984}" srcOrd="1" destOrd="0" presId="urn:microsoft.com/office/officeart/2005/8/layout/vProcess5"/>
    <dgm:cxn modelId="{70A3F58C-CBF4-49A3-85C2-0BBE0C8DAF05}" type="presOf" srcId="{CD056C67-2F85-403B-B32D-BBAB74FA5D77}" destId="{07FB64C5-709F-4A3B-8FD5-A4EBDEE0CDFC}" srcOrd="0" destOrd="0" presId="urn:microsoft.com/office/officeart/2005/8/layout/vProcess5"/>
    <dgm:cxn modelId="{451B4C06-7E18-486D-9DFD-3CC89A0F9C71}" type="presOf" srcId="{1FA30136-6029-4022-B405-79F234534A21}" destId="{B9E5BF8D-D238-4128-BEA8-9AAC5B45DB99}" srcOrd="1" destOrd="0" presId="urn:microsoft.com/office/officeart/2005/8/layout/vProcess5"/>
    <dgm:cxn modelId="{491C5E1D-9D61-479C-B4C8-2EE0B30820E2}" srcId="{3BDF78A4-CE43-4AE8-AA89-33B75372CF95}" destId="{DD6935A9-FEEC-4C79-8269-558001294FF8}" srcOrd="4" destOrd="0" parTransId="{C1B93B88-499F-4C31-A836-B659DDB71CBE}" sibTransId="{8ACBAF31-1891-4F74-9E83-4134C4CECF17}"/>
    <dgm:cxn modelId="{C4ABA013-D277-4A16-9647-DAEC796770D9}" type="presOf" srcId="{C63CC95C-DED6-4182-830F-23C4354A1FD8}" destId="{7D566A15-D9F6-40C1-B266-B9006AD17189}" srcOrd="0" destOrd="0" presId="urn:microsoft.com/office/officeart/2005/8/layout/vProcess5"/>
    <dgm:cxn modelId="{F54AE34A-9201-4338-BD51-D42B53D36645}" type="presOf" srcId="{1FA30136-6029-4022-B405-79F234534A21}" destId="{3C83F742-CC77-4A69-B472-26597C185771}" srcOrd="0" destOrd="0" presId="urn:microsoft.com/office/officeart/2005/8/layout/vProcess5"/>
    <dgm:cxn modelId="{FBFE70F7-7D41-4B12-9908-8178EA921E08}" type="presOf" srcId="{5EEF9957-2663-4012-8A2F-372E674FA752}" destId="{2A8FDE7C-FE5E-47AF-9EE5-F1A1B9CAEF77}" srcOrd="0" destOrd="0" presId="urn:microsoft.com/office/officeart/2005/8/layout/vProcess5"/>
    <dgm:cxn modelId="{7EA32440-9D14-41D3-B906-82D25C0B38D8}" type="presOf" srcId="{9A5F265D-F0A5-4B82-9CE0-273D156B2C7F}" destId="{8E6DD241-8966-4042-8C4C-783FECAFE736}" srcOrd="0" destOrd="0" presId="urn:microsoft.com/office/officeart/2005/8/layout/vProcess5"/>
    <dgm:cxn modelId="{520C7285-D814-466A-BEA3-0D3C848F9F14}" srcId="{3BDF78A4-CE43-4AE8-AA89-33B75372CF95}" destId="{9A5F265D-F0A5-4B82-9CE0-273D156B2C7F}" srcOrd="3" destOrd="0" parTransId="{A494991B-EAB2-43EA-8FA0-97199026B9E2}" sibTransId="{75970E18-B42F-49EF-9A8A-E212A378C743}"/>
    <dgm:cxn modelId="{A18C8B03-7A6F-40FE-AEA5-7498AE6FCA70}" type="presOf" srcId="{DD6935A9-FEEC-4C79-8269-558001294FF8}" destId="{9EA98216-B6BA-406C-81BF-0DA263E7BDC7}" srcOrd="0" destOrd="0" presId="urn:microsoft.com/office/officeart/2005/8/layout/vProcess5"/>
    <dgm:cxn modelId="{BAC16CBB-5DEA-4A25-BBB9-C5F1AB04619C}" srcId="{3BDF78A4-CE43-4AE8-AA89-33B75372CF95}" destId="{1FA30136-6029-4022-B405-79F234534A21}" srcOrd="1" destOrd="0" parTransId="{937E0E4D-4FBE-4441-AE6E-0F9049DFB639}" sibTransId="{CD056C67-2F85-403B-B32D-BBAB74FA5D77}"/>
    <dgm:cxn modelId="{2FB4CA5A-4782-48D7-A53B-12CCD7928823}" type="presOf" srcId="{C63CC95C-DED6-4182-830F-23C4354A1FD8}" destId="{0B57B013-F078-497D-B3D5-B258A91FBE13}" srcOrd="1" destOrd="0" presId="urn:microsoft.com/office/officeart/2005/8/layout/vProcess5"/>
    <dgm:cxn modelId="{6A93C1CC-CF4C-440E-93E7-5F186DED2F7D}" type="presOf" srcId="{679B835D-B5C0-47BD-AE6F-3AB6F8BE5B58}" destId="{41709593-8EC2-4FB3-AFF1-7C1F72D90CD7}" srcOrd="0" destOrd="0" presId="urn:microsoft.com/office/officeart/2005/8/layout/vProcess5"/>
    <dgm:cxn modelId="{F0E48898-BC18-4A36-90FB-C79724905F09}" type="presOf" srcId="{3BDF78A4-CE43-4AE8-AA89-33B75372CF95}" destId="{85C4F6AA-564A-4792-B4B3-6D896EAB7AC1}" srcOrd="0" destOrd="0" presId="urn:microsoft.com/office/officeart/2005/8/layout/vProcess5"/>
    <dgm:cxn modelId="{72471714-C888-4048-80E0-9DF2D1B178F4}" type="presOf" srcId="{E6895533-1244-4710-BC01-23B55C9A4798}" destId="{5D5B7622-A74C-47FB-A9EF-A9468BE85011}" srcOrd="0" destOrd="0" presId="urn:microsoft.com/office/officeart/2005/8/layout/vProcess5"/>
    <dgm:cxn modelId="{AF91AFB1-E024-4406-9693-F5B9C40F0296}" srcId="{3BDF78A4-CE43-4AE8-AA89-33B75372CF95}" destId="{679B835D-B5C0-47BD-AE6F-3AB6F8BE5B58}" srcOrd="2" destOrd="0" parTransId="{98EEC086-F164-4F61-A55B-69FD942E81DB}" sibTransId="{E6895533-1244-4710-BC01-23B55C9A4798}"/>
    <dgm:cxn modelId="{9FC2E80C-1242-4E8E-9CF1-7F6C7967E2C1}" type="presOf" srcId="{9A5F265D-F0A5-4B82-9CE0-273D156B2C7F}" destId="{868F0EED-F849-4672-9725-BC9EAA93DED4}" srcOrd="1" destOrd="0" presId="urn:microsoft.com/office/officeart/2005/8/layout/vProcess5"/>
    <dgm:cxn modelId="{9E56AFD6-8A09-4A06-8E76-64757446379A}" type="presParOf" srcId="{85C4F6AA-564A-4792-B4B3-6D896EAB7AC1}" destId="{8E7B4EBE-43ED-48C3-A525-D65CCEF1784B}" srcOrd="0" destOrd="0" presId="urn:microsoft.com/office/officeart/2005/8/layout/vProcess5"/>
    <dgm:cxn modelId="{5B70452F-8BF6-4025-A8D3-DA6F60BC44BA}" type="presParOf" srcId="{85C4F6AA-564A-4792-B4B3-6D896EAB7AC1}" destId="{7D566A15-D9F6-40C1-B266-B9006AD17189}" srcOrd="1" destOrd="0" presId="urn:microsoft.com/office/officeart/2005/8/layout/vProcess5"/>
    <dgm:cxn modelId="{17F6B3A9-09A5-4E05-A6CC-BA464A8D0D50}" type="presParOf" srcId="{85C4F6AA-564A-4792-B4B3-6D896EAB7AC1}" destId="{3C83F742-CC77-4A69-B472-26597C185771}" srcOrd="2" destOrd="0" presId="urn:microsoft.com/office/officeart/2005/8/layout/vProcess5"/>
    <dgm:cxn modelId="{98E09D68-7C5A-4E59-A73D-1B2796CF1D4B}" type="presParOf" srcId="{85C4F6AA-564A-4792-B4B3-6D896EAB7AC1}" destId="{41709593-8EC2-4FB3-AFF1-7C1F72D90CD7}" srcOrd="3" destOrd="0" presId="urn:microsoft.com/office/officeart/2005/8/layout/vProcess5"/>
    <dgm:cxn modelId="{E977C1CA-41CC-4970-90C9-02B2F9A88559}" type="presParOf" srcId="{85C4F6AA-564A-4792-B4B3-6D896EAB7AC1}" destId="{8E6DD241-8966-4042-8C4C-783FECAFE736}" srcOrd="4" destOrd="0" presId="urn:microsoft.com/office/officeart/2005/8/layout/vProcess5"/>
    <dgm:cxn modelId="{B32539E3-4322-4B42-B489-0D23B07367B7}" type="presParOf" srcId="{85C4F6AA-564A-4792-B4B3-6D896EAB7AC1}" destId="{9EA98216-B6BA-406C-81BF-0DA263E7BDC7}" srcOrd="5" destOrd="0" presId="urn:microsoft.com/office/officeart/2005/8/layout/vProcess5"/>
    <dgm:cxn modelId="{3047A85C-E7F6-4557-8BE6-F04DFF7EBC7B}" type="presParOf" srcId="{85C4F6AA-564A-4792-B4B3-6D896EAB7AC1}" destId="{2A8FDE7C-FE5E-47AF-9EE5-F1A1B9CAEF77}" srcOrd="6" destOrd="0" presId="urn:microsoft.com/office/officeart/2005/8/layout/vProcess5"/>
    <dgm:cxn modelId="{D95AB6AC-0D6F-4358-B9E1-FF806F3B358C}" type="presParOf" srcId="{85C4F6AA-564A-4792-B4B3-6D896EAB7AC1}" destId="{07FB64C5-709F-4A3B-8FD5-A4EBDEE0CDFC}" srcOrd="7" destOrd="0" presId="urn:microsoft.com/office/officeart/2005/8/layout/vProcess5"/>
    <dgm:cxn modelId="{8874B884-25DB-4FFF-94D5-879D846E4530}" type="presParOf" srcId="{85C4F6AA-564A-4792-B4B3-6D896EAB7AC1}" destId="{5D5B7622-A74C-47FB-A9EF-A9468BE85011}" srcOrd="8" destOrd="0" presId="urn:microsoft.com/office/officeart/2005/8/layout/vProcess5"/>
    <dgm:cxn modelId="{8CB60A0E-B18F-4203-B5D8-5D335039B27C}" type="presParOf" srcId="{85C4F6AA-564A-4792-B4B3-6D896EAB7AC1}" destId="{51B972CA-032D-435D-AEB7-89347892DEE6}" srcOrd="9" destOrd="0" presId="urn:microsoft.com/office/officeart/2005/8/layout/vProcess5"/>
    <dgm:cxn modelId="{F05B9281-6868-499A-986F-337BB219C228}" type="presParOf" srcId="{85C4F6AA-564A-4792-B4B3-6D896EAB7AC1}" destId="{0B57B013-F078-497D-B3D5-B258A91FBE13}" srcOrd="10" destOrd="0" presId="urn:microsoft.com/office/officeart/2005/8/layout/vProcess5"/>
    <dgm:cxn modelId="{317F9326-47F6-495E-8438-7BCBF308EAFF}" type="presParOf" srcId="{85C4F6AA-564A-4792-B4B3-6D896EAB7AC1}" destId="{B9E5BF8D-D238-4128-BEA8-9AAC5B45DB99}" srcOrd="11" destOrd="0" presId="urn:microsoft.com/office/officeart/2005/8/layout/vProcess5"/>
    <dgm:cxn modelId="{67A7D262-E4A2-4E67-B0B2-526F38766DA0}" type="presParOf" srcId="{85C4F6AA-564A-4792-B4B3-6D896EAB7AC1}" destId="{018154F2-BD02-4B9C-931E-F673E1911984}" srcOrd="12" destOrd="0" presId="urn:microsoft.com/office/officeart/2005/8/layout/vProcess5"/>
    <dgm:cxn modelId="{4B4CE703-A526-4A4C-BC16-6D090559AC32}" type="presParOf" srcId="{85C4F6AA-564A-4792-B4B3-6D896EAB7AC1}" destId="{868F0EED-F849-4672-9725-BC9EAA93DED4}" srcOrd="13" destOrd="0" presId="urn:microsoft.com/office/officeart/2005/8/layout/vProcess5"/>
    <dgm:cxn modelId="{F1CA9C15-3B15-4486-9D66-9BC94C2920F4}" type="presParOf" srcId="{85C4F6AA-564A-4792-B4B3-6D896EAB7AC1}" destId="{D232269D-31DF-416D-9066-1F83A78EF3FB}" srcOrd="14"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66A15-D9F6-40C1-B266-B9006AD17189}">
      <dsp:nvSpPr>
        <dsp:cNvPr id="0" name=""/>
        <dsp:cNvSpPr/>
      </dsp:nvSpPr>
      <dsp:spPr>
        <a:xfrm>
          <a:off x="0" y="0"/>
          <a:ext cx="4230650" cy="82439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MX" sz="1000" kern="1200">
              <a:latin typeface="Adobe Caslon Pro" pitchFamily="18" charset="0"/>
            </a:rPr>
            <a:t>PND: Meta Nacional II: México Incluyente</a:t>
          </a:r>
        </a:p>
      </dsp:txBody>
      <dsp:txXfrm>
        <a:off x="24146" y="24146"/>
        <a:ext cx="3244613" cy="776099"/>
      </dsp:txXfrm>
    </dsp:sp>
    <dsp:sp modelId="{3C83F742-CC77-4A69-B472-26597C185771}">
      <dsp:nvSpPr>
        <dsp:cNvPr id="0" name=""/>
        <dsp:cNvSpPr/>
      </dsp:nvSpPr>
      <dsp:spPr>
        <a:xfrm>
          <a:off x="315925" y="938889"/>
          <a:ext cx="4230650" cy="82439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MX" sz="1000" kern="1200">
              <a:latin typeface="Adobe Caslon Pro" pitchFamily="18" charset="0"/>
            </a:rPr>
            <a:t>Objetivo 2.2 Transitar hacia una sociedad incluyente</a:t>
          </a:r>
        </a:p>
      </dsp:txBody>
      <dsp:txXfrm>
        <a:off x="340071" y="963035"/>
        <a:ext cx="3330578" cy="776099"/>
      </dsp:txXfrm>
    </dsp:sp>
    <dsp:sp modelId="{41709593-8EC2-4FB3-AFF1-7C1F72D90CD7}">
      <dsp:nvSpPr>
        <dsp:cNvPr id="0" name=""/>
        <dsp:cNvSpPr/>
      </dsp:nvSpPr>
      <dsp:spPr>
        <a:xfrm>
          <a:off x="631850" y="1877779"/>
          <a:ext cx="4230650" cy="82439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MX" sz="1000" kern="1200">
              <a:latin typeface="Adobe Caslon Pro" pitchFamily="18" charset="0"/>
            </a:rPr>
            <a:t>Estrategia 2.2.2 Artícular políticas que atiendan de manera específica cada etapa del ciclo de vida de la población</a:t>
          </a:r>
        </a:p>
      </dsp:txBody>
      <dsp:txXfrm>
        <a:off x="655996" y="1901925"/>
        <a:ext cx="3330578" cy="776099"/>
      </dsp:txXfrm>
    </dsp:sp>
    <dsp:sp modelId="{8E6DD241-8966-4042-8C4C-783FECAFE736}">
      <dsp:nvSpPr>
        <dsp:cNvPr id="0" name=""/>
        <dsp:cNvSpPr/>
      </dsp:nvSpPr>
      <dsp:spPr>
        <a:xfrm>
          <a:off x="947775" y="2816669"/>
          <a:ext cx="4230650" cy="82439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MX" sz="1000" b="0" kern="1200">
              <a:latin typeface="Adobe Caslon Pro" pitchFamily="18" charset="0"/>
            </a:rPr>
            <a:t>PSDS: Objetivo 4. Construir una Sociedad igualitaria donde exista acceso irrestricto al bienestar social mediante acciones que protejan el ejercicio de los derechos de todas las personas.</a:t>
          </a:r>
        </a:p>
      </dsp:txBody>
      <dsp:txXfrm>
        <a:off x="971921" y="2840815"/>
        <a:ext cx="3330578" cy="776099"/>
      </dsp:txXfrm>
    </dsp:sp>
    <dsp:sp modelId="{9EA98216-B6BA-406C-81BF-0DA263E7BDC7}">
      <dsp:nvSpPr>
        <dsp:cNvPr id="0" name=""/>
        <dsp:cNvSpPr/>
      </dsp:nvSpPr>
      <dsp:spPr>
        <a:xfrm>
          <a:off x="1263700" y="3755559"/>
          <a:ext cx="4230650" cy="82439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MX" sz="1000" kern="1200" dirty="0" smtClean="0">
              <a:latin typeface="Adobe Caslon Pro" pitchFamily="18" charset="0"/>
            </a:rPr>
            <a:t>Estrategia 4..4 Prevenir y atender la violencia contra las mujeres a través del fortalecimiento de las instancias de mujeres en las entidades federativas y su coordinación con otras instancias públicas</a:t>
          </a:r>
          <a:endParaRPr lang="es-MX" sz="1000" kern="1200">
            <a:latin typeface="Adobe Caslon Pro" pitchFamily="18" charset="0"/>
          </a:endParaRPr>
        </a:p>
      </dsp:txBody>
      <dsp:txXfrm>
        <a:off x="1287846" y="3779705"/>
        <a:ext cx="3330578" cy="776099"/>
      </dsp:txXfrm>
    </dsp:sp>
    <dsp:sp modelId="{2A8FDE7C-FE5E-47AF-9EE5-F1A1B9CAEF77}">
      <dsp:nvSpPr>
        <dsp:cNvPr id="0" name=""/>
        <dsp:cNvSpPr/>
      </dsp:nvSpPr>
      <dsp:spPr>
        <a:xfrm>
          <a:off x="3694796" y="602263"/>
          <a:ext cx="535854" cy="53585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MX" sz="1000" kern="1200">
            <a:latin typeface="Adobe Caslon Pro" pitchFamily="18" charset="0"/>
          </a:endParaRPr>
        </a:p>
      </dsp:txBody>
      <dsp:txXfrm>
        <a:off x="3815363" y="602263"/>
        <a:ext cx="294720" cy="403230"/>
      </dsp:txXfrm>
    </dsp:sp>
    <dsp:sp modelId="{07FB64C5-709F-4A3B-8FD5-A4EBDEE0CDFC}">
      <dsp:nvSpPr>
        <dsp:cNvPr id="0" name=""/>
        <dsp:cNvSpPr/>
      </dsp:nvSpPr>
      <dsp:spPr>
        <a:xfrm>
          <a:off x="4010721" y="1541153"/>
          <a:ext cx="535854" cy="53585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MX" sz="1000" kern="1200">
            <a:latin typeface="Adobe Caslon Pro" pitchFamily="18" charset="0"/>
          </a:endParaRPr>
        </a:p>
      </dsp:txBody>
      <dsp:txXfrm>
        <a:off x="4131288" y="1541153"/>
        <a:ext cx="294720" cy="403230"/>
      </dsp:txXfrm>
    </dsp:sp>
    <dsp:sp modelId="{5D5B7622-A74C-47FB-A9EF-A9468BE85011}">
      <dsp:nvSpPr>
        <dsp:cNvPr id="0" name=""/>
        <dsp:cNvSpPr/>
      </dsp:nvSpPr>
      <dsp:spPr>
        <a:xfrm>
          <a:off x="4326646" y="2466303"/>
          <a:ext cx="535854" cy="53585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MX" sz="1000" kern="1200">
            <a:latin typeface="Adobe Caslon Pro" pitchFamily="18" charset="0"/>
          </a:endParaRPr>
        </a:p>
      </dsp:txBody>
      <dsp:txXfrm>
        <a:off x="4447213" y="2466303"/>
        <a:ext cx="294720" cy="403230"/>
      </dsp:txXfrm>
    </dsp:sp>
    <dsp:sp modelId="{51B972CA-032D-435D-AEB7-89347892DEE6}">
      <dsp:nvSpPr>
        <dsp:cNvPr id="0" name=""/>
        <dsp:cNvSpPr/>
      </dsp:nvSpPr>
      <dsp:spPr>
        <a:xfrm>
          <a:off x="4642571" y="3414353"/>
          <a:ext cx="535854" cy="53585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MX" sz="1000" kern="1200">
            <a:latin typeface="Adobe Caslon Pro" pitchFamily="18" charset="0"/>
          </a:endParaRPr>
        </a:p>
      </dsp:txBody>
      <dsp:txXfrm>
        <a:off x="4763138" y="3414353"/>
        <a:ext cx="294720" cy="40323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0.14475</cdr:x>
      <cdr:y>0</cdr:y>
    </cdr:from>
    <cdr:to>
      <cdr:x>0.38734</cdr:x>
      <cdr:y>0.0969</cdr:y>
    </cdr:to>
    <cdr:sp macro="" textlink="">
      <cdr:nvSpPr>
        <cdr:cNvPr id="3" name="2 Cuadro de texto"/>
        <cdr:cNvSpPr txBox="1"/>
      </cdr:nvSpPr>
      <cdr:spPr>
        <a:xfrm xmlns:a="http://schemas.openxmlformats.org/drawingml/2006/main">
          <a:off x="811345" y="0"/>
          <a:ext cx="1359752" cy="212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a:latin typeface="Adobe Caslon Pro" pitchFamily="18" charset="0"/>
            </a:rPr>
            <a:t>9.5 millones</a:t>
          </a:r>
        </a:p>
      </cdr:txBody>
    </cdr:sp>
  </cdr:relSizeAnchor>
  <cdr:relSizeAnchor xmlns:cdr="http://schemas.openxmlformats.org/drawingml/2006/chartDrawing">
    <cdr:from>
      <cdr:x>0.61594</cdr:x>
      <cdr:y>0</cdr:y>
    </cdr:from>
    <cdr:to>
      <cdr:x>0.85853</cdr:x>
      <cdr:y>0.0969</cdr:y>
    </cdr:to>
    <cdr:sp macro="" textlink="">
      <cdr:nvSpPr>
        <cdr:cNvPr id="4" name="3 Cuadro de texto"/>
        <cdr:cNvSpPr txBox="1"/>
      </cdr:nvSpPr>
      <cdr:spPr>
        <a:xfrm xmlns:a="http://schemas.openxmlformats.org/drawingml/2006/main">
          <a:off x="3452433" y="0"/>
          <a:ext cx="1359752" cy="212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a:latin typeface="Adobe Caslon Pro" pitchFamily="18" charset="0"/>
            </a:rPr>
            <a:t>33.1</a:t>
          </a:r>
          <a:r>
            <a:rPr lang="es-MX" sz="1100" b="1"/>
            <a:t> </a:t>
          </a:r>
          <a:r>
            <a:rPr lang="es-MX" sz="1100" b="1">
              <a:latin typeface="Adobe Caslon Pro" pitchFamily="18" charset="0"/>
            </a:rPr>
            <a:t>millones</a:t>
          </a:r>
        </a:p>
      </cdr:txBody>
    </cdr:sp>
  </cdr:relSizeAnchor>
</c:userShapes>
</file>

<file path=word/drawings/drawing2.xml><?xml version="1.0" encoding="utf-8"?>
<c:userShapes xmlns:c="http://schemas.openxmlformats.org/drawingml/2006/chart">
  <cdr:relSizeAnchor xmlns:cdr="http://schemas.openxmlformats.org/drawingml/2006/chartDrawing">
    <cdr:from>
      <cdr:x>0.15498</cdr:x>
      <cdr:y>0</cdr:y>
    </cdr:from>
    <cdr:to>
      <cdr:x>0.39081</cdr:x>
      <cdr:y>0.11924</cdr:y>
    </cdr:to>
    <cdr:sp macro="" textlink="">
      <cdr:nvSpPr>
        <cdr:cNvPr id="2" name="1 Cuadro de texto"/>
        <cdr:cNvSpPr txBox="1"/>
      </cdr:nvSpPr>
      <cdr:spPr>
        <a:xfrm xmlns:a="http://schemas.openxmlformats.org/drawingml/2006/main">
          <a:off x="734353" y="0"/>
          <a:ext cx="1117449" cy="263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a:latin typeface="Adobe Caslon Pro" pitchFamily="18" charset="0"/>
            </a:rPr>
            <a:t>2.8 millones</a:t>
          </a:r>
        </a:p>
      </cdr:txBody>
    </cdr:sp>
  </cdr:relSizeAnchor>
  <cdr:relSizeAnchor xmlns:cdr="http://schemas.openxmlformats.org/drawingml/2006/chartDrawing">
    <cdr:from>
      <cdr:x>0.61541</cdr:x>
      <cdr:y>0</cdr:y>
    </cdr:from>
    <cdr:to>
      <cdr:x>0.85125</cdr:x>
      <cdr:y>0.11593</cdr:y>
    </cdr:to>
    <cdr:sp macro="" textlink="">
      <cdr:nvSpPr>
        <cdr:cNvPr id="3" name="2 Cuadro de texto"/>
        <cdr:cNvSpPr txBox="1"/>
      </cdr:nvSpPr>
      <cdr:spPr>
        <a:xfrm xmlns:a="http://schemas.openxmlformats.org/drawingml/2006/main">
          <a:off x="2916040" y="0"/>
          <a:ext cx="1117497" cy="256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a:latin typeface="Adobe Caslon Pro" pitchFamily="18" charset="0"/>
            </a:rPr>
            <a:t>39.7</a:t>
          </a:r>
          <a:r>
            <a:rPr lang="es-MX" sz="1100" b="1" baseline="0">
              <a:latin typeface="Adobe Caslon Pro" pitchFamily="18" charset="0"/>
            </a:rPr>
            <a:t> </a:t>
          </a:r>
          <a:r>
            <a:rPr lang="es-MX" sz="1100" b="1">
              <a:latin typeface="Adobe Caslon Pro" pitchFamily="18" charset="0"/>
            </a:rPr>
            <a:t>millones</a:t>
          </a:r>
        </a:p>
      </cdr:txBody>
    </cdr:sp>
  </cdr:relSizeAnchor>
</c:userShapes>
</file>

<file path=word/drawings/drawing3.xml><?xml version="1.0" encoding="utf-8"?>
<c:userShapes xmlns:c="http://schemas.openxmlformats.org/drawingml/2006/chart">
  <cdr:relSizeAnchor xmlns:cdr="http://schemas.openxmlformats.org/drawingml/2006/chartDrawing">
    <cdr:from>
      <cdr:x>0.17962</cdr:x>
      <cdr:y>0.01911</cdr:y>
    </cdr:from>
    <cdr:to>
      <cdr:x>0.41588</cdr:x>
      <cdr:y>0.10193</cdr:y>
    </cdr:to>
    <cdr:sp macro="" textlink="">
      <cdr:nvSpPr>
        <cdr:cNvPr id="2" name="1 Cuadro de texto"/>
        <cdr:cNvSpPr txBox="1"/>
      </cdr:nvSpPr>
      <cdr:spPr>
        <a:xfrm xmlns:a="http://schemas.openxmlformats.org/drawingml/2006/main">
          <a:off x="882595" y="47708"/>
          <a:ext cx="1160890"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a:latin typeface="Adobe Caslon Pro" pitchFamily="18" charset="0"/>
            </a:rPr>
            <a:t>16. 0 millones</a:t>
          </a:r>
        </a:p>
      </cdr:txBody>
    </cdr:sp>
  </cdr:relSizeAnchor>
  <cdr:relSizeAnchor xmlns:cdr="http://schemas.openxmlformats.org/drawingml/2006/chartDrawing">
    <cdr:from>
      <cdr:x>0.64405</cdr:x>
      <cdr:y>0.01911</cdr:y>
    </cdr:from>
    <cdr:to>
      <cdr:x>0.88031</cdr:x>
      <cdr:y>0.10193</cdr:y>
    </cdr:to>
    <cdr:sp macro="" textlink="">
      <cdr:nvSpPr>
        <cdr:cNvPr id="3" name="2 Cuadro de texto"/>
        <cdr:cNvSpPr txBox="1"/>
      </cdr:nvSpPr>
      <cdr:spPr>
        <a:xfrm xmlns:a="http://schemas.openxmlformats.org/drawingml/2006/main">
          <a:off x="3164620" y="47708"/>
          <a:ext cx="1160890"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a:latin typeface="Adobe Caslon Pro" pitchFamily="18" charset="0"/>
            </a:rPr>
            <a:t>23.2 millones</a:t>
          </a:r>
        </a:p>
      </cdr:txBody>
    </cdr:sp>
  </cdr:relSizeAnchor>
</c:userShapes>
</file>

<file path=word/drawings/drawing4.xml><?xml version="1.0" encoding="utf-8"?>
<c:userShapes xmlns:c="http://schemas.openxmlformats.org/drawingml/2006/chart">
  <cdr:relSizeAnchor xmlns:cdr="http://schemas.openxmlformats.org/drawingml/2006/chartDrawing">
    <cdr:from>
      <cdr:x>0.05739</cdr:x>
      <cdr:y>0</cdr:y>
    </cdr:from>
    <cdr:to>
      <cdr:x>0.24696</cdr:x>
      <cdr:y>0.09525</cdr:y>
    </cdr:to>
    <cdr:sp macro="" textlink="">
      <cdr:nvSpPr>
        <cdr:cNvPr id="2" name="1 Cuadro de texto"/>
        <cdr:cNvSpPr txBox="1"/>
      </cdr:nvSpPr>
      <cdr:spPr>
        <a:xfrm xmlns:a="http://schemas.openxmlformats.org/drawingml/2006/main">
          <a:off x="262393" y="0"/>
          <a:ext cx="866692"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latin typeface="Adobe Caslon Pro" pitchFamily="18" charset="0"/>
            </a:rPr>
            <a:t>20.9 millones</a:t>
          </a:r>
        </a:p>
      </cdr:txBody>
    </cdr:sp>
  </cdr:relSizeAnchor>
  <cdr:relSizeAnchor xmlns:cdr="http://schemas.openxmlformats.org/drawingml/2006/chartDrawing">
    <cdr:from>
      <cdr:x>0.28696</cdr:x>
      <cdr:y>0</cdr:y>
    </cdr:from>
    <cdr:to>
      <cdr:x>0.47652</cdr:x>
      <cdr:y>0.09525</cdr:y>
    </cdr:to>
    <cdr:sp macro="" textlink="">
      <cdr:nvSpPr>
        <cdr:cNvPr id="3" name="2 Cuadro de texto"/>
        <cdr:cNvSpPr txBox="1"/>
      </cdr:nvSpPr>
      <cdr:spPr>
        <a:xfrm xmlns:a="http://schemas.openxmlformats.org/drawingml/2006/main">
          <a:off x="1311965" y="0"/>
          <a:ext cx="866692"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latin typeface="Adobe Caslon Pro" pitchFamily="18" charset="0"/>
            </a:rPr>
            <a:t>9.6 millones</a:t>
          </a:r>
        </a:p>
      </cdr:txBody>
    </cdr:sp>
  </cdr:relSizeAnchor>
  <cdr:relSizeAnchor xmlns:cdr="http://schemas.openxmlformats.org/drawingml/2006/chartDrawing">
    <cdr:from>
      <cdr:x>0.53217</cdr:x>
      <cdr:y>0</cdr:y>
    </cdr:from>
    <cdr:to>
      <cdr:x>0.72174</cdr:x>
      <cdr:y>0.09525</cdr:y>
    </cdr:to>
    <cdr:sp macro="" textlink="">
      <cdr:nvSpPr>
        <cdr:cNvPr id="4" name="3 Cuadro de texto"/>
        <cdr:cNvSpPr txBox="1"/>
      </cdr:nvSpPr>
      <cdr:spPr>
        <a:xfrm xmlns:a="http://schemas.openxmlformats.org/drawingml/2006/main">
          <a:off x="2433098" y="0"/>
          <a:ext cx="866692"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latin typeface="Adobe Caslon Pro" pitchFamily="18" charset="0"/>
            </a:rPr>
            <a:t>6.9 millones</a:t>
          </a:r>
        </a:p>
      </cdr:txBody>
    </cdr:sp>
  </cdr:relSizeAnchor>
  <cdr:relSizeAnchor xmlns:cdr="http://schemas.openxmlformats.org/drawingml/2006/chartDrawing">
    <cdr:from>
      <cdr:x>0.76</cdr:x>
      <cdr:y>0</cdr:y>
    </cdr:from>
    <cdr:to>
      <cdr:x>0.94956</cdr:x>
      <cdr:y>0.09525</cdr:y>
    </cdr:to>
    <cdr:sp macro="" textlink="">
      <cdr:nvSpPr>
        <cdr:cNvPr id="5" name="4 Cuadro de texto"/>
        <cdr:cNvSpPr txBox="1"/>
      </cdr:nvSpPr>
      <cdr:spPr>
        <a:xfrm xmlns:a="http://schemas.openxmlformats.org/drawingml/2006/main">
          <a:off x="3474719" y="0"/>
          <a:ext cx="866692"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latin typeface="Adobe Caslon Pro" pitchFamily="18" charset="0"/>
            </a:rPr>
            <a:t>9.9 millones</a:t>
          </a:r>
        </a:p>
      </cdr:txBody>
    </cdr:sp>
  </cdr:relSizeAnchor>
</c:userShapes>
</file>

<file path=word/drawings/drawing5.xml><?xml version="1.0" encoding="utf-8"?>
<c:userShapes xmlns:c="http://schemas.openxmlformats.org/drawingml/2006/chart">
  <cdr:relSizeAnchor xmlns:cdr="http://schemas.openxmlformats.org/drawingml/2006/chartDrawing">
    <cdr:from>
      <cdr:x>0.1287</cdr:x>
      <cdr:y>0</cdr:y>
    </cdr:from>
    <cdr:to>
      <cdr:x>0.36</cdr:x>
      <cdr:y>0.08985</cdr:y>
    </cdr:to>
    <cdr:sp macro="" textlink="">
      <cdr:nvSpPr>
        <cdr:cNvPr id="2" name="1 Cuadro de texto"/>
        <cdr:cNvSpPr txBox="1"/>
      </cdr:nvSpPr>
      <cdr:spPr>
        <a:xfrm xmlns:a="http://schemas.openxmlformats.org/drawingml/2006/main">
          <a:off x="588396" y="0"/>
          <a:ext cx="1057523" cy="24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latin typeface="Adobe Caslon Pro" pitchFamily="18" charset="0"/>
            </a:rPr>
            <a:t>17.7 millones</a:t>
          </a:r>
        </a:p>
      </cdr:txBody>
    </cdr:sp>
  </cdr:relSizeAnchor>
  <cdr:relSizeAnchor xmlns:cdr="http://schemas.openxmlformats.org/drawingml/2006/chartDrawing">
    <cdr:from>
      <cdr:x>0.59304</cdr:x>
      <cdr:y>0</cdr:y>
    </cdr:from>
    <cdr:to>
      <cdr:x>0.82435</cdr:x>
      <cdr:y>0.08985</cdr:y>
    </cdr:to>
    <cdr:sp macro="" textlink="">
      <cdr:nvSpPr>
        <cdr:cNvPr id="3" name="2 Cuadro de texto"/>
        <cdr:cNvSpPr txBox="1"/>
      </cdr:nvSpPr>
      <cdr:spPr>
        <a:xfrm xmlns:a="http://schemas.openxmlformats.org/drawingml/2006/main">
          <a:off x="2711394" y="0"/>
          <a:ext cx="1057523" cy="24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latin typeface="Adobe Caslon Pro" pitchFamily="18" charset="0"/>
            </a:rPr>
            <a:t>24.9 millones</a:t>
          </a:r>
        </a:p>
      </cdr:txBody>
    </cdr:sp>
  </cdr:relSizeAnchor>
</c:userShapes>
</file>

<file path=word/drawings/drawing6.xml><?xml version="1.0" encoding="utf-8"?>
<c:userShapes xmlns:c="http://schemas.openxmlformats.org/drawingml/2006/chart">
  <cdr:relSizeAnchor xmlns:cdr="http://schemas.openxmlformats.org/drawingml/2006/chartDrawing">
    <cdr:from>
      <cdr:x>0.04224</cdr:x>
      <cdr:y>0</cdr:y>
    </cdr:from>
    <cdr:to>
      <cdr:x>0.22507</cdr:x>
      <cdr:y>0.06912</cdr:y>
    </cdr:to>
    <cdr:sp macro="" textlink="">
      <cdr:nvSpPr>
        <cdr:cNvPr id="2" name="1 Cuadro de texto"/>
        <cdr:cNvSpPr txBox="1"/>
      </cdr:nvSpPr>
      <cdr:spPr>
        <a:xfrm xmlns:a="http://schemas.openxmlformats.org/drawingml/2006/main">
          <a:off x="237128" y="0"/>
          <a:ext cx="1026298" cy="179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dobe Caslon Pro" pitchFamily="18" charset="0"/>
            </a:rPr>
            <a:t>22.4 millones</a:t>
          </a:r>
        </a:p>
      </cdr:txBody>
    </cdr:sp>
  </cdr:relSizeAnchor>
  <cdr:relSizeAnchor xmlns:cdr="http://schemas.openxmlformats.org/drawingml/2006/chartDrawing">
    <cdr:from>
      <cdr:x>0.28488</cdr:x>
      <cdr:y>0</cdr:y>
    </cdr:from>
    <cdr:to>
      <cdr:x>0.46771</cdr:x>
      <cdr:y>0.06912</cdr:y>
    </cdr:to>
    <cdr:sp macro="" textlink="">
      <cdr:nvSpPr>
        <cdr:cNvPr id="3" name="2 Cuadro de texto"/>
        <cdr:cNvSpPr txBox="1"/>
      </cdr:nvSpPr>
      <cdr:spPr>
        <a:xfrm xmlns:a="http://schemas.openxmlformats.org/drawingml/2006/main">
          <a:off x="1599145" y="0"/>
          <a:ext cx="1026298" cy="179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dobe Caslon Pro" pitchFamily="18" charset="0"/>
              <a:ea typeface="+mn-ea"/>
              <a:cs typeface="+mn-cs"/>
            </a:rPr>
            <a:t> </a:t>
          </a:r>
          <a:r>
            <a:rPr lang="es-MX" sz="800">
              <a:latin typeface="Adobe Caslon Pro" pitchFamily="18" charset="0"/>
            </a:rPr>
            <a:t>9.1 millones</a:t>
          </a:r>
        </a:p>
      </cdr:txBody>
    </cdr:sp>
  </cdr:relSizeAnchor>
  <cdr:relSizeAnchor xmlns:cdr="http://schemas.openxmlformats.org/drawingml/2006/chartDrawing">
    <cdr:from>
      <cdr:x>0.52128</cdr:x>
      <cdr:y>0</cdr:y>
    </cdr:from>
    <cdr:to>
      <cdr:x>0.72395</cdr:x>
      <cdr:y>0.06912</cdr:y>
    </cdr:to>
    <cdr:sp macro="" textlink="">
      <cdr:nvSpPr>
        <cdr:cNvPr id="4" name="3 Cuadro de texto"/>
        <cdr:cNvSpPr txBox="1"/>
      </cdr:nvSpPr>
      <cdr:spPr>
        <a:xfrm xmlns:a="http://schemas.openxmlformats.org/drawingml/2006/main">
          <a:off x="2926171" y="0"/>
          <a:ext cx="1137668" cy="179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dobe Caslon Pro" pitchFamily="18" charset="0"/>
              <a:ea typeface="+mn-ea"/>
              <a:cs typeface="+mn-cs"/>
            </a:rPr>
            <a:t> </a:t>
          </a:r>
          <a:r>
            <a:rPr lang="es-MX" sz="800">
              <a:latin typeface="Adobe Caslon Pro" pitchFamily="18" charset="0"/>
            </a:rPr>
            <a:t>5.6 millones</a:t>
          </a:r>
        </a:p>
      </cdr:txBody>
    </cdr:sp>
  </cdr:relSizeAnchor>
  <cdr:relSizeAnchor xmlns:cdr="http://schemas.openxmlformats.org/drawingml/2006/chartDrawing">
    <cdr:from>
      <cdr:x>0.78518</cdr:x>
      <cdr:y>0</cdr:y>
    </cdr:from>
    <cdr:to>
      <cdr:x>0.96801</cdr:x>
      <cdr:y>0.06912</cdr:y>
    </cdr:to>
    <cdr:sp macro="" textlink="">
      <cdr:nvSpPr>
        <cdr:cNvPr id="5" name="4 Cuadro de texto"/>
        <cdr:cNvSpPr txBox="1"/>
      </cdr:nvSpPr>
      <cdr:spPr>
        <a:xfrm xmlns:a="http://schemas.openxmlformats.org/drawingml/2006/main">
          <a:off x="4407529" y="0"/>
          <a:ext cx="1026298" cy="179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dobe Caslon Pro" pitchFamily="18" charset="0"/>
              <a:ea typeface="+mn-ea"/>
              <a:cs typeface="+mn-cs"/>
            </a:rPr>
            <a:t> </a:t>
          </a:r>
          <a:r>
            <a:rPr lang="es-MX" sz="800">
              <a:latin typeface="Adobe Caslon Pro" pitchFamily="18" charset="0"/>
            </a:rPr>
            <a:t>2.9 millones</a:t>
          </a:r>
        </a:p>
      </cdr:txBody>
    </cdr:sp>
  </cdr:relSizeAnchor>
</c:userShapes>
</file>

<file path=word/drawings/drawing7.xml><?xml version="1.0" encoding="utf-8"?>
<c:userShapes xmlns:c="http://schemas.openxmlformats.org/drawingml/2006/chart">
  <cdr:relSizeAnchor xmlns:cdr="http://schemas.openxmlformats.org/drawingml/2006/chartDrawing">
    <cdr:from>
      <cdr:x>0.1383</cdr:x>
      <cdr:y>0</cdr:y>
    </cdr:from>
    <cdr:to>
      <cdr:x>0.3846</cdr:x>
      <cdr:y>0.06449</cdr:y>
    </cdr:to>
    <cdr:sp macro="" textlink="">
      <cdr:nvSpPr>
        <cdr:cNvPr id="2" name="1 Cuadro de texto"/>
        <cdr:cNvSpPr txBox="1"/>
      </cdr:nvSpPr>
      <cdr:spPr>
        <a:xfrm xmlns:a="http://schemas.openxmlformats.org/drawingml/2006/main">
          <a:off x="776177" y="0"/>
          <a:ext cx="1382232" cy="202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700" b="1">
              <a:latin typeface="Adobe Caslon Pro" pitchFamily="18" charset="0"/>
            </a:rPr>
            <a:t>6.4 millones</a:t>
          </a:r>
        </a:p>
      </cdr:txBody>
    </cdr:sp>
  </cdr:relSizeAnchor>
  <cdr:relSizeAnchor xmlns:cdr="http://schemas.openxmlformats.org/drawingml/2006/chartDrawing">
    <cdr:from>
      <cdr:x>0.61195</cdr:x>
      <cdr:y>0</cdr:y>
    </cdr:from>
    <cdr:to>
      <cdr:x>0.85824</cdr:x>
      <cdr:y>0.06449</cdr:y>
    </cdr:to>
    <cdr:sp macro="" textlink="">
      <cdr:nvSpPr>
        <cdr:cNvPr id="3" name="2 Cuadro de texto"/>
        <cdr:cNvSpPr txBox="1"/>
      </cdr:nvSpPr>
      <cdr:spPr>
        <a:xfrm xmlns:a="http://schemas.openxmlformats.org/drawingml/2006/main">
          <a:off x="3434317" y="0"/>
          <a:ext cx="1382232" cy="202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700" b="1">
              <a:latin typeface="Adobe Caslon Pro" pitchFamily="18" charset="0"/>
            </a:rPr>
            <a:t>12.0 millones</a:t>
          </a:r>
        </a:p>
      </cdr:txBody>
    </cdr:sp>
  </cdr:relSizeAnchor>
</c:userShapes>
</file>

<file path=word/drawings/drawing8.xml><?xml version="1.0" encoding="utf-8"?>
<c:userShapes xmlns:c="http://schemas.openxmlformats.org/drawingml/2006/chart">
  <cdr:relSizeAnchor xmlns:cdr="http://schemas.openxmlformats.org/drawingml/2006/chartDrawing">
    <cdr:from>
      <cdr:x>0.0878</cdr:x>
      <cdr:y>0</cdr:y>
    </cdr:from>
    <cdr:to>
      <cdr:x>0.21281</cdr:x>
      <cdr:y>0.04658</cdr:y>
    </cdr:to>
    <cdr:sp macro="" textlink="">
      <cdr:nvSpPr>
        <cdr:cNvPr id="2" name="1 Cuadro de texto"/>
        <cdr:cNvSpPr txBox="1"/>
      </cdr:nvSpPr>
      <cdr:spPr>
        <a:xfrm xmlns:a="http://schemas.openxmlformats.org/drawingml/2006/main">
          <a:off x="469127" y="0"/>
          <a:ext cx="667909" cy="151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050"/>
        </a:p>
      </cdr:txBody>
    </cdr:sp>
  </cdr:relSizeAnchor>
  <cdr:relSizeAnchor xmlns:cdr="http://schemas.openxmlformats.org/drawingml/2006/chartDrawing">
    <cdr:from>
      <cdr:x>0.06102</cdr:x>
      <cdr:y>0</cdr:y>
    </cdr:from>
    <cdr:to>
      <cdr:x>0.23811</cdr:x>
      <cdr:y>0.07354</cdr:y>
    </cdr:to>
    <cdr:sp macro="" textlink="">
      <cdr:nvSpPr>
        <cdr:cNvPr id="3" name="2 Cuadro de texto"/>
        <cdr:cNvSpPr txBox="1"/>
      </cdr:nvSpPr>
      <cdr:spPr>
        <a:xfrm xmlns:a="http://schemas.openxmlformats.org/drawingml/2006/main">
          <a:off x="255231" y="0"/>
          <a:ext cx="740722" cy="184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a:latin typeface="Adobe Caslon Pro" pitchFamily="18" charset="0"/>
            </a:rPr>
            <a:t>10.8 millones</a:t>
          </a:r>
        </a:p>
      </cdr:txBody>
    </cdr:sp>
  </cdr:relSizeAnchor>
  <cdr:relSizeAnchor xmlns:cdr="http://schemas.openxmlformats.org/drawingml/2006/chartDrawing">
    <cdr:from>
      <cdr:x>0.30062</cdr:x>
      <cdr:y>0</cdr:y>
    </cdr:from>
    <cdr:to>
      <cdr:x>0.47771</cdr:x>
      <cdr:y>0.07354</cdr:y>
    </cdr:to>
    <cdr:sp macro="" textlink="">
      <cdr:nvSpPr>
        <cdr:cNvPr id="4" name="3 Cuadro de texto"/>
        <cdr:cNvSpPr txBox="1"/>
      </cdr:nvSpPr>
      <cdr:spPr>
        <a:xfrm xmlns:a="http://schemas.openxmlformats.org/drawingml/2006/main">
          <a:off x="1257417" y="0"/>
          <a:ext cx="740722" cy="184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a:latin typeface="Adobe Caslon Pro" pitchFamily="18" charset="0"/>
            </a:rPr>
            <a:t>4.8 millones</a:t>
          </a:r>
        </a:p>
      </cdr:txBody>
    </cdr:sp>
  </cdr:relSizeAnchor>
  <cdr:relSizeAnchor xmlns:cdr="http://schemas.openxmlformats.org/drawingml/2006/chartDrawing">
    <cdr:from>
      <cdr:x>0.5298</cdr:x>
      <cdr:y>0</cdr:y>
    </cdr:from>
    <cdr:to>
      <cdr:x>0.7069</cdr:x>
      <cdr:y>0.07354</cdr:y>
    </cdr:to>
    <cdr:sp macro="" textlink="">
      <cdr:nvSpPr>
        <cdr:cNvPr id="5" name="4 Cuadro de texto"/>
        <cdr:cNvSpPr txBox="1"/>
      </cdr:nvSpPr>
      <cdr:spPr>
        <a:xfrm xmlns:a="http://schemas.openxmlformats.org/drawingml/2006/main">
          <a:off x="2216018" y="0"/>
          <a:ext cx="740764" cy="184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baseline="0">
              <a:latin typeface="Adobe Caslon Pro" pitchFamily="18" charset="0"/>
            </a:rPr>
            <a:t> 3.7 </a:t>
          </a:r>
          <a:r>
            <a:rPr lang="es-MX" sz="700">
              <a:latin typeface="Adobe Caslon Pro" pitchFamily="18" charset="0"/>
            </a:rPr>
            <a:t>millones</a:t>
          </a:r>
        </a:p>
      </cdr:txBody>
    </cdr:sp>
  </cdr:relSizeAnchor>
  <cdr:relSizeAnchor xmlns:cdr="http://schemas.openxmlformats.org/drawingml/2006/chartDrawing">
    <cdr:from>
      <cdr:x>0.77387</cdr:x>
      <cdr:y>0</cdr:y>
    </cdr:from>
    <cdr:to>
      <cdr:x>0.95096</cdr:x>
      <cdr:y>0.07354</cdr:y>
    </cdr:to>
    <cdr:sp macro="" textlink="">
      <cdr:nvSpPr>
        <cdr:cNvPr id="6" name="5 Cuadro de texto"/>
        <cdr:cNvSpPr txBox="1"/>
      </cdr:nvSpPr>
      <cdr:spPr>
        <a:xfrm xmlns:a="http://schemas.openxmlformats.org/drawingml/2006/main">
          <a:off x="3236901" y="0"/>
          <a:ext cx="740722" cy="184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a:t>5.7 </a:t>
          </a:r>
          <a:r>
            <a:rPr lang="es-MX" sz="700">
              <a:latin typeface="Adobe Caslon Pro" pitchFamily="18" charset="0"/>
            </a:rPr>
            <a:t>millones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ci_x00f3_n_x0020_del_x0020_documento xmlns="5b24dafa-154c-45a6-b0b9-bfb04b485f80" xsi:nil="true"/>
    <ImageCreateDate xmlns="5B24DAFA-154C-45A6-B0B9-BFB04B485F80" xsi:nil="true"/>
    <wic_System_Copyright xmlns="http://schemas.microsoft.com/sharepoint/v3/fields" xsi:nil="true"/>
    <_dlc_DocId xmlns="571982ab-478d-447f-affd-9b4427d393f9">CZZDVQSJMDTX-9-8772</_dlc_DocId>
    <_dlc_DocIdUrl xmlns="571982ab-478d-447f-affd-9b4427d393f9">
      <Url>http://www.coneval.org.mx/_layouts/DocIdRedir.aspx?ID=CZZDVQSJMDTX-9-8772</Url>
      <Description>CZZDVQSJMDTX-9-8772</Description>
    </_dlc_DocIdUrl>
    <clasificacion_documento xmlns="571982ab-478d-447f-affd-9b4427d393f9" xsi:nil="true"/>
    <tematica_documento xmlns="571982ab-478d-447f-affd-9b4427d393f9" xsi:nil="true"/>
    <titulo_pub_documento xmlns="571982ab-478d-447f-affd-9b4427d393f9">Evaluación de Diagnóstico del Programa de Apoyo a las Instancias de Mujeres en las Entidades Federativas, Para Implementar y Ejecutar Programas de Prevención de la Violencia Contra las Mujeres</titulo_pub_documento>
    <nombre_documento xmlns="571982ab-478d-447f-affd-9b4427d393f9">Evaluación de Diagnóstico del Programa de Apoyo a las Instancias de Mujeres en las Entidades Federativas, Para Implementar y Ejecutar Programas de Prevención de la Violencia Contra las Mujeres</nombre_documento>
    <tema_documento xmlns="571982ab-478d-447f-affd-9b4427d393f9">247</tema_documento>
    <area_documento xmlns="571982ab-478d-447f-affd-9b4427d393f9" xsi:nil="true"/>
    <abreviatura_documento xmlns="571982ab-478d-447f-affd-9b4427d393f9" xsi:nil="true"/>
    <tipo_evaluacion xmlns="571982ab-478d-447f-affd-9b4427d393f9">3</tipo_evaluacion>
    <institucion_documento xmlns="571982ab-478d-447f-affd-9b4427d393f9">36</institucion_documento>
    <modalidad_documento xmlns="571982ab-478d-447f-affd-9b4427d393f9">8</modalidad_documento>
    <tipo_documento xmlns="571982ab-478d-447f-affd-9b4427d393f9" xsi:nil="true"/>
    <biblioteca_documento xmlns="571982ab-478d-447f-affd-9b4427d393f9">Informes</biblioteca_documento>
    <ebook_documento xmlns="571982ab-478d-447f-affd-9b4427d393f9">
      <Url xsi:nil="true"/>
      <Description xsi:nil="true"/>
    </ebook_documento>
    <url_documento xmlns="571982ab-478d-447f-affd-9b4427d393f9">
      <Url>https://www.coneval.org.mx/Informes/Evaluacion/Diagnostico/Diagnostico_2014/Diagnostico_2014_SEDESOL_S155.docx</Url>
      <Description>https://www.coneval.org.mx/Informes/Evaluacion/Diagnostico/Diagnostico_2014/Diagnostico_2014_SEDESOL_S155.docx</Description>
    </url_documento>
    <descripcion_documento xmlns="571982ab-478d-447f-affd-9b4427d393f9" xsi:nil="true"/>
    <imagen_documento xmlns="571982ab-478d-447f-affd-9b4427d393f9">
      <Url>https://www.coneval.org.mx/Evaluacion/Documents/EV-DIAGNOSTICO.jpg</Url>
      <Description>https://www.coneval.org.mx/Evaluacion/Documents/EV-DIAGNOSTICO.jpg</Description>
    </imagen_documento>
    <numero_documento xmlns="571982ab-478d-447f-affd-9b4427d393f9" xsi:nil="true"/>
    <clave_documento xmlns="571982ab-478d-447f-affd-9b4427d393f9">7</clave_documento>
    <programa_documento xmlns="571982ab-478d-447f-affd-9b4427d393f9">652</programa_documento>
    <anio_documento xmlns="571982ab-478d-447f-affd-9b4427d393f9">2014</anio_documento>
    <titulo_documento xmlns="571982ab-478d-447f-affd-9b4427d393f9">Evaluación de Diagnóstico del Programa de Apoyo a las Instancias de Mujeres en las Entidades Federativas, Para Implementar y Ejecutar Programas de Prevención de la Violencia Contra las Mujeres</titulo_documento>
    <PROGRAMAPB xmlns="571982ab-478d-447f-affd-9b4427d393f9">Programa de Apoyo a las Instancias de Mujeres en las Entidades Federativas, Para Implementar y Ejecutar Programas de Prevención de la Violencia Contra las Mujeres</PROGRAMAPB>
    <Tipo_x002d_Informe xmlns="5b24dafa-154c-45a6-b0b9-bfb04b485f80">Informe Completo</Tipo_x002d_Informe>
    <Poblar xmlns="5b24dafa-154c-45a6-b0b9-bfb04b485f80">SI</Pobla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FF0520D5D768CD4FA20B4CB9EEB6486E" ma:contentTypeVersion="38" ma:contentTypeDescription="Cargar una imagen." ma:contentTypeScope="" ma:versionID="4699688576fed38a96d4f492235b8a86">
  <xsd:schema xmlns:xsd="http://www.w3.org/2001/XMLSchema" xmlns:xs="http://www.w3.org/2001/XMLSchema" xmlns:p="http://schemas.microsoft.com/office/2006/metadata/properties" xmlns:ns1="http://schemas.microsoft.com/sharepoint/v3" xmlns:ns2="5B24DAFA-154C-45A6-B0B9-BFB04B485F80" xmlns:ns3="http://schemas.microsoft.com/sharepoint/v3/fields" xmlns:ns4="571982ab-478d-447f-affd-9b4427d393f9" xmlns:ns5="5b24dafa-154c-45a6-b0b9-bfb04b485f80" targetNamespace="http://schemas.microsoft.com/office/2006/metadata/properties" ma:root="true" ma:fieldsID="c7f2b2967c23590c122b568f34698751" ns1:_="" ns2:_="" ns3:_="" ns4:_="" ns5:_="">
    <xsd:import namespace="http://schemas.microsoft.com/sharepoint/v3"/>
    <xsd:import namespace="5B24DAFA-154C-45A6-B0B9-BFB04B485F80"/>
    <xsd:import namespace="http://schemas.microsoft.com/sharepoint/v3/fields"/>
    <xsd:import namespace="571982ab-478d-447f-affd-9b4427d393f9"/>
    <xsd:import namespace="5b24dafa-154c-45a6-b0b9-bfb04b485f8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5:Descripci_x00f3_n_x0020_del_x0020_documento" minOccurs="0"/>
                <xsd:element ref="ns4:abreviatura_documento" minOccurs="0"/>
                <xsd:element ref="ns4:anio_documento" minOccurs="0"/>
                <xsd:element ref="ns4:area_documento" minOccurs="0"/>
                <xsd:element ref="ns4:biblioteca_documento" minOccurs="0"/>
                <xsd:element ref="ns4:clasificacion_documento" minOccurs="0"/>
                <xsd:element ref="ns4:clave_documento" minOccurs="0"/>
                <xsd:element ref="ns4:descripcion_documento" minOccurs="0"/>
                <xsd:element ref="ns4:titulo_documento" minOccurs="0"/>
                <xsd:element ref="ns4:ebook_documento" minOccurs="0"/>
                <xsd:element ref="ns4:imagen_documento" minOccurs="0"/>
                <xsd:element ref="ns4:institucion_documento" minOccurs="0"/>
                <xsd:element ref="ns4:modalidad_documento" minOccurs="0"/>
                <xsd:element ref="ns4:numero_documento" minOccurs="0"/>
                <xsd:element ref="ns4:nombre_documento" minOccurs="0"/>
                <xsd:element ref="ns4:programa_documento" minOccurs="0"/>
                <xsd:element ref="ns4:tema_documento" minOccurs="0"/>
                <xsd:element ref="ns4:tematica_documento" minOccurs="0"/>
                <xsd:element ref="ns4:tipo_documento" minOccurs="0"/>
                <xsd:element ref="ns4:tipo_evaluacion" minOccurs="0"/>
                <xsd:element ref="ns4:titulo_pub_documento" minOccurs="0"/>
                <xsd:element ref="ns4:url_documento" minOccurs="0"/>
                <xsd:element ref="ns4:PROGRAMAPB" minOccurs="0"/>
                <xsd:element ref="ns5:Tipo_x002d_Informe" minOccurs="0"/>
                <xsd:element ref="ns5: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2" nillable="true" ma:displayName="Abreviatura" ma:internalName="abreviatura_documento">
      <xsd:simpleType>
        <xsd:restriction base="dms:Text">
          <xsd:maxLength value="255"/>
        </xsd:restriction>
      </xsd:simpleType>
    </xsd:element>
    <xsd:element name="anio_documento" ma:index="33"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4" nillable="true" ma:displayName="Área" ma:internalName="area_documento">
      <xsd:simpleType>
        <xsd:restriction base="dms:Text">
          <xsd:maxLength value="255"/>
        </xsd:restriction>
      </xsd:simpleType>
    </xsd:element>
    <xsd:element name="biblioteca_documento" ma:index="35" nillable="true" ma:displayName="Biblioteca" ma:internalName="biblioteca_documento">
      <xsd:simpleType>
        <xsd:restriction base="dms:Text">
          <xsd:maxLength value="255"/>
        </xsd:restriction>
      </xsd:simpleType>
    </xsd:element>
    <xsd:element name="clasificacion_documento" ma:index="36" nillable="true" ma:displayName="Clasificación" ma:internalName="clasificacion_documento">
      <xsd:simpleType>
        <xsd:restriction base="dms:Text">
          <xsd:maxLength value="255"/>
        </xsd:restriction>
      </xsd:simpleType>
    </xsd:element>
    <xsd:element name="clave_documento" ma:index="37" nillable="true" ma:displayName="Clave" ma:list="{19d008c2-64a5-4763-bb02-e7005fbad349}" ma:internalName="clave_documento" ma:showField="Title" ma:web="571982ab-478d-447f-affd-9b4427d393f9">
      <xsd:simpleType>
        <xsd:restriction base="dms:Lookup"/>
      </xsd:simpleType>
    </xsd:element>
    <xsd:element name="descripcion_documento" ma:index="38" nillable="true" ma:displayName="Descripción publicación" ma:internalName="descripcion_documento">
      <xsd:simpleType>
        <xsd:restriction base="dms:Note">
          <xsd:maxLength value="255"/>
        </xsd:restriction>
      </xsd:simpleType>
    </xsd:element>
    <xsd:element name="titulo_documento" ma:index="39" nillable="true" ma:displayName="Documento" ma:internalName="titulo_documento">
      <xsd:simpleType>
        <xsd:restriction base="dms:Text">
          <xsd:maxLength value="255"/>
        </xsd:restriction>
      </xsd:simpleType>
    </xsd:element>
    <xsd:element name="ebook_documento" ma:index="40"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1"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2"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3" nillable="true" ma:displayName="Modalidad" ma:list="{528c669a-fc94-4a9a-9ab5-f593d5619e91}" ma:internalName="modalidad_documento" ma:showField="Title" ma:web="571982ab-478d-447f-affd-9b4427d393f9">
      <xsd:simpleType>
        <xsd:restriction base="dms:Lookup"/>
      </xsd:simpleType>
    </xsd:element>
    <xsd:element name="numero_documento" ma:index="44" nillable="true" ma:displayName="No." ma:internalName="numero_documento">
      <xsd:simpleType>
        <xsd:restriction base="dms:Text">
          <xsd:maxLength value="255"/>
        </xsd:restriction>
      </xsd:simpleType>
    </xsd:element>
    <xsd:element name="nombre_documento" ma:index="45" nillable="true" ma:displayName="Nombre Documento" ma:internalName="nombre_documento">
      <xsd:simpleType>
        <xsd:restriction base="dms:Text">
          <xsd:maxLength value="255"/>
        </xsd:restriction>
      </xsd:simpleType>
    </xsd:element>
    <xsd:element name="programa_documento" ma:index="46" nillable="true" ma:displayName="Programa_Historico" ma:list="{a331bbc2-d474-4dfb-9db9-10cbcbecbc0e}" ma:internalName="programa_documento" ma:readOnly="false" ma:showField="Title" ma:web="571982ab-478d-447f-affd-9b4427d393f9">
      <xsd:simpleType>
        <xsd:restriction base="dms:Lookup"/>
      </xsd:simpleType>
    </xsd:element>
    <xsd:element name="tema_documento" ma:index="47" nillable="true" ma:displayName="Tema" ma:list="{0ed0c298-861e-4e55-bc63-09b547597927}" ma:internalName="tema_documento" ma:showField="Title" ma:web="571982ab-478d-447f-affd-9b4427d393f9">
      <xsd:simpleType>
        <xsd:restriction base="dms:Lookup"/>
      </xsd:simpleType>
    </xsd:element>
    <xsd:element name="tematica_documento" ma:index="48" nillable="true" ma:displayName="Temática" ma:list="{4f65a60e-ab52-4d23-b095-ec9180a76ae5}" ma:internalName="tematica_documento" ma:showField="Title" ma:web="571982ab-478d-447f-affd-9b4427d393f9">
      <xsd:simpleType>
        <xsd:restriction base="dms:Lookup"/>
      </xsd:simpleType>
    </xsd:element>
    <xsd:element name="tipo_documento" ma:index="49" nillable="true" ma:displayName="Tipo documento" ma:list="{8a8f7f01-5d58-4b3f-bf49-d65d8bdcf195}" ma:internalName="tipo_documento" ma:showField="Title" ma:web="571982ab-478d-447f-affd-9b4427d393f9">
      <xsd:simpleType>
        <xsd:restriction base="dms:Lookup"/>
      </xsd:simpleType>
    </xsd:element>
    <xsd:element name="tipo_evaluacion" ma:index="50"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1" nillable="true" ma:displayName="Título publicación" ma:internalName="titulo_pub_documento">
      <xsd:simpleType>
        <xsd:restriction base="dms:Text">
          <xsd:maxLength value="255"/>
        </xsd:restriction>
      </xsd:simpleType>
    </xsd:element>
    <xsd:element name="url_documento" ma:index="52"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3" nillable="true" ma:displayName="Programa" ma:internalName="PROGRAMAP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Descripci_x00f3_n_x0020_del_x0020_documento" ma:index="30" nillable="true" ma:displayName="Descripción del documento" ma:description="Indicar si es un documento nuevo o las modificaciones que se realizaron si es una actualización." ma:internalName="Descripci_x00f3_n_x0020_del_x0020_documento" ma:readOnly="false">
      <xsd:simpleType>
        <xsd:restriction base="dms:Note">
          <xsd:maxLength value="255"/>
        </xsd:restriction>
      </xsd:simpleType>
    </xsd:element>
    <xsd:element name="Tipo_x002d_Informe" ma:index="54"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Poblar" ma:index="55" nillable="true" ma:displayName="Poblar" ma:internalName="Pobl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44A39-845D-43EE-A436-C456F25D80F6}"/>
</file>

<file path=customXml/itemProps2.xml><?xml version="1.0" encoding="utf-8"?>
<ds:datastoreItem xmlns:ds="http://schemas.openxmlformats.org/officeDocument/2006/customXml" ds:itemID="{7FABC61C-DEF0-43B3-A891-B0061F7E5A19}"/>
</file>

<file path=customXml/itemProps3.xml><?xml version="1.0" encoding="utf-8"?>
<ds:datastoreItem xmlns:ds="http://schemas.openxmlformats.org/officeDocument/2006/customXml" ds:itemID="{FA77094A-8E04-4B72-B795-16F0356A3432}"/>
</file>

<file path=customXml/itemProps4.xml><?xml version="1.0" encoding="utf-8"?>
<ds:datastoreItem xmlns:ds="http://schemas.openxmlformats.org/officeDocument/2006/customXml" ds:itemID="{D1C13730-700D-4031-924C-B3DB6BFEA2D3}"/>
</file>

<file path=customXml/itemProps5.xml><?xml version="1.0" encoding="utf-8"?>
<ds:datastoreItem xmlns:ds="http://schemas.openxmlformats.org/officeDocument/2006/customXml" ds:itemID="{8F552D9F-91B6-4E83-BF25-CFD7ACB53656}"/>
</file>

<file path=docProps/app.xml><?xml version="1.0" encoding="utf-8"?>
<Properties xmlns="http://schemas.openxmlformats.org/officeDocument/2006/extended-properties" xmlns:vt="http://schemas.openxmlformats.org/officeDocument/2006/docPropsVTypes">
  <Template>Normal</Template>
  <TotalTime>3</TotalTime>
  <Pages>149</Pages>
  <Words>41804</Words>
  <Characters>229926</Characters>
  <Application>Microsoft Office Word</Application>
  <DocSecurity>0</DocSecurity>
  <Lines>1916</Lines>
  <Paragraphs>542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Diagnóstico del Programa de Apoyo a las Instancias de Mujeres en las Entidades Federativas, Para Implementar y Ejecutar Programas de Prevención de la Violencia Contra las Mujeres</dc:title>
  <dc:creator>Claudia Carbajal Morelos</dc:creator>
  <cp:lastModifiedBy>Williams Peralta Lazo</cp:lastModifiedBy>
  <cp:revision>2</cp:revision>
  <cp:lastPrinted>2014-06-16T16:31:00Z</cp:lastPrinted>
  <dcterms:created xsi:type="dcterms:W3CDTF">2014-07-01T01:49:00Z</dcterms:created>
  <dcterms:modified xsi:type="dcterms:W3CDTF">2014-07-01T01:49:00Z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0x0101009148F5A04DDD49CBA7127AADA5FB792B00AADE34325A8B49CDA8BB4DB53328F21400FF0520D5D768CD4FA20B4CB9EEB6486E</vt:lpwstr>
  </property>
  <property fmtid="{D5CDD505-2E9C-101B-9397-08002B2CF9AE}" pid="3" name="_dlc_DocIdItemGuid">
    <vt:lpwstr>447163a7-0443-41d6-b243-a9e34ac03711</vt:lpwstr>
  </property>
</Properties>
</file>